
<file path=[Content_Types].xml><?xml version="1.0" encoding="utf-8"?>
<Types xmlns="http://schemas.openxmlformats.org/package/2006/content-types">
  <Default Extension="emf" ContentType="image/x-emf"/>
  <Default Extension="jpg" ContentType="image/jpeg"/>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7.xml" ContentType="application/vnd.openxmlformats-officedocument.drawingml.chart+xml"/>
  <Override PartName="/word/charts/chart8.xml" ContentType="application/vnd.openxmlformats-officedocument.drawingml.chart+xml"/>
  <Override PartName="/word/charts/chart9.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10.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11.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12.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13.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14.xml" ContentType="application/vnd.openxmlformats-officedocument.drawingml.chart+xml"/>
  <Override PartName="/word/charts/chart15.xml" ContentType="application/vnd.openxmlformats-officedocument.drawingml.chart+xml"/>
  <Override PartName="/word/charts/chart16.xml" ContentType="application/vnd.openxmlformats-officedocument.drawingml.chart+xml"/>
  <Override PartName="/word/charts/chart17.xml" ContentType="application/vnd.openxmlformats-officedocument.drawingml.chart+xml"/>
  <Override PartName="/word/charts/chart18.xml" ContentType="application/vnd.openxmlformats-officedocument.drawingml.chart+xml"/>
  <Override PartName="/word/charts/chart19.xml" ContentType="application/vnd.openxmlformats-officedocument.drawingml.chart+xml"/>
  <Override PartName="/word/charts/chart20.xml" ContentType="application/vnd.openxmlformats-officedocument.drawingml.chart+xml"/>
  <Override PartName="/word/charts/chart21.xml" ContentType="application/vnd.openxmlformats-officedocument.drawingml.chart+xml"/>
  <Override PartName="/word/charts/chart22.xml" ContentType="application/vnd.openxmlformats-officedocument.drawingml.chart+xml"/>
  <Override PartName="/word/charts/chart23.xml" ContentType="application/vnd.openxmlformats-officedocument.drawingml.chart+xml"/>
  <Override PartName="/word/charts/chart24.xml" ContentType="application/vnd.openxmlformats-officedocument.drawingml.chart+xml"/>
  <Override PartName="/word/charts/chart25.xml" ContentType="application/vnd.openxmlformats-officedocument.drawingml.chart+xml"/>
  <Override PartName="/word/charts/chart26.xml" ContentType="application/vnd.openxmlformats-officedocument.drawingml.chart+xml"/>
  <Override PartName="/word/charts/chart27.xml" ContentType="application/vnd.openxmlformats-officedocument.drawingml.chart+xml"/>
  <Override PartName="/word/charts/chart28.xml" ContentType="application/vnd.openxmlformats-officedocument.drawingml.chart+xml"/>
  <Override PartName="/word/charts/chart29.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30.xml" ContentType="application/vnd.openxmlformats-officedocument.drawingml.chart+xml"/>
  <Override PartName="/word/charts/chart31.xml" ContentType="application/vnd.openxmlformats-officedocument.drawingml.chart+xml"/>
  <Override PartName="/word/drawings/drawing1.xml" ContentType="application/vnd.openxmlformats-officedocument.drawingml.chartshapes+xml"/>
  <Override PartName="/word/charts/chart32.xml" ContentType="application/vnd.openxmlformats-officedocument.drawingml.chart+xml"/>
  <Override PartName="/word/charts/chart33.xml" ContentType="application/vnd.openxmlformats-officedocument.drawingml.chart+xml"/>
  <Override PartName="/word/drawings/drawing2.xml" ContentType="application/vnd.openxmlformats-officedocument.drawingml.chartshapes+xml"/>
  <Override PartName="/word/charts/chart34.xml" ContentType="application/vnd.openxmlformats-officedocument.drawingml.chart+xml"/>
  <Override PartName="/word/charts/chart35.xml" ContentType="application/vnd.openxmlformats-officedocument.drawingml.chart+xml"/>
  <Override PartName="/word/charts/chart36.xml" ContentType="application/vnd.openxmlformats-officedocument.drawingml.chart+xml"/>
  <Override PartName="/word/charts/chart37.xml" ContentType="application/vnd.openxmlformats-officedocument.drawingml.chart+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AB96A6A" w14:textId="7FA132DE" w:rsidR="001335A6" w:rsidRPr="002A0D4F" w:rsidRDefault="001335A6" w:rsidP="006752D6">
      <w:pPr>
        <w:pStyle w:val="Nadpis1"/>
        <w:numPr>
          <w:ilvl w:val="0"/>
          <w:numId w:val="0"/>
        </w:numPr>
        <w:rPr>
          <w:rStyle w:val="normaltextrun"/>
          <w:color w:val="FF0000"/>
        </w:rPr>
      </w:pPr>
      <w:bookmarkStart w:id="0" w:name="_Toc80348396"/>
    </w:p>
    <w:p w14:paraId="4D206FD0" w14:textId="77777777" w:rsidR="001335A6" w:rsidRPr="002A0D4F" w:rsidRDefault="001335A6" w:rsidP="001335A6">
      <w:pPr>
        <w:rPr>
          <w:lang w:val="cs-CZ"/>
        </w:rPr>
      </w:pPr>
    </w:p>
    <w:p w14:paraId="57169880" w14:textId="038B4A7B" w:rsidR="001335A6" w:rsidRPr="002A0D4F" w:rsidRDefault="00B431E0" w:rsidP="00B431E0">
      <w:pPr>
        <w:jc w:val="center"/>
        <w:rPr>
          <w:lang w:val="cs-CZ"/>
        </w:rPr>
      </w:pPr>
      <w:r w:rsidRPr="002A0D4F">
        <w:rPr>
          <w:noProof/>
          <w:lang w:val="cs-CZ" w:eastAsia="cs-CZ"/>
        </w:rPr>
        <w:drawing>
          <wp:inline distT="0" distB="0" distL="0" distR="0" wp14:anchorId="7D6CE704" wp14:editId="55E77E49">
            <wp:extent cx="1878127" cy="774065"/>
            <wp:effectExtent l="0" t="0" r="8255" b="6985"/>
            <wp:docPr id="3"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3"/>
                    <pic:cNvPicPr/>
                  </pic:nvPicPr>
                  <pic:blipFill>
                    <a:blip r:embed="rId8" cstate="print">
                      <a:extLst>
                        <a:ext uri="{28A0092B-C50C-407E-A947-70E740481C1C}">
                          <a14:useLocalDpi xmlns:a14="http://schemas.microsoft.com/office/drawing/2010/main" val="0"/>
                        </a:ext>
                      </a:extLst>
                    </a:blip>
                    <a:stretch>
                      <a:fillRect/>
                    </a:stretch>
                  </pic:blipFill>
                  <pic:spPr>
                    <a:xfrm>
                      <a:off x="0" y="0"/>
                      <a:ext cx="1878127" cy="774065"/>
                    </a:xfrm>
                    <a:prstGeom prst="rect">
                      <a:avLst/>
                    </a:prstGeom>
                  </pic:spPr>
                </pic:pic>
              </a:graphicData>
            </a:graphic>
          </wp:inline>
        </w:drawing>
      </w:r>
    </w:p>
    <w:p w14:paraId="0C4A268B" w14:textId="77777777" w:rsidR="00712635" w:rsidRPr="002A0D4F" w:rsidRDefault="00D81379" w:rsidP="00712635">
      <w:pPr>
        <w:pStyle w:val="UZEI"/>
        <w:rPr>
          <w:rFonts w:ascii="Times New Roman" w:hAnsi="Times New Roman"/>
          <w:lang w:val="cs-CZ"/>
        </w:rPr>
      </w:pPr>
      <w:r w:rsidRPr="002A0D4F">
        <w:rPr>
          <w:rFonts w:ascii="Times New Roman" w:hAnsi="Times New Roman"/>
          <w:lang w:val="cs-CZ"/>
        </w:rPr>
        <w:t>Ústav zemědělské ekonomiky a informací</w:t>
      </w:r>
    </w:p>
    <w:p w14:paraId="02C849EA" w14:textId="77777777" w:rsidR="007A0B29" w:rsidRPr="002A0D4F" w:rsidRDefault="007A0B29" w:rsidP="00712635">
      <w:pPr>
        <w:pStyle w:val="UZEI"/>
        <w:rPr>
          <w:lang w:val="cs-CZ"/>
        </w:rPr>
      </w:pPr>
    </w:p>
    <w:p w14:paraId="1533DD2F" w14:textId="77777777" w:rsidR="007A0B29" w:rsidRPr="002A0D4F" w:rsidRDefault="007A0B29" w:rsidP="00712635">
      <w:pPr>
        <w:pStyle w:val="UZEI"/>
        <w:rPr>
          <w:lang w:val="cs-CZ"/>
        </w:rPr>
      </w:pPr>
    </w:p>
    <w:p w14:paraId="32E7B7F2" w14:textId="77777777" w:rsidR="007A0B29" w:rsidRPr="002A0D4F" w:rsidRDefault="007A0B29" w:rsidP="00712635">
      <w:pPr>
        <w:pStyle w:val="UZEI"/>
        <w:rPr>
          <w:lang w:val="cs-CZ"/>
        </w:rPr>
      </w:pPr>
    </w:p>
    <w:p w14:paraId="599E09AF" w14:textId="77777777" w:rsidR="007A0B29" w:rsidRPr="002A0D4F" w:rsidRDefault="007A0B29" w:rsidP="00712635">
      <w:pPr>
        <w:pStyle w:val="UZEI"/>
        <w:rPr>
          <w:lang w:val="cs-CZ"/>
        </w:rPr>
      </w:pPr>
    </w:p>
    <w:p w14:paraId="06DD608B" w14:textId="77777777" w:rsidR="007A0B29" w:rsidRPr="002A0D4F" w:rsidRDefault="007A0B29" w:rsidP="00712635">
      <w:pPr>
        <w:pStyle w:val="UZEI"/>
        <w:rPr>
          <w:lang w:val="cs-CZ"/>
        </w:rPr>
      </w:pPr>
    </w:p>
    <w:p w14:paraId="13B55680" w14:textId="77777777" w:rsidR="00D81379" w:rsidRPr="00004419" w:rsidRDefault="00D81379" w:rsidP="00F94185">
      <w:pPr>
        <w:pStyle w:val="UZEI"/>
        <w:rPr>
          <w:rFonts w:ascii="Times New Roman" w:hAnsi="Times New Roman"/>
          <w:sz w:val="32"/>
          <w:szCs w:val="32"/>
          <w:lang w:val="cs-CZ"/>
        </w:rPr>
      </w:pPr>
      <w:r w:rsidRPr="00004419">
        <w:rPr>
          <w:rFonts w:ascii="Times New Roman" w:hAnsi="Times New Roman"/>
          <w:sz w:val="32"/>
          <w:szCs w:val="32"/>
          <w:lang w:val="cs-CZ"/>
        </w:rPr>
        <w:t>PODKLADOVÉ ANALÝZY PRO PŘÍPRAVU SZP V PROGRAMOVÉM OBDOBÍ 2021+</w:t>
      </w:r>
    </w:p>
    <w:p w14:paraId="40DF8CA1" w14:textId="77777777" w:rsidR="00F94185" w:rsidRPr="002A0D4F" w:rsidRDefault="00F94185" w:rsidP="003C2914">
      <w:pPr>
        <w:pStyle w:val="st-rok"/>
        <w:spacing w:before="360"/>
        <w:rPr>
          <w:sz w:val="32"/>
          <w:szCs w:val="28"/>
        </w:rPr>
      </w:pPr>
    </w:p>
    <w:p w14:paraId="2EC4223A" w14:textId="5035F407" w:rsidR="00D81379" w:rsidRPr="002A0D4F" w:rsidRDefault="00D81379" w:rsidP="003C2914">
      <w:pPr>
        <w:pStyle w:val="st-rok"/>
        <w:spacing w:before="360"/>
        <w:rPr>
          <w:sz w:val="32"/>
          <w:szCs w:val="28"/>
        </w:rPr>
      </w:pPr>
      <w:r w:rsidRPr="002A0D4F">
        <w:rPr>
          <w:sz w:val="32"/>
          <w:szCs w:val="28"/>
        </w:rPr>
        <w:t>Podklady pro přílohu Strategického plánu</w:t>
      </w:r>
    </w:p>
    <w:bookmarkEnd w:id="0"/>
    <w:p w14:paraId="39A5FD54" w14:textId="1037849F" w:rsidR="00A14B9B" w:rsidRPr="002A0D4F" w:rsidRDefault="00A14B9B" w:rsidP="00A14B9B">
      <w:pPr>
        <w:pStyle w:val="st-rok"/>
        <w:spacing w:before="360"/>
        <w:rPr>
          <w:caps/>
        </w:rPr>
      </w:pPr>
      <w:r w:rsidRPr="002A0D4F">
        <w:rPr>
          <w:caps/>
        </w:rPr>
        <w:t>Specifický cíl H: Podpora zaměstnanosti, růstu, sociálního začlenění a místního rozvoje ve venkovských oblastech včetně biohospodářství a udržitelného lesnictví</w:t>
      </w:r>
    </w:p>
    <w:p w14:paraId="2FF46126" w14:textId="77777777" w:rsidR="00A14B9B" w:rsidRPr="002A0D4F" w:rsidRDefault="00A14B9B" w:rsidP="00A14B9B">
      <w:pPr>
        <w:rPr>
          <w:lang w:val="cs-CZ"/>
        </w:rPr>
      </w:pPr>
    </w:p>
    <w:p w14:paraId="4D3FBC48" w14:textId="77777777" w:rsidR="00A14B9B" w:rsidRPr="002A0D4F" w:rsidRDefault="00A14B9B" w:rsidP="00A14B9B">
      <w:pPr>
        <w:rPr>
          <w:lang w:val="cs-CZ"/>
        </w:rPr>
      </w:pPr>
    </w:p>
    <w:p w14:paraId="2126E8F4" w14:textId="77777777" w:rsidR="00A14B9B" w:rsidRPr="002A0D4F" w:rsidRDefault="00A14B9B" w:rsidP="00A14B9B">
      <w:pPr>
        <w:rPr>
          <w:lang w:val="cs-CZ"/>
        </w:rPr>
      </w:pPr>
    </w:p>
    <w:p w14:paraId="6CC3A776" w14:textId="77777777" w:rsidR="00A14B9B" w:rsidRPr="002A0D4F" w:rsidRDefault="00A14B9B" w:rsidP="00A14B9B">
      <w:pPr>
        <w:rPr>
          <w:lang w:val="cs-CZ"/>
        </w:rPr>
      </w:pPr>
    </w:p>
    <w:p w14:paraId="28FC5D5E" w14:textId="77777777" w:rsidR="00A14B9B" w:rsidRPr="002A0D4F" w:rsidRDefault="00A14B9B" w:rsidP="00A14B9B">
      <w:pPr>
        <w:rPr>
          <w:lang w:val="cs-CZ"/>
        </w:rPr>
      </w:pPr>
    </w:p>
    <w:p w14:paraId="7496B098" w14:textId="77777777" w:rsidR="00A14B9B" w:rsidRPr="002A0D4F" w:rsidRDefault="00A14B9B" w:rsidP="00A14B9B">
      <w:pPr>
        <w:rPr>
          <w:lang w:val="cs-CZ"/>
        </w:rPr>
      </w:pPr>
    </w:p>
    <w:p w14:paraId="5401A211" w14:textId="77777777" w:rsidR="00A14B9B" w:rsidRPr="002A0D4F" w:rsidRDefault="00A14B9B" w:rsidP="00A14B9B">
      <w:pPr>
        <w:rPr>
          <w:lang w:val="cs-CZ"/>
        </w:rPr>
      </w:pPr>
    </w:p>
    <w:p w14:paraId="5DB340EA" w14:textId="77777777" w:rsidR="00A14B9B" w:rsidRPr="002A0D4F" w:rsidRDefault="00A14B9B" w:rsidP="00A14B9B">
      <w:pPr>
        <w:rPr>
          <w:lang w:val="cs-CZ"/>
        </w:rPr>
      </w:pPr>
    </w:p>
    <w:p w14:paraId="40CE2993" w14:textId="77777777" w:rsidR="00A14B9B" w:rsidRPr="002A0D4F" w:rsidRDefault="00A14B9B" w:rsidP="00A14B9B">
      <w:pPr>
        <w:rPr>
          <w:lang w:val="cs-CZ"/>
        </w:rPr>
      </w:pPr>
    </w:p>
    <w:p w14:paraId="401DBAB4" w14:textId="77777777" w:rsidR="00A14B9B" w:rsidRPr="002A0D4F" w:rsidRDefault="00A14B9B" w:rsidP="00A14B9B">
      <w:pPr>
        <w:rPr>
          <w:lang w:val="cs-CZ"/>
        </w:rPr>
      </w:pPr>
    </w:p>
    <w:p w14:paraId="4F905E1C" w14:textId="77777777" w:rsidR="00A14B9B" w:rsidRPr="002A0D4F" w:rsidRDefault="00A14B9B" w:rsidP="00A14B9B">
      <w:pPr>
        <w:rPr>
          <w:lang w:val="cs-CZ"/>
        </w:rPr>
      </w:pPr>
    </w:p>
    <w:p w14:paraId="70774664" w14:textId="097495D3" w:rsidR="00C52589" w:rsidRPr="00004419" w:rsidRDefault="00A14B9B" w:rsidP="00456C8D">
      <w:pPr>
        <w:jc w:val="center"/>
        <w:rPr>
          <w:rFonts w:eastAsiaTheme="majorEastAsia" w:cs="Times New Roman"/>
          <w:lang w:val="cs-CZ"/>
        </w:rPr>
      </w:pPr>
      <w:r w:rsidRPr="00004419">
        <w:rPr>
          <w:rFonts w:eastAsiaTheme="majorEastAsia" w:cs="Times New Roman"/>
          <w:lang w:val="cs-CZ"/>
        </w:rPr>
        <w:t xml:space="preserve">Praha, </w:t>
      </w:r>
      <w:r w:rsidR="003A4538">
        <w:rPr>
          <w:rFonts w:eastAsiaTheme="majorEastAsia" w:cs="Times New Roman"/>
          <w:lang w:val="cs-CZ"/>
        </w:rPr>
        <w:t>leden 2022</w:t>
      </w:r>
    </w:p>
    <w:p w14:paraId="4F707906" w14:textId="77777777" w:rsidR="00C52589" w:rsidRPr="002A0D4F" w:rsidRDefault="00C52589">
      <w:pPr>
        <w:spacing w:after="160" w:line="259" w:lineRule="auto"/>
        <w:jc w:val="left"/>
        <w:rPr>
          <w:rFonts w:asciiTheme="majorHAnsi" w:eastAsiaTheme="majorEastAsia" w:hAnsiTheme="majorHAnsi" w:cstheme="majorBidi"/>
          <w:lang w:val="cs-CZ"/>
        </w:rPr>
      </w:pPr>
      <w:r w:rsidRPr="002A0D4F">
        <w:rPr>
          <w:rFonts w:asciiTheme="majorHAnsi" w:eastAsiaTheme="majorEastAsia" w:hAnsiTheme="majorHAnsi" w:cstheme="majorBidi"/>
          <w:lang w:val="cs-CZ"/>
        </w:rPr>
        <w:br w:type="page"/>
      </w:r>
    </w:p>
    <w:p w14:paraId="4F4C7B9D" w14:textId="2E439E3D" w:rsidR="00A14B9B" w:rsidRPr="002A0D4F" w:rsidRDefault="00A14B9B" w:rsidP="00004419">
      <w:pPr>
        <w:pStyle w:val="UZEINadpis1stbezsla"/>
      </w:pPr>
      <w:bookmarkStart w:id="1" w:name="_Toc313363000"/>
      <w:bookmarkStart w:id="2" w:name="_Toc519518195"/>
      <w:bookmarkStart w:id="3" w:name="_Toc519518301"/>
      <w:bookmarkStart w:id="4" w:name="_Toc519581811"/>
      <w:bookmarkStart w:id="5" w:name="_Toc525820124"/>
      <w:bookmarkStart w:id="6" w:name="_Toc530577730"/>
      <w:bookmarkStart w:id="7" w:name="_Toc12277969"/>
      <w:bookmarkStart w:id="8" w:name="_Toc12282606"/>
      <w:bookmarkStart w:id="9" w:name="_Toc12283261"/>
      <w:bookmarkStart w:id="10" w:name="_Toc15623875"/>
      <w:bookmarkStart w:id="11" w:name="_Toc15627506"/>
      <w:bookmarkStart w:id="12" w:name="_Toc25919685"/>
      <w:bookmarkStart w:id="13" w:name="_Toc25919769"/>
      <w:bookmarkStart w:id="14" w:name="_Toc81757373"/>
      <w:bookmarkStart w:id="15" w:name="_Toc81815660"/>
      <w:bookmarkStart w:id="16" w:name="_Toc81816197"/>
      <w:bookmarkStart w:id="17" w:name="_Toc81817292"/>
      <w:r w:rsidRPr="002A0D4F">
        <w:lastRenderedPageBreak/>
        <w:t>Seznam zkratek</w:t>
      </w:r>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p>
    <w:p w14:paraId="442F1DF6" w14:textId="77777777" w:rsidR="00A14B9B" w:rsidRPr="002A0D4F" w:rsidRDefault="00A14B9B" w:rsidP="00A14B9B">
      <w:pPr>
        <w:jc w:val="center"/>
        <w:rPr>
          <w:lang w:val="cs-CZ"/>
        </w:rPr>
      </w:pPr>
    </w:p>
    <w:tbl>
      <w:tblPr>
        <w:tblW w:w="523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394"/>
        <w:gridCol w:w="8051"/>
      </w:tblGrid>
      <w:tr w:rsidR="00A14B9B" w:rsidRPr="002A0D4F" w14:paraId="712A7118" w14:textId="77777777" w:rsidTr="00DB1D1D">
        <w:trPr>
          <w:cantSplit/>
          <w:trHeight w:val="315"/>
        </w:trPr>
        <w:tc>
          <w:tcPr>
            <w:tcW w:w="734" w:type="pct"/>
            <w:tcBorders>
              <w:top w:val="single" w:sz="4" w:space="0" w:color="auto"/>
              <w:left w:val="single" w:sz="4" w:space="0" w:color="auto"/>
              <w:bottom w:val="single" w:sz="4" w:space="0" w:color="auto"/>
              <w:right w:val="single" w:sz="4" w:space="0" w:color="auto"/>
            </w:tcBorders>
            <w:shd w:val="clear" w:color="auto" w:fill="auto"/>
            <w:vAlign w:val="center"/>
          </w:tcPr>
          <w:p w14:paraId="5E9D3DBB" w14:textId="77777777" w:rsidR="00A14B9B" w:rsidRPr="002A0D4F" w:rsidRDefault="00A14B9B" w:rsidP="00BF3479">
            <w:pPr>
              <w:pStyle w:val="Tabulka"/>
              <w:spacing w:before="0" w:line="240" w:lineRule="auto"/>
            </w:pPr>
            <w:r w:rsidRPr="002A0D4F">
              <w:t>ANC</w:t>
            </w:r>
          </w:p>
        </w:tc>
        <w:tc>
          <w:tcPr>
            <w:tcW w:w="4266" w:type="pct"/>
            <w:tcBorders>
              <w:top w:val="single" w:sz="4" w:space="0" w:color="auto"/>
              <w:left w:val="single" w:sz="4" w:space="0" w:color="auto"/>
              <w:bottom w:val="single" w:sz="4" w:space="0" w:color="auto"/>
              <w:right w:val="single" w:sz="4" w:space="0" w:color="auto"/>
            </w:tcBorders>
            <w:shd w:val="clear" w:color="auto" w:fill="auto"/>
          </w:tcPr>
          <w:p w14:paraId="51562731" w14:textId="77777777" w:rsidR="00A14B9B" w:rsidRPr="002A0D4F" w:rsidRDefault="00A14B9B" w:rsidP="00BF3479">
            <w:pPr>
              <w:pStyle w:val="Tabulka"/>
              <w:spacing w:before="0" w:line="240" w:lineRule="auto"/>
            </w:pPr>
            <w:r w:rsidRPr="002A0D4F">
              <w:t>Redefinované méně příznivé oblasti (</w:t>
            </w:r>
            <w:proofErr w:type="spellStart"/>
            <w:r w:rsidRPr="002A0D4F">
              <w:t>Areas</w:t>
            </w:r>
            <w:proofErr w:type="spellEnd"/>
            <w:r w:rsidRPr="002A0D4F">
              <w:t xml:space="preserve"> </w:t>
            </w:r>
            <w:proofErr w:type="spellStart"/>
            <w:r w:rsidRPr="002A0D4F">
              <w:t>with</w:t>
            </w:r>
            <w:proofErr w:type="spellEnd"/>
            <w:r w:rsidRPr="002A0D4F">
              <w:t xml:space="preserve"> Natural </w:t>
            </w:r>
            <w:proofErr w:type="spellStart"/>
            <w:r w:rsidRPr="002A0D4F">
              <w:t>Constraints</w:t>
            </w:r>
            <w:proofErr w:type="spellEnd"/>
            <w:r w:rsidRPr="002A0D4F">
              <w:t>, dříve LFA)</w:t>
            </w:r>
          </w:p>
        </w:tc>
      </w:tr>
      <w:tr w:rsidR="00A14B9B" w:rsidRPr="002A0D4F" w14:paraId="33F19208" w14:textId="77777777" w:rsidTr="00DB1D1D">
        <w:trPr>
          <w:cantSplit/>
          <w:trHeight w:val="315"/>
        </w:trPr>
        <w:tc>
          <w:tcPr>
            <w:tcW w:w="734" w:type="pct"/>
            <w:tcBorders>
              <w:top w:val="single" w:sz="4" w:space="0" w:color="auto"/>
              <w:left w:val="single" w:sz="4" w:space="0" w:color="auto"/>
              <w:bottom w:val="single" w:sz="4" w:space="0" w:color="auto"/>
              <w:right w:val="single" w:sz="4" w:space="0" w:color="auto"/>
            </w:tcBorders>
            <w:shd w:val="clear" w:color="auto" w:fill="auto"/>
            <w:vAlign w:val="center"/>
          </w:tcPr>
          <w:p w14:paraId="04418DF3" w14:textId="77777777" w:rsidR="00A14B9B" w:rsidRPr="002A0D4F" w:rsidRDefault="00A14B9B" w:rsidP="00BF3479">
            <w:pPr>
              <w:pStyle w:val="Tabulka"/>
              <w:spacing w:before="0" w:line="240" w:lineRule="auto"/>
            </w:pPr>
            <w:r w:rsidRPr="002A0D4F">
              <w:t>APZ</w:t>
            </w:r>
          </w:p>
        </w:tc>
        <w:tc>
          <w:tcPr>
            <w:tcW w:w="4266" w:type="pct"/>
            <w:tcBorders>
              <w:top w:val="single" w:sz="4" w:space="0" w:color="auto"/>
              <w:left w:val="single" w:sz="4" w:space="0" w:color="auto"/>
              <w:bottom w:val="single" w:sz="4" w:space="0" w:color="auto"/>
              <w:right w:val="single" w:sz="4" w:space="0" w:color="auto"/>
            </w:tcBorders>
            <w:shd w:val="clear" w:color="auto" w:fill="auto"/>
          </w:tcPr>
          <w:p w14:paraId="61EF49DD" w14:textId="77777777" w:rsidR="00A14B9B" w:rsidRPr="002A0D4F" w:rsidRDefault="00A14B9B" w:rsidP="00BF3479">
            <w:pPr>
              <w:pStyle w:val="Tabulka"/>
              <w:spacing w:before="0" w:line="240" w:lineRule="auto"/>
            </w:pPr>
            <w:r w:rsidRPr="002A0D4F">
              <w:t>Aktivní politika zaměstnanosti</w:t>
            </w:r>
          </w:p>
        </w:tc>
      </w:tr>
      <w:tr w:rsidR="00A14B9B" w:rsidRPr="002A0D4F" w14:paraId="3D3115CC" w14:textId="77777777" w:rsidTr="00DB1D1D">
        <w:trPr>
          <w:cantSplit/>
          <w:trHeight w:val="315"/>
        </w:trPr>
        <w:tc>
          <w:tcPr>
            <w:tcW w:w="734" w:type="pct"/>
            <w:tcBorders>
              <w:top w:val="single" w:sz="4" w:space="0" w:color="auto"/>
              <w:left w:val="single" w:sz="4" w:space="0" w:color="auto"/>
              <w:bottom w:val="single" w:sz="4" w:space="0" w:color="auto"/>
              <w:right w:val="single" w:sz="4" w:space="0" w:color="auto"/>
            </w:tcBorders>
            <w:shd w:val="clear" w:color="auto" w:fill="auto"/>
            <w:vAlign w:val="center"/>
          </w:tcPr>
          <w:p w14:paraId="557C0237" w14:textId="77777777" w:rsidR="00A14B9B" w:rsidRPr="002A0D4F" w:rsidRDefault="00A14B9B" w:rsidP="00BF3479">
            <w:pPr>
              <w:pStyle w:val="Tabulka"/>
              <w:spacing w:before="0" w:line="240" w:lineRule="auto"/>
            </w:pPr>
            <w:r w:rsidRPr="002A0D4F">
              <w:t>CAP</w:t>
            </w:r>
          </w:p>
        </w:tc>
        <w:tc>
          <w:tcPr>
            <w:tcW w:w="4266" w:type="pct"/>
            <w:tcBorders>
              <w:top w:val="single" w:sz="4" w:space="0" w:color="auto"/>
              <w:left w:val="single" w:sz="4" w:space="0" w:color="auto"/>
              <w:bottom w:val="single" w:sz="4" w:space="0" w:color="auto"/>
              <w:right w:val="single" w:sz="4" w:space="0" w:color="auto"/>
            </w:tcBorders>
            <w:shd w:val="clear" w:color="auto" w:fill="auto"/>
          </w:tcPr>
          <w:p w14:paraId="116DD27F" w14:textId="77777777" w:rsidR="00A14B9B" w:rsidRPr="002A0D4F" w:rsidRDefault="00A14B9B" w:rsidP="00BF3479">
            <w:pPr>
              <w:pStyle w:val="Tabulka"/>
              <w:spacing w:before="0" w:line="240" w:lineRule="auto"/>
            </w:pPr>
            <w:r w:rsidRPr="002A0D4F">
              <w:t>Společná zemědělská politika (</w:t>
            </w:r>
            <w:proofErr w:type="spellStart"/>
            <w:r w:rsidRPr="002A0D4F">
              <w:t>Common</w:t>
            </w:r>
            <w:proofErr w:type="spellEnd"/>
            <w:r w:rsidRPr="002A0D4F">
              <w:t xml:space="preserve"> </w:t>
            </w:r>
            <w:proofErr w:type="spellStart"/>
            <w:r w:rsidRPr="002A0D4F">
              <w:t>Agricultural</w:t>
            </w:r>
            <w:proofErr w:type="spellEnd"/>
            <w:r w:rsidRPr="002A0D4F">
              <w:t xml:space="preserve"> </w:t>
            </w:r>
            <w:proofErr w:type="spellStart"/>
            <w:r w:rsidRPr="002A0D4F">
              <w:t>Policy</w:t>
            </w:r>
            <w:proofErr w:type="spellEnd"/>
            <w:r w:rsidRPr="002A0D4F">
              <w:t>)</w:t>
            </w:r>
          </w:p>
        </w:tc>
      </w:tr>
      <w:tr w:rsidR="00A14B9B" w:rsidRPr="002A0D4F" w14:paraId="194FAB77" w14:textId="77777777" w:rsidTr="00DB1D1D">
        <w:trPr>
          <w:cantSplit/>
          <w:trHeight w:val="315"/>
        </w:trPr>
        <w:tc>
          <w:tcPr>
            <w:tcW w:w="734" w:type="pct"/>
            <w:tcBorders>
              <w:top w:val="single" w:sz="4" w:space="0" w:color="auto"/>
              <w:left w:val="single" w:sz="4" w:space="0" w:color="auto"/>
              <w:bottom w:val="single" w:sz="4" w:space="0" w:color="auto"/>
              <w:right w:val="single" w:sz="4" w:space="0" w:color="auto"/>
            </w:tcBorders>
            <w:shd w:val="clear" w:color="auto" w:fill="auto"/>
            <w:vAlign w:val="center"/>
          </w:tcPr>
          <w:p w14:paraId="1F1E0DC6" w14:textId="77777777" w:rsidR="00A14B9B" w:rsidRPr="002A0D4F" w:rsidRDefault="00A14B9B" w:rsidP="00BF3479">
            <w:pPr>
              <w:pStyle w:val="Tabulka"/>
              <w:spacing w:before="0" w:line="240" w:lineRule="auto"/>
            </w:pPr>
            <w:r w:rsidRPr="002A0D4F">
              <w:t>CLLD</w:t>
            </w:r>
          </w:p>
        </w:tc>
        <w:tc>
          <w:tcPr>
            <w:tcW w:w="4266" w:type="pct"/>
            <w:tcBorders>
              <w:top w:val="single" w:sz="4" w:space="0" w:color="auto"/>
              <w:left w:val="single" w:sz="4" w:space="0" w:color="auto"/>
              <w:bottom w:val="single" w:sz="4" w:space="0" w:color="auto"/>
              <w:right w:val="single" w:sz="4" w:space="0" w:color="auto"/>
            </w:tcBorders>
            <w:shd w:val="clear" w:color="auto" w:fill="auto"/>
          </w:tcPr>
          <w:p w14:paraId="5F033686" w14:textId="77777777" w:rsidR="00A14B9B" w:rsidRPr="002A0D4F" w:rsidRDefault="00A14B9B" w:rsidP="00BF3479">
            <w:pPr>
              <w:pStyle w:val="Tabulka"/>
              <w:spacing w:before="0" w:line="240" w:lineRule="auto"/>
            </w:pPr>
            <w:r w:rsidRPr="002A0D4F">
              <w:t>Komunitně vedený místní rozvoj (</w:t>
            </w:r>
            <w:proofErr w:type="spellStart"/>
            <w:r w:rsidRPr="002A0D4F">
              <w:t>Comunity</w:t>
            </w:r>
            <w:proofErr w:type="spellEnd"/>
            <w:r w:rsidRPr="002A0D4F">
              <w:t xml:space="preserve">-led </w:t>
            </w:r>
            <w:proofErr w:type="spellStart"/>
            <w:r w:rsidRPr="002A0D4F">
              <w:t>Local</w:t>
            </w:r>
            <w:proofErr w:type="spellEnd"/>
            <w:r w:rsidRPr="002A0D4F">
              <w:t xml:space="preserve"> Development)</w:t>
            </w:r>
          </w:p>
        </w:tc>
      </w:tr>
      <w:tr w:rsidR="00A14B9B" w:rsidRPr="002A0D4F" w14:paraId="5A3F45F0" w14:textId="77777777" w:rsidTr="00DB1D1D">
        <w:trPr>
          <w:cantSplit/>
          <w:trHeight w:val="315"/>
        </w:trPr>
        <w:tc>
          <w:tcPr>
            <w:tcW w:w="734" w:type="pct"/>
            <w:tcBorders>
              <w:top w:val="single" w:sz="4" w:space="0" w:color="auto"/>
              <w:left w:val="single" w:sz="4" w:space="0" w:color="auto"/>
              <w:bottom w:val="single" w:sz="4" w:space="0" w:color="auto"/>
              <w:right w:val="single" w:sz="4" w:space="0" w:color="auto"/>
            </w:tcBorders>
            <w:shd w:val="clear" w:color="auto" w:fill="auto"/>
            <w:vAlign w:val="center"/>
          </w:tcPr>
          <w:p w14:paraId="2071C694" w14:textId="77777777" w:rsidR="00A14B9B" w:rsidRPr="002A0D4F" w:rsidRDefault="00A14B9B" w:rsidP="00BF3479">
            <w:pPr>
              <w:pStyle w:val="Tabulka"/>
              <w:spacing w:before="0" w:line="240" w:lineRule="auto"/>
            </w:pPr>
            <w:r w:rsidRPr="002A0D4F">
              <w:t>CZ NACE</w:t>
            </w:r>
          </w:p>
        </w:tc>
        <w:tc>
          <w:tcPr>
            <w:tcW w:w="4266" w:type="pct"/>
            <w:tcBorders>
              <w:top w:val="single" w:sz="4" w:space="0" w:color="auto"/>
              <w:left w:val="single" w:sz="4" w:space="0" w:color="auto"/>
              <w:bottom w:val="single" w:sz="4" w:space="0" w:color="auto"/>
              <w:right w:val="single" w:sz="4" w:space="0" w:color="auto"/>
            </w:tcBorders>
            <w:shd w:val="clear" w:color="auto" w:fill="auto"/>
          </w:tcPr>
          <w:p w14:paraId="47DBE725" w14:textId="77777777" w:rsidR="00A14B9B" w:rsidRPr="002A0D4F" w:rsidRDefault="00A14B9B" w:rsidP="00BF3479">
            <w:pPr>
              <w:pStyle w:val="Tabulka"/>
              <w:spacing w:before="0" w:line="240" w:lineRule="auto"/>
            </w:pPr>
            <w:r w:rsidRPr="002A0D4F">
              <w:t>Klasifikace ekonomických činností (</w:t>
            </w:r>
            <w:proofErr w:type="spellStart"/>
            <w:r w:rsidRPr="002A0D4F">
              <w:t>Nomenclature</w:t>
            </w:r>
            <w:proofErr w:type="spellEnd"/>
            <w:r w:rsidRPr="002A0D4F">
              <w:t xml:space="preserve"> </w:t>
            </w:r>
            <w:proofErr w:type="spellStart"/>
            <w:r w:rsidRPr="002A0D4F">
              <w:t>générale</w:t>
            </w:r>
            <w:proofErr w:type="spellEnd"/>
            <w:r w:rsidRPr="002A0D4F">
              <w:t xml:space="preserve"> des </w:t>
            </w:r>
            <w:proofErr w:type="spellStart"/>
            <w:r w:rsidRPr="002A0D4F">
              <w:t>Activités</w:t>
            </w:r>
            <w:proofErr w:type="spellEnd"/>
            <w:r w:rsidRPr="002A0D4F">
              <w:t xml:space="preserve"> </w:t>
            </w:r>
            <w:proofErr w:type="spellStart"/>
            <w:r w:rsidRPr="002A0D4F">
              <w:t>économique</w:t>
            </w:r>
            <w:proofErr w:type="spellEnd"/>
            <w:r w:rsidRPr="002A0D4F">
              <w:t xml:space="preserve"> </w:t>
            </w:r>
            <w:proofErr w:type="spellStart"/>
            <w:r w:rsidRPr="002A0D4F">
              <w:t>dans</w:t>
            </w:r>
            <w:proofErr w:type="spellEnd"/>
            <w:r w:rsidRPr="002A0D4F">
              <w:t xml:space="preserve"> les </w:t>
            </w:r>
            <w:proofErr w:type="spellStart"/>
            <w:r w:rsidRPr="002A0D4F">
              <w:t>Communautés</w:t>
            </w:r>
            <w:proofErr w:type="spellEnd"/>
            <w:r w:rsidRPr="002A0D4F">
              <w:t xml:space="preserve"> </w:t>
            </w:r>
            <w:proofErr w:type="spellStart"/>
            <w:r w:rsidRPr="002A0D4F">
              <w:t>Européennes</w:t>
            </w:r>
            <w:proofErr w:type="spellEnd"/>
            <w:r w:rsidRPr="002A0D4F">
              <w:t>)</w:t>
            </w:r>
          </w:p>
        </w:tc>
      </w:tr>
      <w:tr w:rsidR="00A14B9B" w:rsidRPr="002A0D4F" w14:paraId="5456D106" w14:textId="77777777" w:rsidTr="00DB1D1D">
        <w:trPr>
          <w:cantSplit/>
          <w:trHeight w:val="315"/>
        </w:trPr>
        <w:tc>
          <w:tcPr>
            <w:tcW w:w="734" w:type="pct"/>
            <w:tcBorders>
              <w:top w:val="single" w:sz="4" w:space="0" w:color="auto"/>
              <w:left w:val="single" w:sz="4" w:space="0" w:color="auto"/>
              <w:bottom w:val="single" w:sz="4" w:space="0" w:color="auto"/>
              <w:right w:val="single" w:sz="4" w:space="0" w:color="auto"/>
            </w:tcBorders>
            <w:shd w:val="clear" w:color="auto" w:fill="auto"/>
            <w:vAlign w:val="center"/>
          </w:tcPr>
          <w:p w14:paraId="486AFDAD" w14:textId="77777777" w:rsidR="00A14B9B" w:rsidRPr="002A0D4F" w:rsidRDefault="00A14B9B" w:rsidP="00BF3479">
            <w:pPr>
              <w:pStyle w:val="Tabulka"/>
              <w:spacing w:before="0" w:line="240" w:lineRule="auto"/>
            </w:pPr>
            <w:r w:rsidRPr="002A0D4F">
              <w:t>ČOV</w:t>
            </w:r>
          </w:p>
        </w:tc>
        <w:tc>
          <w:tcPr>
            <w:tcW w:w="4266" w:type="pct"/>
            <w:tcBorders>
              <w:top w:val="single" w:sz="4" w:space="0" w:color="auto"/>
              <w:left w:val="single" w:sz="4" w:space="0" w:color="auto"/>
              <w:bottom w:val="single" w:sz="4" w:space="0" w:color="auto"/>
              <w:right w:val="single" w:sz="4" w:space="0" w:color="auto"/>
            </w:tcBorders>
            <w:shd w:val="clear" w:color="auto" w:fill="auto"/>
          </w:tcPr>
          <w:p w14:paraId="4B92A87E" w14:textId="77777777" w:rsidR="00A14B9B" w:rsidRPr="002A0D4F" w:rsidRDefault="00A14B9B" w:rsidP="00BF3479">
            <w:pPr>
              <w:pStyle w:val="Tabulka"/>
              <w:spacing w:before="0" w:line="240" w:lineRule="auto"/>
            </w:pPr>
            <w:r w:rsidRPr="002A0D4F">
              <w:t>Čistírna odpadních vod</w:t>
            </w:r>
          </w:p>
        </w:tc>
      </w:tr>
      <w:tr w:rsidR="00A14B9B" w:rsidRPr="002A0D4F" w14:paraId="2974C9F7" w14:textId="77777777" w:rsidTr="00DB1D1D">
        <w:trPr>
          <w:cantSplit/>
          <w:trHeight w:val="315"/>
        </w:trPr>
        <w:tc>
          <w:tcPr>
            <w:tcW w:w="734" w:type="pct"/>
            <w:tcBorders>
              <w:top w:val="single" w:sz="4" w:space="0" w:color="auto"/>
              <w:left w:val="single" w:sz="4" w:space="0" w:color="auto"/>
              <w:bottom w:val="single" w:sz="4" w:space="0" w:color="auto"/>
              <w:right w:val="single" w:sz="4" w:space="0" w:color="auto"/>
            </w:tcBorders>
            <w:shd w:val="clear" w:color="auto" w:fill="auto"/>
            <w:vAlign w:val="center"/>
          </w:tcPr>
          <w:p w14:paraId="219DB88F" w14:textId="77777777" w:rsidR="00A14B9B" w:rsidRPr="002A0D4F" w:rsidRDefault="00A14B9B" w:rsidP="00BF3479">
            <w:pPr>
              <w:pStyle w:val="Tabulka"/>
              <w:spacing w:before="0" w:line="240" w:lineRule="auto"/>
            </w:pPr>
            <w:r w:rsidRPr="002A0D4F">
              <w:t>ČR</w:t>
            </w:r>
          </w:p>
        </w:tc>
        <w:tc>
          <w:tcPr>
            <w:tcW w:w="4266" w:type="pct"/>
            <w:tcBorders>
              <w:top w:val="single" w:sz="4" w:space="0" w:color="auto"/>
              <w:left w:val="single" w:sz="4" w:space="0" w:color="auto"/>
              <w:bottom w:val="single" w:sz="4" w:space="0" w:color="auto"/>
              <w:right w:val="single" w:sz="4" w:space="0" w:color="auto"/>
            </w:tcBorders>
            <w:shd w:val="clear" w:color="auto" w:fill="auto"/>
          </w:tcPr>
          <w:p w14:paraId="3ABE1693" w14:textId="77777777" w:rsidR="00A14B9B" w:rsidRPr="002A0D4F" w:rsidRDefault="00A14B9B" w:rsidP="00BF3479">
            <w:pPr>
              <w:pStyle w:val="Tabulka"/>
              <w:spacing w:before="0" w:line="240" w:lineRule="auto"/>
            </w:pPr>
            <w:r w:rsidRPr="002A0D4F">
              <w:t>Česká republika</w:t>
            </w:r>
          </w:p>
        </w:tc>
      </w:tr>
      <w:tr w:rsidR="00A14B9B" w:rsidRPr="002A0D4F" w14:paraId="334F0E3A" w14:textId="77777777" w:rsidTr="00DB1D1D">
        <w:trPr>
          <w:cantSplit/>
          <w:trHeight w:val="315"/>
        </w:trPr>
        <w:tc>
          <w:tcPr>
            <w:tcW w:w="734" w:type="pct"/>
            <w:tcBorders>
              <w:top w:val="single" w:sz="4" w:space="0" w:color="auto"/>
              <w:left w:val="single" w:sz="4" w:space="0" w:color="auto"/>
              <w:bottom w:val="single" w:sz="4" w:space="0" w:color="auto"/>
              <w:right w:val="single" w:sz="4" w:space="0" w:color="auto"/>
            </w:tcBorders>
            <w:shd w:val="clear" w:color="auto" w:fill="auto"/>
            <w:vAlign w:val="center"/>
          </w:tcPr>
          <w:p w14:paraId="0074C3EE" w14:textId="77777777" w:rsidR="00A14B9B" w:rsidRPr="002A0D4F" w:rsidRDefault="00A14B9B" w:rsidP="00BF3479">
            <w:pPr>
              <w:pStyle w:val="Tabulka"/>
              <w:spacing w:before="0" w:line="240" w:lineRule="auto"/>
            </w:pPr>
            <w:r w:rsidRPr="002A0D4F">
              <w:t>ČSÚ</w:t>
            </w:r>
          </w:p>
        </w:tc>
        <w:tc>
          <w:tcPr>
            <w:tcW w:w="4266" w:type="pct"/>
            <w:tcBorders>
              <w:top w:val="single" w:sz="4" w:space="0" w:color="auto"/>
              <w:left w:val="single" w:sz="4" w:space="0" w:color="auto"/>
              <w:bottom w:val="single" w:sz="4" w:space="0" w:color="auto"/>
              <w:right w:val="single" w:sz="4" w:space="0" w:color="auto"/>
            </w:tcBorders>
            <w:shd w:val="clear" w:color="auto" w:fill="auto"/>
          </w:tcPr>
          <w:p w14:paraId="1A8D219C" w14:textId="77777777" w:rsidR="00A14B9B" w:rsidRPr="002A0D4F" w:rsidRDefault="00A14B9B" w:rsidP="00BF3479">
            <w:pPr>
              <w:pStyle w:val="Tabulka"/>
              <w:spacing w:before="0" w:line="240" w:lineRule="auto"/>
            </w:pPr>
            <w:r w:rsidRPr="002A0D4F">
              <w:t>Český statistický úřad</w:t>
            </w:r>
          </w:p>
        </w:tc>
      </w:tr>
      <w:tr w:rsidR="00A14B9B" w:rsidRPr="002A0D4F" w14:paraId="250887B1" w14:textId="77777777" w:rsidTr="00DB1D1D">
        <w:trPr>
          <w:cantSplit/>
          <w:trHeight w:val="315"/>
        </w:trPr>
        <w:tc>
          <w:tcPr>
            <w:tcW w:w="734" w:type="pct"/>
            <w:tcBorders>
              <w:top w:val="single" w:sz="4" w:space="0" w:color="auto"/>
              <w:left w:val="single" w:sz="4" w:space="0" w:color="auto"/>
              <w:bottom w:val="single" w:sz="4" w:space="0" w:color="auto"/>
              <w:right w:val="single" w:sz="4" w:space="0" w:color="auto"/>
            </w:tcBorders>
            <w:shd w:val="clear" w:color="auto" w:fill="auto"/>
            <w:vAlign w:val="center"/>
          </w:tcPr>
          <w:p w14:paraId="7AE1A105" w14:textId="77777777" w:rsidR="00A14B9B" w:rsidRPr="002A0D4F" w:rsidRDefault="00A14B9B" w:rsidP="00BF3479">
            <w:pPr>
              <w:pStyle w:val="Tabulka"/>
              <w:spacing w:before="0" w:line="240" w:lineRule="auto"/>
            </w:pPr>
            <w:r w:rsidRPr="002A0D4F">
              <w:t>DU</w:t>
            </w:r>
          </w:p>
        </w:tc>
        <w:tc>
          <w:tcPr>
            <w:tcW w:w="4266" w:type="pct"/>
            <w:tcBorders>
              <w:top w:val="single" w:sz="4" w:space="0" w:color="auto"/>
              <w:left w:val="single" w:sz="4" w:space="0" w:color="auto"/>
              <w:bottom w:val="single" w:sz="4" w:space="0" w:color="auto"/>
              <w:right w:val="single" w:sz="4" w:space="0" w:color="auto"/>
            </w:tcBorders>
            <w:shd w:val="clear" w:color="auto" w:fill="auto"/>
          </w:tcPr>
          <w:p w14:paraId="3CEB2C1F" w14:textId="77777777" w:rsidR="00A14B9B" w:rsidRPr="002A0D4F" w:rsidRDefault="00A14B9B" w:rsidP="00BF3479">
            <w:pPr>
              <w:pStyle w:val="Tabulka"/>
              <w:spacing w:before="0" w:line="240" w:lineRule="auto"/>
            </w:pPr>
            <w:r w:rsidRPr="002A0D4F">
              <w:t>dosažitelný uchazeč o práci</w:t>
            </w:r>
          </w:p>
        </w:tc>
      </w:tr>
      <w:tr w:rsidR="00A14B9B" w:rsidRPr="002A0D4F" w14:paraId="0806952D" w14:textId="77777777" w:rsidTr="00DB1D1D">
        <w:trPr>
          <w:cantSplit/>
          <w:trHeight w:val="315"/>
        </w:trPr>
        <w:tc>
          <w:tcPr>
            <w:tcW w:w="734" w:type="pct"/>
            <w:tcBorders>
              <w:top w:val="single" w:sz="4" w:space="0" w:color="auto"/>
              <w:left w:val="single" w:sz="4" w:space="0" w:color="auto"/>
              <w:bottom w:val="single" w:sz="4" w:space="0" w:color="auto"/>
              <w:right w:val="single" w:sz="4" w:space="0" w:color="auto"/>
            </w:tcBorders>
            <w:shd w:val="clear" w:color="auto" w:fill="auto"/>
            <w:vAlign w:val="center"/>
          </w:tcPr>
          <w:p w14:paraId="534A5064" w14:textId="77777777" w:rsidR="00A14B9B" w:rsidRPr="002A0D4F" w:rsidRDefault="00A14B9B" w:rsidP="00BF3479">
            <w:pPr>
              <w:pStyle w:val="Tabulka"/>
              <w:spacing w:before="0" w:line="240" w:lineRule="auto"/>
            </w:pPr>
            <w:r w:rsidRPr="002A0D4F">
              <w:t>E.O.</w:t>
            </w:r>
          </w:p>
        </w:tc>
        <w:tc>
          <w:tcPr>
            <w:tcW w:w="4266" w:type="pct"/>
            <w:tcBorders>
              <w:top w:val="single" w:sz="4" w:space="0" w:color="auto"/>
              <w:left w:val="single" w:sz="4" w:space="0" w:color="auto"/>
              <w:bottom w:val="single" w:sz="4" w:space="0" w:color="auto"/>
              <w:right w:val="single" w:sz="4" w:space="0" w:color="auto"/>
            </w:tcBorders>
            <w:shd w:val="clear" w:color="auto" w:fill="auto"/>
          </w:tcPr>
          <w:p w14:paraId="64FAE3EB" w14:textId="77777777" w:rsidR="00A14B9B" w:rsidRPr="002A0D4F" w:rsidRDefault="00A14B9B" w:rsidP="00BF3479">
            <w:pPr>
              <w:pStyle w:val="Tabulka"/>
              <w:spacing w:before="0" w:line="240" w:lineRule="auto"/>
            </w:pPr>
            <w:r w:rsidRPr="002A0D4F">
              <w:t>ekvivalentní obyvatel</w:t>
            </w:r>
          </w:p>
        </w:tc>
      </w:tr>
      <w:tr w:rsidR="00A14B9B" w:rsidRPr="002A0D4F" w14:paraId="1FCC47E3" w14:textId="77777777" w:rsidTr="00DB1D1D">
        <w:trPr>
          <w:cantSplit/>
          <w:trHeight w:val="315"/>
        </w:trPr>
        <w:tc>
          <w:tcPr>
            <w:tcW w:w="734" w:type="pct"/>
            <w:tcBorders>
              <w:top w:val="single" w:sz="4" w:space="0" w:color="auto"/>
              <w:left w:val="single" w:sz="4" w:space="0" w:color="auto"/>
              <w:bottom w:val="single" w:sz="4" w:space="0" w:color="auto"/>
              <w:right w:val="single" w:sz="4" w:space="0" w:color="auto"/>
            </w:tcBorders>
            <w:shd w:val="clear" w:color="auto" w:fill="auto"/>
            <w:vAlign w:val="center"/>
          </w:tcPr>
          <w:p w14:paraId="7F959AE9" w14:textId="77777777" w:rsidR="00A14B9B" w:rsidRPr="002A0D4F" w:rsidRDefault="00A14B9B" w:rsidP="00BF3479">
            <w:pPr>
              <w:pStyle w:val="Tabulka"/>
              <w:spacing w:before="0" w:line="240" w:lineRule="auto"/>
            </w:pPr>
            <w:r w:rsidRPr="002A0D4F">
              <w:t>EAFRD</w:t>
            </w:r>
          </w:p>
        </w:tc>
        <w:tc>
          <w:tcPr>
            <w:tcW w:w="4266" w:type="pct"/>
            <w:tcBorders>
              <w:top w:val="single" w:sz="4" w:space="0" w:color="auto"/>
              <w:left w:val="single" w:sz="4" w:space="0" w:color="auto"/>
              <w:bottom w:val="single" w:sz="4" w:space="0" w:color="auto"/>
              <w:right w:val="single" w:sz="4" w:space="0" w:color="auto"/>
            </w:tcBorders>
            <w:shd w:val="clear" w:color="auto" w:fill="auto"/>
          </w:tcPr>
          <w:p w14:paraId="2964EC5C" w14:textId="77777777" w:rsidR="00A14B9B" w:rsidRPr="002A0D4F" w:rsidRDefault="00A14B9B" w:rsidP="00BF3479">
            <w:pPr>
              <w:pStyle w:val="Tabulka"/>
              <w:spacing w:before="0" w:line="240" w:lineRule="auto"/>
            </w:pPr>
            <w:r w:rsidRPr="002A0D4F">
              <w:t>Evropský zemědělský fond pro rozvoj venkova (</w:t>
            </w:r>
            <w:proofErr w:type="spellStart"/>
            <w:r w:rsidRPr="002A0D4F">
              <w:t>European</w:t>
            </w:r>
            <w:proofErr w:type="spellEnd"/>
            <w:r w:rsidRPr="002A0D4F">
              <w:t xml:space="preserve"> </w:t>
            </w:r>
            <w:proofErr w:type="spellStart"/>
            <w:r w:rsidRPr="002A0D4F">
              <w:t>Agricultural</w:t>
            </w:r>
            <w:proofErr w:type="spellEnd"/>
            <w:r w:rsidRPr="002A0D4F">
              <w:t xml:space="preserve"> </w:t>
            </w:r>
            <w:proofErr w:type="spellStart"/>
            <w:r w:rsidRPr="002A0D4F">
              <w:t>Fund</w:t>
            </w:r>
            <w:proofErr w:type="spellEnd"/>
            <w:r w:rsidRPr="002A0D4F">
              <w:t xml:space="preserve"> </w:t>
            </w:r>
            <w:proofErr w:type="spellStart"/>
            <w:r w:rsidRPr="002A0D4F">
              <w:t>for</w:t>
            </w:r>
            <w:proofErr w:type="spellEnd"/>
            <w:r w:rsidRPr="002A0D4F">
              <w:t xml:space="preserve"> </w:t>
            </w:r>
            <w:proofErr w:type="spellStart"/>
            <w:r w:rsidRPr="002A0D4F">
              <w:t>Rural</w:t>
            </w:r>
            <w:proofErr w:type="spellEnd"/>
            <w:r w:rsidRPr="002A0D4F">
              <w:t xml:space="preserve"> Development)</w:t>
            </w:r>
          </w:p>
        </w:tc>
      </w:tr>
      <w:tr w:rsidR="00A14B9B" w:rsidRPr="002A0D4F" w14:paraId="42CEB0B8" w14:textId="77777777" w:rsidTr="00DB1D1D">
        <w:trPr>
          <w:cantSplit/>
          <w:trHeight w:val="315"/>
        </w:trPr>
        <w:tc>
          <w:tcPr>
            <w:tcW w:w="734" w:type="pct"/>
            <w:tcBorders>
              <w:top w:val="single" w:sz="4" w:space="0" w:color="auto"/>
              <w:left w:val="single" w:sz="4" w:space="0" w:color="auto"/>
              <w:bottom w:val="single" w:sz="4" w:space="0" w:color="auto"/>
              <w:right w:val="single" w:sz="4" w:space="0" w:color="auto"/>
            </w:tcBorders>
            <w:shd w:val="clear" w:color="auto" w:fill="auto"/>
            <w:vAlign w:val="center"/>
          </w:tcPr>
          <w:p w14:paraId="7AEE875C" w14:textId="77777777" w:rsidR="00A14B9B" w:rsidRPr="002A0D4F" w:rsidRDefault="00A14B9B" w:rsidP="00BF3479">
            <w:pPr>
              <w:pStyle w:val="Tabulka"/>
              <w:spacing w:before="0" w:line="240" w:lineRule="auto"/>
            </w:pPr>
            <w:r w:rsidRPr="002A0D4F">
              <w:t>EKOTOXA</w:t>
            </w:r>
          </w:p>
        </w:tc>
        <w:tc>
          <w:tcPr>
            <w:tcW w:w="4266" w:type="pct"/>
            <w:tcBorders>
              <w:top w:val="single" w:sz="4" w:space="0" w:color="auto"/>
              <w:left w:val="single" w:sz="4" w:space="0" w:color="auto"/>
              <w:bottom w:val="single" w:sz="4" w:space="0" w:color="auto"/>
              <w:right w:val="single" w:sz="4" w:space="0" w:color="auto"/>
            </w:tcBorders>
            <w:shd w:val="clear" w:color="auto" w:fill="auto"/>
          </w:tcPr>
          <w:p w14:paraId="2BCBC198" w14:textId="77777777" w:rsidR="00A14B9B" w:rsidRPr="002A0D4F" w:rsidRDefault="00A14B9B" w:rsidP="00BF3479">
            <w:pPr>
              <w:pStyle w:val="Tabulka"/>
              <w:spacing w:before="0" w:line="240" w:lineRule="auto"/>
            </w:pPr>
            <w:r w:rsidRPr="002A0D4F">
              <w:t>Centrum pro životní prostředí a hodnocení krajiny (poradenská, analytická a projekční společnost)</w:t>
            </w:r>
          </w:p>
        </w:tc>
      </w:tr>
      <w:tr w:rsidR="00A14B9B" w:rsidRPr="002A0D4F" w14:paraId="37FFE5CD" w14:textId="77777777" w:rsidTr="00DB1D1D">
        <w:trPr>
          <w:cantSplit/>
          <w:trHeight w:val="315"/>
        </w:trPr>
        <w:tc>
          <w:tcPr>
            <w:tcW w:w="734" w:type="pct"/>
            <w:tcBorders>
              <w:top w:val="single" w:sz="4" w:space="0" w:color="auto"/>
              <w:left w:val="single" w:sz="4" w:space="0" w:color="auto"/>
              <w:bottom w:val="single" w:sz="4" w:space="0" w:color="auto"/>
              <w:right w:val="single" w:sz="4" w:space="0" w:color="auto"/>
            </w:tcBorders>
            <w:shd w:val="clear" w:color="auto" w:fill="auto"/>
            <w:vAlign w:val="center"/>
          </w:tcPr>
          <w:p w14:paraId="0E5E6E25" w14:textId="77777777" w:rsidR="00A14B9B" w:rsidRPr="002A0D4F" w:rsidRDefault="00A14B9B" w:rsidP="00BF3479">
            <w:pPr>
              <w:pStyle w:val="Tabulka"/>
              <w:spacing w:before="0" w:line="240" w:lineRule="auto"/>
            </w:pPr>
            <w:r w:rsidRPr="002A0D4F">
              <w:t>EU</w:t>
            </w:r>
          </w:p>
        </w:tc>
        <w:tc>
          <w:tcPr>
            <w:tcW w:w="4266" w:type="pct"/>
            <w:tcBorders>
              <w:top w:val="single" w:sz="4" w:space="0" w:color="auto"/>
              <w:left w:val="single" w:sz="4" w:space="0" w:color="auto"/>
              <w:bottom w:val="single" w:sz="4" w:space="0" w:color="auto"/>
              <w:right w:val="single" w:sz="4" w:space="0" w:color="auto"/>
            </w:tcBorders>
            <w:shd w:val="clear" w:color="auto" w:fill="auto"/>
          </w:tcPr>
          <w:p w14:paraId="57B4391D" w14:textId="77777777" w:rsidR="00A14B9B" w:rsidRPr="002A0D4F" w:rsidRDefault="00A14B9B" w:rsidP="00BF3479">
            <w:pPr>
              <w:pStyle w:val="Tabulka"/>
              <w:spacing w:before="0" w:line="240" w:lineRule="auto"/>
            </w:pPr>
            <w:r w:rsidRPr="002A0D4F">
              <w:t>Evropská unie (EU 15 - po roce 1994 (vč. Rakouska, Finska a Švédska), EU 25 - od 1.5.2004, EU 27- od 1.1.2007, EU 28- od 1.7.2013)</w:t>
            </w:r>
          </w:p>
        </w:tc>
      </w:tr>
      <w:tr w:rsidR="00A14B9B" w:rsidRPr="002A0D4F" w14:paraId="49CD2C37" w14:textId="77777777" w:rsidTr="00DB1D1D">
        <w:trPr>
          <w:cantSplit/>
          <w:trHeight w:val="315"/>
        </w:trPr>
        <w:tc>
          <w:tcPr>
            <w:tcW w:w="734" w:type="pct"/>
            <w:tcBorders>
              <w:top w:val="single" w:sz="4" w:space="0" w:color="auto"/>
              <w:left w:val="single" w:sz="4" w:space="0" w:color="auto"/>
              <w:bottom w:val="single" w:sz="4" w:space="0" w:color="auto"/>
              <w:right w:val="single" w:sz="4" w:space="0" w:color="auto"/>
            </w:tcBorders>
            <w:shd w:val="clear" w:color="auto" w:fill="auto"/>
            <w:vAlign w:val="center"/>
          </w:tcPr>
          <w:p w14:paraId="6F1FC243" w14:textId="77777777" w:rsidR="00A14B9B" w:rsidRPr="002A0D4F" w:rsidRDefault="00A14B9B" w:rsidP="00BF3479">
            <w:pPr>
              <w:pStyle w:val="Tabulka"/>
              <w:spacing w:before="0" w:line="240" w:lineRule="auto"/>
            </w:pPr>
            <w:r w:rsidRPr="002A0D4F">
              <w:t>EUR</w:t>
            </w:r>
          </w:p>
        </w:tc>
        <w:tc>
          <w:tcPr>
            <w:tcW w:w="4266" w:type="pct"/>
            <w:tcBorders>
              <w:top w:val="single" w:sz="4" w:space="0" w:color="auto"/>
              <w:left w:val="single" w:sz="4" w:space="0" w:color="auto"/>
              <w:bottom w:val="single" w:sz="4" w:space="0" w:color="auto"/>
              <w:right w:val="single" w:sz="4" w:space="0" w:color="auto"/>
            </w:tcBorders>
            <w:shd w:val="clear" w:color="auto" w:fill="auto"/>
          </w:tcPr>
          <w:p w14:paraId="306C678C" w14:textId="77777777" w:rsidR="00A14B9B" w:rsidRPr="002A0D4F" w:rsidRDefault="00A14B9B" w:rsidP="00BF3479">
            <w:pPr>
              <w:pStyle w:val="Tabulka"/>
              <w:spacing w:before="0" w:line="240" w:lineRule="auto"/>
            </w:pPr>
            <w:r w:rsidRPr="002A0D4F">
              <w:t>euro, oficiální platidlo 19 z 28 států Evropské unie</w:t>
            </w:r>
          </w:p>
        </w:tc>
      </w:tr>
      <w:tr w:rsidR="00A14B9B" w:rsidRPr="002A0D4F" w14:paraId="2BFADD61" w14:textId="77777777" w:rsidTr="00DB1D1D">
        <w:trPr>
          <w:cantSplit/>
          <w:trHeight w:val="315"/>
        </w:trPr>
        <w:tc>
          <w:tcPr>
            <w:tcW w:w="734" w:type="pct"/>
            <w:tcBorders>
              <w:top w:val="single" w:sz="4" w:space="0" w:color="auto"/>
              <w:left w:val="single" w:sz="4" w:space="0" w:color="auto"/>
              <w:bottom w:val="single" w:sz="4" w:space="0" w:color="auto"/>
              <w:right w:val="single" w:sz="4" w:space="0" w:color="auto"/>
            </w:tcBorders>
            <w:shd w:val="clear" w:color="auto" w:fill="auto"/>
            <w:vAlign w:val="center"/>
          </w:tcPr>
          <w:p w14:paraId="5F262953" w14:textId="77777777" w:rsidR="00A14B9B" w:rsidRPr="002A0D4F" w:rsidRDefault="00A14B9B" w:rsidP="00BF3479">
            <w:pPr>
              <w:pStyle w:val="Tabulka"/>
              <w:spacing w:before="0" w:line="240" w:lineRule="auto"/>
            </w:pPr>
            <w:r w:rsidRPr="002A0D4F">
              <w:t>EUROSTAT</w:t>
            </w:r>
          </w:p>
        </w:tc>
        <w:tc>
          <w:tcPr>
            <w:tcW w:w="4266" w:type="pct"/>
            <w:tcBorders>
              <w:top w:val="single" w:sz="4" w:space="0" w:color="auto"/>
              <w:left w:val="single" w:sz="4" w:space="0" w:color="auto"/>
              <w:bottom w:val="single" w:sz="4" w:space="0" w:color="auto"/>
              <w:right w:val="single" w:sz="4" w:space="0" w:color="auto"/>
            </w:tcBorders>
            <w:shd w:val="clear" w:color="auto" w:fill="auto"/>
          </w:tcPr>
          <w:p w14:paraId="560C2BD8" w14:textId="77777777" w:rsidR="00A14B9B" w:rsidRPr="002A0D4F" w:rsidRDefault="00A14B9B" w:rsidP="00BF3479">
            <w:pPr>
              <w:pStyle w:val="Tabulka"/>
              <w:spacing w:before="0" w:line="240" w:lineRule="auto"/>
            </w:pPr>
            <w:r w:rsidRPr="002A0D4F">
              <w:t>Statistický úřad Evropské unie</w:t>
            </w:r>
          </w:p>
        </w:tc>
      </w:tr>
      <w:tr w:rsidR="00A14B9B" w:rsidRPr="002A0D4F" w14:paraId="5F8B8891" w14:textId="77777777" w:rsidTr="00DB1D1D">
        <w:trPr>
          <w:cantSplit/>
          <w:trHeight w:val="315"/>
        </w:trPr>
        <w:tc>
          <w:tcPr>
            <w:tcW w:w="734" w:type="pct"/>
            <w:tcBorders>
              <w:top w:val="single" w:sz="4" w:space="0" w:color="auto"/>
              <w:left w:val="single" w:sz="4" w:space="0" w:color="auto"/>
              <w:bottom w:val="single" w:sz="4" w:space="0" w:color="auto"/>
              <w:right w:val="single" w:sz="4" w:space="0" w:color="auto"/>
            </w:tcBorders>
            <w:shd w:val="clear" w:color="auto" w:fill="auto"/>
            <w:vAlign w:val="center"/>
          </w:tcPr>
          <w:p w14:paraId="520B98E5" w14:textId="77777777" w:rsidR="00A14B9B" w:rsidRPr="002A0D4F" w:rsidRDefault="00A14B9B" w:rsidP="00BF3479">
            <w:pPr>
              <w:pStyle w:val="Tabulka"/>
              <w:spacing w:before="0" w:line="240" w:lineRule="auto"/>
            </w:pPr>
            <w:r w:rsidRPr="002A0D4F">
              <w:t>FADN</w:t>
            </w:r>
          </w:p>
        </w:tc>
        <w:tc>
          <w:tcPr>
            <w:tcW w:w="4266" w:type="pct"/>
            <w:tcBorders>
              <w:top w:val="single" w:sz="4" w:space="0" w:color="auto"/>
              <w:left w:val="single" w:sz="4" w:space="0" w:color="auto"/>
              <w:bottom w:val="single" w:sz="4" w:space="0" w:color="auto"/>
              <w:right w:val="single" w:sz="4" w:space="0" w:color="auto"/>
            </w:tcBorders>
            <w:shd w:val="clear" w:color="auto" w:fill="auto"/>
          </w:tcPr>
          <w:p w14:paraId="21F56E0C" w14:textId="77777777" w:rsidR="00A14B9B" w:rsidRPr="002A0D4F" w:rsidRDefault="00A14B9B" w:rsidP="00BF3479">
            <w:pPr>
              <w:pStyle w:val="Tabulka"/>
              <w:spacing w:before="0" w:line="240" w:lineRule="auto"/>
            </w:pPr>
            <w:proofErr w:type="spellStart"/>
            <w:r w:rsidRPr="002A0D4F">
              <w:t>Farm</w:t>
            </w:r>
            <w:proofErr w:type="spellEnd"/>
            <w:r w:rsidRPr="002A0D4F">
              <w:t xml:space="preserve"> </w:t>
            </w:r>
            <w:proofErr w:type="spellStart"/>
            <w:r w:rsidRPr="002A0D4F">
              <w:t>Accountancy</w:t>
            </w:r>
            <w:proofErr w:type="spellEnd"/>
            <w:r w:rsidRPr="002A0D4F">
              <w:t xml:space="preserve"> Data Network (Síť testovacích podniků)</w:t>
            </w:r>
          </w:p>
        </w:tc>
      </w:tr>
      <w:tr w:rsidR="00A14B9B" w:rsidRPr="002A0D4F" w14:paraId="07DE0B7A" w14:textId="77777777" w:rsidTr="00DB1D1D">
        <w:trPr>
          <w:cantSplit/>
          <w:trHeight w:val="315"/>
        </w:trPr>
        <w:tc>
          <w:tcPr>
            <w:tcW w:w="734" w:type="pct"/>
            <w:tcBorders>
              <w:top w:val="single" w:sz="4" w:space="0" w:color="auto"/>
              <w:left w:val="single" w:sz="4" w:space="0" w:color="auto"/>
              <w:bottom w:val="single" w:sz="4" w:space="0" w:color="auto"/>
              <w:right w:val="single" w:sz="4" w:space="0" w:color="auto"/>
            </w:tcBorders>
            <w:shd w:val="clear" w:color="auto" w:fill="auto"/>
            <w:vAlign w:val="center"/>
          </w:tcPr>
          <w:p w14:paraId="07030416" w14:textId="77777777" w:rsidR="00A14B9B" w:rsidRPr="002A0D4F" w:rsidRDefault="00A14B9B" w:rsidP="00BF3479">
            <w:pPr>
              <w:pStyle w:val="Tabulka"/>
              <w:spacing w:before="0" w:line="240" w:lineRule="auto"/>
            </w:pPr>
            <w:r w:rsidRPr="002A0D4F">
              <w:t>ha</w:t>
            </w:r>
          </w:p>
        </w:tc>
        <w:tc>
          <w:tcPr>
            <w:tcW w:w="4266" w:type="pct"/>
            <w:tcBorders>
              <w:top w:val="single" w:sz="4" w:space="0" w:color="auto"/>
              <w:left w:val="single" w:sz="4" w:space="0" w:color="auto"/>
              <w:bottom w:val="single" w:sz="4" w:space="0" w:color="auto"/>
              <w:right w:val="single" w:sz="4" w:space="0" w:color="auto"/>
            </w:tcBorders>
            <w:shd w:val="clear" w:color="auto" w:fill="auto"/>
          </w:tcPr>
          <w:p w14:paraId="19C07891" w14:textId="77777777" w:rsidR="00A14B9B" w:rsidRPr="002A0D4F" w:rsidRDefault="00A14B9B" w:rsidP="00BF3479">
            <w:pPr>
              <w:pStyle w:val="Tabulka"/>
              <w:spacing w:before="0" w:line="240" w:lineRule="auto"/>
            </w:pPr>
            <w:r w:rsidRPr="002A0D4F">
              <w:t>hektar</w:t>
            </w:r>
          </w:p>
        </w:tc>
      </w:tr>
      <w:tr w:rsidR="00A14B9B" w:rsidRPr="002A0D4F" w14:paraId="42A110C2" w14:textId="77777777" w:rsidTr="00DB1D1D">
        <w:trPr>
          <w:cantSplit/>
          <w:trHeight w:val="315"/>
        </w:trPr>
        <w:tc>
          <w:tcPr>
            <w:tcW w:w="734" w:type="pct"/>
            <w:tcBorders>
              <w:top w:val="single" w:sz="4" w:space="0" w:color="auto"/>
              <w:left w:val="single" w:sz="4" w:space="0" w:color="auto"/>
              <w:bottom w:val="single" w:sz="4" w:space="0" w:color="auto"/>
              <w:right w:val="single" w:sz="4" w:space="0" w:color="auto"/>
            </w:tcBorders>
            <w:shd w:val="clear" w:color="auto" w:fill="auto"/>
            <w:vAlign w:val="center"/>
          </w:tcPr>
          <w:p w14:paraId="6C6AEEA8" w14:textId="77777777" w:rsidR="00A14B9B" w:rsidRPr="002A0D4F" w:rsidRDefault="00A14B9B" w:rsidP="00BF3479">
            <w:pPr>
              <w:pStyle w:val="Tabulka"/>
              <w:spacing w:before="0" w:line="240" w:lineRule="auto"/>
            </w:pPr>
            <w:r w:rsidRPr="002A0D4F">
              <w:t>HDP</w:t>
            </w:r>
          </w:p>
        </w:tc>
        <w:tc>
          <w:tcPr>
            <w:tcW w:w="4266" w:type="pct"/>
            <w:tcBorders>
              <w:top w:val="single" w:sz="4" w:space="0" w:color="auto"/>
              <w:left w:val="single" w:sz="4" w:space="0" w:color="auto"/>
              <w:bottom w:val="single" w:sz="4" w:space="0" w:color="auto"/>
              <w:right w:val="single" w:sz="4" w:space="0" w:color="auto"/>
            </w:tcBorders>
            <w:shd w:val="clear" w:color="auto" w:fill="auto"/>
          </w:tcPr>
          <w:p w14:paraId="5D528ABB" w14:textId="77777777" w:rsidR="00A14B9B" w:rsidRPr="002A0D4F" w:rsidRDefault="00A14B9B" w:rsidP="00BF3479">
            <w:pPr>
              <w:pStyle w:val="Tabulka"/>
              <w:spacing w:before="0" w:line="240" w:lineRule="auto"/>
            </w:pPr>
            <w:r w:rsidRPr="002A0D4F">
              <w:t>Hrubý domácí produkt</w:t>
            </w:r>
          </w:p>
        </w:tc>
      </w:tr>
      <w:tr w:rsidR="00A14B9B" w:rsidRPr="002A0D4F" w14:paraId="3E859D05" w14:textId="77777777" w:rsidTr="00DB1D1D">
        <w:trPr>
          <w:cantSplit/>
          <w:trHeight w:val="315"/>
        </w:trPr>
        <w:tc>
          <w:tcPr>
            <w:tcW w:w="734" w:type="pct"/>
            <w:tcBorders>
              <w:top w:val="single" w:sz="4" w:space="0" w:color="auto"/>
              <w:left w:val="single" w:sz="4" w:space="0" w:color="auto"/>
              <w:bottom w:val="single" w:sz="4" w:space="0" w:color="auto"/>
              <w:right w:val="single" w:sz="4" w:space="0" w:color="auto"/>
            </w:tcBorders>
            <w:shd w:val="clear" w:color="auto" w:fill="auto"/>
            <w:vAlign w:val="center"/>
          </w:tcPr>
          <w:p w14:paraId="380CC0BD" w14:textId="77777777" w:rsidR="00A14B9B" w:rsidRPr="002A0D4F" w:rsidRDefault="00A14B9B" w:rsidP="00BF3479">
            <w:pPr>
              <w:pStyle w:val="Tabulka"/>
              <w:spacing w:before="0" w:line="240" w:lineRule="auto"/>
            </w:pPr>
            <w:r w:rsidRPr="002A0D4F">
              <w:t>HPH</w:t>
            </w:r>
          </w:p>
        </w:tc>
        <w:tc>
          <w:tcPr>
            <w:tcW w:w="4266" w:type="pct"/>
            <w:tcBorders>
              <w:top w:val="single" w:sz="4" w:space="0" w:color="auto"/>
              <w:left w:val="single" w:sz="4" w:space="0" w:color="auto"/>
              <w:bottom w:val="single" w:sz="4" w:space="0" w:color="auto"/>
              <w:right w:val="single" w:sz="4" w:space="0" w:color="auto"/>
            </w:tcBorders>
            <w:shd w:val="clear" w:color="auto" w:fill="auto"/>
          </w:tcPr>
          <w:p w14:paraId="5C4AD977" w14:textId="77777777" w:rsidR="00A14B9B" w:rsidRPr="002A0D4F" w:rsidRDefault="00A14B9B" w:rsidP="00BF3479">
            <w:pPr>
              <w:pStyle w:val="Tabulka"/>
              <w:spacing w:before="0" w:line="240" w:lineRule="auto"/>
            </w:pPr>
            <w:r w:rsidRPr="002A0D4F">
              <w:t>Hrubá přidaná hodnota</w:t>
            </w:r>
          </w:p>
        </w:tc>
      </w:tr>
      <w:tr w:rsidR="00A14B9B" w:rsidRPr="002A0D4F" w14:paraId="5B113379" w14:textId="77777777" w:rsidTr="00DB1D1D">
        <w:trPr>
          <w:cantSplit/>
          <w:trHeight w:val="315"/>
        </w:trPr>
        <w:tc>
          <w:tcPr>
            <w:tcW w:w="734" w:type="pct"/>
            <w:tcBorders>
              <w:top w:val="single" w:sz="4" w:space="0" w:color="auto"/>
              <w:left w:val="single" w:sz="4" w:space="0" w:color="auto"/>
              <w:bottom w:val="single" w:sz="4" w:space="0" w:color="auto"/>
              <w:right w:val="single" w:sz="4" w:space="0" w:color="auto"/>
            </w:tcBorders>
            <w:shd w:val="clear" w:color="auto" w:fill="auto"/>
            <w:vAlign w:val="center"/>
          </w:tcPr>
          <w:p w14:paraId="26E5AD26" w14:textId="77777777" w:rsidR="00A14B9B" w:rsidRPr="002A0D4F" w:rsidRDefault="00A14B9B" w:rsidP="00BF3479">
            <w:pPr>
              <w:pStyle w:val="Tabulka"/>
              <w:spacing w:before="0" w:line="240" w:lineRule="auto"/>
            </w:pPr>
            <w:r w:rsidRPr="002A0D4F">
              <w:t>IN</w:t>
            </w:r>
          </w:p>
        </w:tc>
        <w:tc>
          <w:tcPr>
            <w:tcW w:w="4266" w:type="pct"/>
            <w:tcBorders>
              <w:top w:val="single" w:sz="4" w:space="0" w:color="auto"/>
              <w:left w:val="single" w:sz="4" w:space="0" w:color="auto"/>
              <w:bottom w:val="single" w:sz="4" w:space="0" w:color="auto"/>
              <w:right w:val="single" w:sz="4" w:space="0" w:color="auto"/>
            </w:tcBorders>
            <w:shd w:val="clear" w:color="auto" w:fill="auto"/>
          </w:tcPr>
          <w:p w14:paraId="54304699" w14:textId="77777777" w:rsidR="00A14B9B" w:rsidRPr="002A0D4F" w:rsidRDefault="00A14B9B" w:rsidP="00BF3479">
            <w:pPr>
              <w:pStyle w:val="Tabulka"/>
              <w:spacing w:before="0" w:line="240" w:lineRule="auto"/>
            </w:pPr>
            <w:r w:rsidRPr="002A0D4F">
              <w:t xml:space="preserve">přechodný region (zkratka z </w:t>
            </w:r>
            <w:proofErr w:type="spellStart"/>
            <w:r w:rsidRPr="002A0D4F">
              <w:t>intermediate</w:t>
            </w:r>
            <w:proofErr w:type="spellEnd"/>
            <w:r w:rsidRPr="002A0D4F">
              <w:t xml:space="preserve"> region) </w:t>
            </w:r>
          </w:p>
        </w:tc>
      </w:tr>
      <w:tr w:rsidR="00A14B9B" w:rsidRPr="002A0D4F" w14:paraId="51838170" w14:textId="77777777" w:rsidTr="00DB1D1D">
        <w:trPr>
          <w:cantSplit/>
          <w:trHeight w:val="315"/>
        </w:trPr>
        <w:tc>
          <w:tcPr>
            <w:tcW w:w="734" w:type="pct"/>
            <w:tcBorders>
              <w:top w:val="single" w:sz="4" w:space="0" w:color="auto"/>
              <w:left w:val="single" w:sz="4" w:space="0" w:color="auto"/>
              <w:bottom w:val="single" w:sz="4" w:space="0" w:color="auto"/>
              <w:right w:val="single" w:sz="4" w:space="0" w:color="auto"/>
            </w:tcBorders>
            <w:shd w:val="clear" w:color="auto" w:fill="auto"/>
            <w:vAlign w:val="center"/>
          </w:tcPr>
          <w:p w14:paraId="3DF08545" w14:textId="77777777" w:rsidR="00A14B9B" w:rsidRPr="002A0D4F" w:rsidRDefault="00A14B9B" w:rsidP="00BF3479">
            <w:pPr>
              <w:pStyle w:val="Tabulka"/>
              <w:spacing w:before="0" w:line="240" w:lineRule="auto"/>
            </w:pPr>
            <w:r w:rsidRPr="002A0D4F">
              <w:t>Ind.</w:t>
            </w:r>
          </w:p>
        </w:tc>
        <w:tc>
          <w:tcPr>
            <w:tcW w:w="4266" w:type="pct"/>
            <w:tcBorders>
              <w:top w:val="single" w:sz="4" w:space="0" w:color="auto"/>
              <w:left w:val="single" w:sz="4" w:space="0" w:color="auto"/>
              <w:bottom w:val="single" w:sz="4" w:space="0" w:color="auto"/>
              <w:right w:val="single" w:sz="4" w:space="0" w:color="auto"/>
            </w:tcBorders>
            <w:shd w:val="clear" w:color="auto" w:fill="auto"/>
          </w:tcPr>
          <w:p w14:paraId="4F357983" w14:textId="77777777" w:rsidR="00A14B9B" w:rsidRPr="002A0D4F" w:rsidRDefault="00A14B9B" w:rsidP="00BF3479">
            <w:pPr>
              <w:pStyle w:val="Tabulka"/>
              <w:spacing w:before="0" w:line="240" w:lineRule="auto"/>
            </w:pPr>
            <w:r w:rsidRPr="002A0D4F">
              <w:t>Index</w:t>
            </w:r>
          </w:p>
        </w:tc>
      </w:tr>
      <w:tr w:rsidR="00A14B9B" w:rsidRPr="002A0D4F" w14:paraId="5CE97BC6" w14:textId="77777777" w:rsidTr="00DB1D1D">
        <w:trPr>
          <w:cantSplit/>
          <w:trHeight w:val="315"/>
        </w:trPr>
        <w:tc>
          <w:tcPr>
            <w:tcW w:w="734" w:type="pct"/>
            <w:tcBorders>
              <w:top w:val="single" w:sz="4" w:space="0" w:color="auto"/>
              <w:left w:val="single" w:sz="4" w:space="0" w:color="auto"/>
              <w:bottom w:val="single" w:sz="4" w:space="0" w:color="auto"/>
              <w:right w:val="single" w:sz="4" w:space="0" w:color="auto"/>
            </w:tcBorders>
            <w:shd w:val="clear" w:color="auto" w:fill="auto"/>
            <w:vAlign w:val="center"/>
          </w:tcPr>
          <w:p w14:paraId="3D098047" w14:textId="77777777" w:rsidR="00A14B9B" w:rsidRPr="002A0D4F" w:rsidRDefault="00A14B9B" w:rsidP="00BF3479">
            <w:pPr>
              <w:pStyle w:val="Tabulka"/>
              <w:spacing w:before="0" w:line="240" w:lineRule="auto"/>
            </w:pPr>
            <w:r w:rsidRPr="002A0D4F">
              <w:t>IREAS</w:t>
            </w:r>
          </w:p>
        </w:tc>
        <w:tc>
          <w:tcPr>
            <w:tcW w:w="4266" w:type="pct"/>
            <w:tcBorders>
              <w:top w:val="single" w:sz="4" w:space="0" w:color="auto"/>
              <w:left w:val="single" w:sz="4" w:space="0" w:color="auto"/>
              <w:bottom w:val="single" w:sz="4" w:space="0" w:color="auto"/>
              <w:right w:val="single" w:sz="4" w:space="0" w:color="auto"/>
            </w:tcBorders>
            <w:shd w:val="clear" w:color="auto" w:fill="auto"/>
          </w:tcPr>
          <w:p w14:paraId="308AEE6C" w14:textId="77777777" w:rsidR="00A14B9B" w:rsidRPr="002A0D4F" w:rsidRDefault="00A14B9B" w:rsidP="00BF3479">
            <w:pPr>
              <w:pStyle w:val="Tabulka"/>
              <w:spacing w:before="0" w:line="240" w:lineRule="auto"/>
            </w:pPr>
            <w:r w:rsidRPr="002A0D4F">
              <w:t>Institut pro strukturální politiku, o. p. s.</w:t>
            </w:r>
          </w:p>
        </w:tc>
      </w:tr>
      <w:tr w:rsidR="00A14B9B" w:rsidRPr="002A0D4F" w14:paraId="218EC60D" w14:textId="77777777" w:rsidTr="00DB1D1D">
        <w:trPr>
          <w:cantSplit/>
          <w:trHeight w:val="315"/>
        </w:trPr>
        <w:tc>
          <w:tcPr>
            <w:tcW w:w="734" w:type="pct"/>
            <w:tcBorders>
              <w:top w:val="single" w:sz="4" w:space="0" w:color="auto"/>
              <w:left w:val="single" w:sz="4" w:space="0" w:color="auto"/>
              <w:bottom w:val="single" w:sz="4" w:space="0" w:color="auto"/>
              <w:right w:val="single" w:sz="4" w:space="0" w:color="auto"/>
            </w:tcBorders>
            <w:shd w:val="clear" w:color="auto" w:fill="auto"/>
            <w:vAlign w:val="center"/>
          </w:tcPr>
          <w:p w14:paraId="043E5345" w14:textId="77777777" w:rsidR="00A14B9B" w:rsidRPr="002A0D4F" w:rsidRDefault="00A14B9B" w:rsidP="00BF3479">
            <w:pPr>
              <w:pStyle w:val="Tabulka"/>
              <w:spacing w:before="0" w:line="240" w:lineRule="auto"/>
            </w:pPr>
            <w:r w:rsidRPr="002A0D4F">
              <w:t>IROP</w:t>
            </w:r>
          </w:p>
        </w:tc>
        <w:tc>
          <w:tcPr>
            <w:tcW w:w="4266" w:type="pct"/>
            <w:tcBorders>
              <w:top w:val="single" w:sz="4" w:space="0" w:color="auto"/>
              <w:left w:val="single" w:sz="4" w:space="0" w:color="auto"/>
              <w:bottom w:val="single" w:sz="4" w:space="0" w:color="auto"/>
              <w:right w:val="single" w:sz="4" w:space="0" w:color="auto"/>
            </w:tcBorders>
            <w:shd w:val="clear" w:color="auto" w:fill="auto"/>
          </w:tcPr>
          <w:p w14:paraId="660D269A" w14:textId="77777777" w:rsidR="00A14B9B" w:rsidRPr="002A0D4F" w:rsidRDefault="00A14B9B" w:rsidP="00BF3479">
            <w:pPr>
              <w:pStyle w:val="Tabulka"/>
              <w:spacing w:before="0" w:line="240" w:lineRule="auto"/>
            </w:pPr>
            <w:r w:rsidRPr="002A0D4F">
              <w:t>Integrovaný regionální operační program</w:t>
            </w:r>
          </w:p>
        </w:tc>
      </w:tr>
      <w:tr w:rsidR="00A14B9B" w:rsidRPr="002A0D4F" w14:paraId="772DDA74" w14:textId="77777777" w:rsidTr="00DB1D1D">
        <w:trPr>
          <w:cantSplit/>
          <w:trHeight w:val="315"/>
        </w:trPr>
        <w:tc>
          <w:tcPr>
            <w:tcW w:w="734" w:type="pct"/>
            <w:tcBorders>
              <w:top w:val="single" w:sz="4" w:space="0" w:color="auto"/>
              <w:left w:val="single" w:sz="4" w:space="0" w:color="auto"/>
              <w:bottom w:val="single" w:sz="4" w:space="0" w:color="auto"/>
              <w:right w:val="single" w:sz="4" w:space="0" w:color="auto"/>
            </w:tcBorders>
            <w:shd w:val="clear" w:color="auto" w:fill="auto"/>
            <w:vAlign w:val="center"/>
          </w:tcPr>
          <w:p w14:paraId="7D50ADF8" w14:textId="77777777" w:rsidR="00A14B9B" w:rsidRPr="002A0D4F" w:rsidRDefault="00A14B9B" w:rsidP="00BF3479">
            <w:pPr>
              <w:pStyle w:val="Tabulka"/>
              <w:spacing w:before="0" w:line="240" w:lineRule="auto"/>
            </w:pPr>
            <w:r w:rsidRPr="002A0D4F">
              <w:t>Kč</w:t>
            </w:r>
          </w:p>
        </w:tc>
        <w:tc>
          <w:tcPr>
            <w:tcW w:w="4266" w:type="pct"/>
            <w:tcBorders>
              <w:top w:val="single" w:sz="4" w:space="0" w:color="auto"/>
              <w:left w:val="single" w:sz="4" w:space="0" w:color="auto"/>
              <w:bottom w:val="single" w:sz="4" w:space="0" w:color="auto"/>
              <w:right w:val="single" w:sz="4" w:space="0" w:color="auto"/>
            </w:tcBorders>
            <w:shd w:val="clear" w:color="auto" w:fill="auto"/>
          </w:tcPr>
          <w:p w14:paraId="1B2F0DB7" w14:textId="77777777" w:rsidR="00A14B9B" w:rsidRPr="002A0D4F" w:rsidRDefault="00A14B9B" w:rsidP="00BF3479">
            <w:pPr>
              <w:pStyle w:val="Tabulka"/>
              <w:spacing w:before="0" w:line="240" w:lineRule="auto"/>
            </w:pPr>
            <w:r w:rsidRPr="002A0D4F">
              <w:t>Koruna česká</w:t>
            </w:r>
          </w:p>
        </w:tc>
      </w:tr>
      <w:tr w:rsidR="00A14B9B" w:rsidRPr="002A0D4F" w14:paraId="0B7CE42F" w14:textId="77777777" w:rsidTr="00DB1D1D">
        <w:trPr>
          <w:cantSplit/>
          <w:trHeight w:val="315"/>
        </w:trPr>
        <w:tc>
          <w:tcPr>
            <w:tcW w:w="734" w:type="pct"/>
            <w:tcBorders>
              <w:top w:val="single" w:sz="4" w:space="0" w:color="auto"/>
              <w:left w:val="single" w:sz="4" w:space="0" w:color="auto"/>
              <w:bottom w:val="single" w:sz="4" w:space="0" w:color="auto"/>
              <w:right w:val="single" w:sz="4" w:space="0" w:color="auto"/>
            </w:tcBorders>
            <w:shd w:val="clear" w:color="auto" w:fill="auto"/>
            <w:vAlign w:val="center"/>
          </w:tcPr>
          <w:p w14:paraId="35227E17" w14:textId="77777777" w:rsidR="00A14B9B" w:rsidRPr="002A0D4F" w:rsidRDefault="00A14B9B" w:rsidP="00BF3479">
            <w:pPr>
              <w:pStyle w:val="Tabulka"/>
              <w:spacing w:before="0" w:line="240" w:lineRule="auto"/>
            </w:pPr>
            <w:r w:rsidRPr="002A0D4F">
              <w:t>km</w:t>
            </w:r>
          </w:p>
        </w:tc>
        <w:tc>
          <w:tcPr>
            <w:tcW w:w="4266" w:type="pct"/>
            <w:tcBorders>
              <w:top w:val="single" w:sz="4" w:space="0" w:color="auto"/>
              <w:left w:val="single" w:sz="4" w:space="0" w:color="auto"/>
              <w:bottom w:val="single" w:sz="4" w:space="0" w:color="auto"/>
              <w:right w:val="single" w:sz="4" w:space="0" w:color="auto"/>
            </w:tcBorders>
            <w:shd w:val="clear" w:color="auto" w:fill="auto"/>
          </w:tcPr>
          <w:p w14:paraId="074C0C34" w14:textId="77777777" w:rsidR="00A14B9B" w:rsidRPr="002A0D4F" w:rsidRDefault="00A14B9B" w:rsidP="00BF3479">
            <w:pPr>
              <w:pStyle w:val="Tabulka"/>
              <w:spacing w:before="0" w:line="240" w:lineRule="auto"/>
            </w:pPr>
            <w:r w:rsidRPr="002A0D4F">
              <w:t>kilometr</w:t>
            </w:r>
          </w:p>
        </w:tc>
      </w:tr>
      <w:tr w:rsidR="00A14B9B" w:rsidRPr="002A0D4F" w14:paraId="2DBDFA00" w14:textId="77777777" w:rsidTr="00DB1D1D">
        <w:trPr>
          <w:cantSplit/>
          <w:trHeight w:val="315"/>
        </w:trPr>
        <w:tc>
          <w:tcPr>
            <w:tcW w:w="734" w:type="pct"/>
            <w:tcBorders>
              <w:top w:val="single" w:sz="4" w:space="0" w:color="auto"/>
              <w:left w:val="single" w:sz="4" w:space="0" w:color="auto"/>
              <w:bottom w:val="single" w:sz="4" w:space="0" w:color="auto"/>
              <w:right w:val="single" w:sz="4" w:space="0" w:color="auto"/>
            </w:tcBorders>
            <w:shd w:val="clear" w:color="auto" w:fill="auto"/>
            <w:vAlign w:val="center"/>
          </w:tcPr>
          <w:p w14:paraId="514AA8E1" w14:textId="77777777" w:rsidR="00A14B9B" w:rsidRPr="002A0D4F" w:rsidRDefault="00A14B9B" w:rsidP="00BF3479">
            <w:pPr>
              <w:pStyle w:val="Tabulka"/>
              <w:spacing w:before="0" w:line="240" w:lineRule="auto"/>
            </w:pPr>
            <w:r w:rsidRPr="002A0D4F">
              <w:t>LAU</w:t>
            </w:r>
          </w:p>
        </w:tc>
        <w:tc>
          <w:tcPr>
            <w:tcW w:w="4266" w:type="pct"/>
            <w:tcBorders>
              <w:top w:val="single" w:sz="4" w:space="0" w:color="auto"/>
              <w:left w:val="single" w:sz="4" w:space="0" w:color="auto"/>
              <w:bottom w:val="single" w:sz="4" w:space="0" w:color="auto"/>
              <w:right w:val="single" w:sz="4" w:space="0" w:color="auto"/>
            </w:tcBorders>
            <w:shd w:val="clear" w:color="auto" w:fill="auto"/>
          </w:tcPr>
          <w:p w14:paraId="383D965B" w14:textId="77777777" w:rsidR="00A14B9B" w:rsidRPr="002A0D4F" w:rsidRDefault="00A14B9B" w:rsidP="00BF3479">
            <w:pPr>
              <w:pStyle w:val="Tabulka"/>
              <w:spacing w:before="0" w:line="240" w:lineRule="auto"/>
            </w:pPr>
            <w:r w:rsidRPr="002A0D4F">
              <w:t>Místní správní jednotka (</w:t>
            </w:r>
            <w:proofErr w:type="spellStart"/>
            <w:r w:rsidRPr="002A0D4F">
              <w:t>Local</w:t>
            </w:r>
            <w:proofErr w:type="spellEnd"/>
            <w:r w:rsidRPr="002A0D4F">
              <w:t xml:space="preserve"> </w:t>
            </w:r>
            <w:proofErr w:type="spellStart"/>
            <w:r w:rsidRPr="002A0D4F">
              <w:t>administrative</w:t>
            </w:r>
            <w:proofErr w:type="spellEnd"/>
            <w:r w:rsidRPr="002A0D4F">
              <w:t xml:space="preserve"> unit), nižší správní jednotka soustavy NUTS (LAU 1- obec, LAU 2- okres)</w:t>
            </w:r>
          </w:p>
        </w:tc>
      </w:tr>
      <w:tr w:rsidR="00A14B9B" w:rsidRPr="002A0D4F" w14:paraId="12E50FBD" w14:textId="77777777" w:rsidTr="00DB1D1D">
        <w:trPr>
          <w:cantSplit/>
          <w:trHeight w:val="315"/>
        </w:trPr>
        <w:tc>
          <w:tcPr>
            <w:tcW w:w="734" w:type="pct"/>
            <w:tcBorders>
              <w:top w:val="single" w:sz="4" w:space="0" w:color="auto"/>
              <w:left w:val="single" w:sz="4" w:space="0" w:color="auto"/>
              <w:bottom w:val="single" w:sz="4" w:space="0" w:color="auto"/>
              <w:right w:val="single" w:sz="4" w:space="0" w:color="auto"/>
            </w:tcBorders>
            <w:shd w:val="clear" w:color="auto" w:fill="auto"/>
            <w:vAlign w:val="center"/>
          </w:tcPr>
          <w:p w14:paraId="6C2C9CC7" w14:textId="77777777" w:rsidR="00A14B9B" w:rsidRPr="002A0D4F" w:rsidRDefault="00A14B9B" w:rsidP="00BF3479">
            <w:pPr>
              <w:pStyle w:val="Tabulka"/>
              <w:spacing w:before="0" w:line="240" w:lineRule="auto"/>
            </w:pPr>
            <w:r w:rsidRPr="002A0D4F">
              <w:t>LEADER</w:t>
            </w:r>
          </w:p>
        </w:tc>
        <w:tc>
          <w:tcPr>
            <w:tcW w:w="4266" w:type="pct"/>
            <w:tcBorders>
              <w:top w:val="single" w:sz="4" w:space="0" w:color="auto"/>
              <w:left w:val="single" w:sz="4" w:space="0" w:color="auto"/>
              <w:bottom w:val="single" w:sz="4" w:space="0" w:color="auto"/>
              <w:right w:val="single" w:sz="4" w:space="0" w:color="auto"/>
            </w:tcBorders>
            <w:shd w:val="clear" w:color="auto" w:fill="auto"/>
          </w:tcPr>
          <w:p w14:paraId="068762C7" w14:textId="77777777" w:rsidR="00A14B9B" w:rsidRPr="002A0D4F" w:rsidRDefault="00A14B9B" w:rsidP="00BF3479">
            <w:pPr>
              <w:pStyle w:val="Tabulka"/>
              <w:spacing w:before="0" w:line="240" w:lineRule="auto"/>
            </w:pPr>
            <w:r w:rsidRPr="002A0D4F">
              <w:t>název iniciativy EU sloužící k podpoře projektů realizovaných v konkrétních územích na základě vzájemné spolupráce mezi místními subjekty (</w:t>
            </w:r>
            <w:proofErr w:type="spellStart"/>
            <w:r w:rsidRPr="002A0D4F">
              <w:t>Liaison</w:t>
            </w:r>
            <w:proofErr w:type="spellEnd"/>
            <w:r w:rsidRPr="002A0D4F">
              <w:t xml:space="preserve"> </w:t>
            </w:r>
            <w:proofErr w:type="spellStart"/>
            <w:r w:rsidRPr="002A0D4F">
              <w:t>Entre</w:t>
            </w:r>
            <w:proofErr w:type="spellEnd"/>
            <w:r w:rsidRPr="002A0D4F">
              <w:t xml:space="preserve"> de </w:t>
            </w:r>
            <w:proofErr w:type="spellStart"/>
            <w:r w:rsidRPr="002A0D4F">
              <w:t>Développement</w:t>
            </w:r>
            <w:proofErr w:type="spellEnd"/>
            <w:r w:rsidRPr="002A0D4F">
              <w:t xml:space="preserve"> de </w:t>
            </w:r>
            <w:proofErr w:type="spellStart"/>
            <w:r w:rsidRPr="002A0D4F">
              <w:t>l'Economie</w:t>
            </w:r>
            <w:proofErr w:type="spellEnd"/>
            <w:r w:rsidRPr="002A0D4F">
              <w:t xml:space="preserve"> </w:t>
            </w:r>
            <w:proofErr w:type="spellStart"/>
            <w:r w:rsidRPr="002A0D4F">
              <w:t>Rurale</w:t>
            </w:r>
            <w:proofErr w:type="spellEnd"/>
            <w:r w:rsidRPr="002A0D4F">
              <w:t>)</w:t>
            </w:r>
          </w:p>
        </w:tc>
      </w:tr>
      <w:tr w:rsidR="00A14B9B" w:rsidRPr="002A0D4F" w14:paraId="5F0CB721" w14:textId="77777777" w:rsidTr="00DB1D1D">
        <w:trPr>
          <w:cantSplit/>
          <w:trHeight w:val="315"/>
        </w:trPr>
        <w:tc>
          <w:tcPr>
            <w:tcW w:w="734" w:type="pct"/>
            <w:tcBorders>
              <w:top w:val="single" w:sz="4" w:space="0" w:color="auto"/>
              <w:left w:val="single" w:sz="4" w:space="0" w:color="auto"/>
              <w:bottom w:val="single" w:sz="4" w:space="0" w:color="auto"/>
              <w:right w:val="single" w:sz="4" w:space="0" w:color="auto"/>
            </w:tcBorders>
            <w:shd w:val="clear" w:color="auto" w:fill="auto"/>
            <w:vAlign w:val="center"/>
          </w:tcPr>
          <w:p w14:paraId="789975E9" w14:textId="77777777" w:rsidR="00A14B9B" w:rsidRPr="002A0D4F" w:rsidRDefault="00A14B9B" w:rsidP="00BF3479">
            <w:pPr>
              <w:pStyle w:val="Tabulka"/>
              <w:spacing w:before="0" w:line="240" w:lineRule="auto"/>
            </w:pPr>
            <w:r w:rsidRPr="002A0D4F">
              <w:t>LFA</w:t>
            </w:r>
          </w:p>
        </w:tc>
        <w:tc>
          <w:tcPr>
            <w:tcW w:w="4266" w:type="pct"/>
            <w:tcBorders>
              <w:top w:val="single" w:sz="4" w:space="0" w:color="auto"/>
              <w:left w:val="single" w:sz="4" w:space="0" w:color="auto"/>
              <w:bottom w:val="single" w:sz="4" w:space="0" w:color="auto"/>
              <w:right w:val="single" w:sz="4" w:space="0" w:color="auto"/>
            </w:tcBorders>
            <w:shd w:val="clear" w:color="auto" w:fill="auto"/>
          </w:tcPr>
          <w:p w14:paraId="324D6AF3" w14:textId="77777777" w:rsidR="00A14B9B" w:rsidRPr="002A0D4F" w:rsidRDefault="00A14B9B" w:rsidP="00BF3479">
            <w:pPr>
              <w:pStyle w:val="Tabulka"/>
              <w:spacing w:before="0" w:line="240" w:lineRule="auto"/>
            </w:pPr>
            <w:r w:rsidRPr="002A0D4F">
              <w:t>Méně příznivé oblasti (</w:t>
            </w:r>
            <w:proofErr w:type="spellStart"/>
            <w:r w:rsidRPr="002A0D4F">
              <w:t>Less</w:t>
            </w:r>
            <w:proofErr w:type="spellEnd"/>
            <w:r w:rsidRPr="002A0D4F">
              <w:t xml:space="preserve"> </w:t>
            </w:r>
            <w:proofErr w:type="spellStart"/>
            <w:r w:rsidRPr="002A0D4F">
              <w:t>Favoured</w:t>
            </w:r>
            <w:proofErr w:type="spellEnd"/>
            <w:r w:rsidRPr="002A0D4F">
              <w:t xml:space="preserve"> </w:t>
            </w:r>
            <w:proofErr w:type="spellStart"/>
            <w:r w:rsidRPr="002A0D4F">
              <w:t>Areas</w:t>
            </w:r>
            <w:proofErr w:type="spellEnd"/>
            <w:r w:rsidRPr="002A0D4F">
              <w:t>)</w:t>
            </w:r>
          </w:p>
        </w:tc>
      </w:tr>
      <w:tr w:rsidR="00A14B9B" w:rsidRPr="002A0D4F" w14:paraId="4B4FE1A2" w14:textId="77777777" w:rsidTr="00DB1D1D">
        <w:trPr>
          <w:cantSplit/>
          <w:trHeight w:val="315"/>
        </w:trPr>
        <w:tc>
          <w:tcPr>
            <w:tcW w:w="734" w:type="pct"/>
            <w:tcBorders>
              <w:top w:val="single" w:sz="4" w:space="0" w:color="auto"/>
              <w:left w:val="single" w:sz="4" w:space="0" w:color="auto"/>
              <w:bottom w:val="single" w:sz="4" w:space="0" w:color="auto"/>
              <w:right w:val="single" w:sz="4" w:space="0" w:color="auto"/>
            </w:tcBorders>
            <w:shd w:val="clear" w:color="auto" w:fill="auto"/>
            <w:vAlign w:val="center"/>
          </w:tcPr>
          <w:p w14:paraId="05DA5870" w14:textId="77777777" w:rsidR="00A14B9B" w:rsidRPr="002A0D4F" w:rsidRDefault="00A14B9B" w:rsidP="00BF3479">
            <w:pPr>
              <w:pStyle w:val="Tabulka"/>
              <w:spacing w:before="0" w:line="240" w:lineRule="auto"/>
            </w:pPr>
            <w:r w:rsidRPr="002A0D4F">
              <w:t>MAS</w:t>
            </w:r>
          </w:p>
        </w:tc>
        <w:tc>
          <w:tcPr>
            <w:tcW w:w="4266" w:type="pct"/>
            <w:tcBorders>
              <w:top w:val="single" w:sz="4" w:space="0" w:color="auto"/>
              <w:left w:val="single" w:sz="4" w:space="0" w:color="auto"/>
              <w:bottom w:val="single" w:sz="4" w:space="0" w:color="auto"/>
              <w:right w:val="single" w:sz="4" w:space="0" w:color="auto"/>
            </w:tcBorders>
            <w:shd w:val="clear" w:color="auto" w:fill="auto"/>
          </w:tcPr>
          <w:p w14:paraId="247F864C" w14:textId="77777777" w:rsidR="00A14B9B" w:rsidRPr="002A0D4F" w:rsidRDefault="00A14B9B" w:rsidP="00BF3479">
            <w:pPr>
              <w:pStyle w:val="Tabulka"/>
              <w:spacing w:before="0" w:line="240" w:lineRule="auto"/>
            </w:pPr>
            <w:r w:rsidRPr="002A0D4F">
              <w:t>Místní akční skupina</w:t>
            </w:r>
          </w:p>
        </w:tc>
      </w:tr>
      <w:tr w:rsidR="00A14B9B" w:rsidRPr="002A0D4F" w14:paraId="026AA24A" w14:textId="77777777" w:rsidTr="00DB1D1D">
        <w:trPr>
          <w:cantSplit/>
          <w:trHeight w:val="315"/>
        </w:trPr>
        <w:tc>
          <w:tcPr>
            <w:tcW w:w="734" w:type="pct"/>
            <w:tcBorders>
              <w:top w:val="single" w:sz="4" w:space="0" w:color="auto"/>
              <w:left w:val="single" w:sz="4" w:space="0" w:color="auto"/>
              <w:bottom w:val="single" w:sz="4" w:space="0" w:color="auto"/>
              <w:right w:val="single" w:sz="4" w:space="0" w:color="auto"/>
            </w:tcBorders>
            <w:shd w:val="clear" w:color="auto" w:fill="auto"/>
            <w:vAlign w:val="center"/>
          </w:tcPr>
          <w:p w14:paraId="528FDD64" w14:textId="77777777" w:rsidR="00A14B9B" w:rsidRPr="002A0D4F" w:rsidRDefault="00A14B9B" w:rsidP="00BF3479">
            <w:pPr>
              <w:pStyle w:val="Tabulka"/>
              <w:spacing w:before="0" w:line="240" w:lineRule="auto"/>
            </w:pPr>
            <w:r w:rsidRPr="002A0D4F">
              <w:t>MD</w:t>
            </w:r>
          </w:p>
        </w:tc>
        <w:tc>
          <w:tcPr>
            <w:tcW w:w="4266" w:type="pct"/>
            <w:tcBorders>
              <w:top w:val="single" w:sz="4" w:space="0" w:color="auto"/>
              <w:left w:val="single" w:sz="4" w:space="0" w:color="auto"/>
              <w:bottom w:val="single" w:sz="4" w:space="0" w:color="auto"/>
              <w:right w:val="single" w:sz="4" w:space="0" w:color="auto"/>
            </w:tcBorders>
            <w:shd w:val="clear" w:color="auto" w:fill="auto"/>
          </w:tcPr>
          <w:p w14:paraId="742D217D" w14:textId="77777777" w:rsidR="00A14B9B" w:rsidRPr="002A0D4F" w:rsidRDefault="00A14B9B" w:rsidP="00BF3479">
            <w:pPr>
              <w:pStyle w:val="Tabulka"/>
              <w:spacing w:before="0" w:line="240" w:lineRule="auto"/>
            </w:pPr>
            <w:r w:rsidRPr="002A0D4F">
              <w:t>Ministerstvo dopravy</w:t>
            </w:r>
          </w:p>
        </w:tc>
      </w:tr>
      <w:tr w:rsidR="00A14B9B" w:rsidRPr="002A0D4F" w14:paraId="5F55A322" w14:textId="77777777" w:rsidTr="00DB1D1D">
        <w:trPr>
          <w:cantSplit/>
          <w:trHeight w:val="315"/>
        </w:trPr>
        <w:tc>
          <w:tcPr>
            <w:tcW w:w="734" w:type="pct"/>
            <w:tcBorders>
              <w:top w:val="single" w:sz="4" w:space="0" w:color="auto"/>
              <w:left w:val="single" w:sz="4" w:space="0" w:color="auto"/>
              <w:bottom w:val="single" w:sz="4" w:space="0" w:color="auto"/>
              <w:right w:val="single" w:sz="4" w:space="0" w:color="auto"/>
            </w:tcBorders>
            <w:shd w:val="clear" w:color="auto" w:fill="auto"/>
            <w:vAlign w:val="center"/>
          </w:tcPr>
          <w:p w14:paraId="4FE09752" w14:textId="77777777" w:rsidR="00A14B9B" w:rsidRPr="002A0D4F" w:rsidRDefault="00A14B9B" w:rsidP="00BF3479">
            <w:pPr>
              <w:pStyle w:val="Tabulka"/>
              <w:spacing w:before="0" w:line="240" w:lineRule="auto"/>
            </w:pPr>
            <w:r w:rsidRPr="002A0D4F">
              <w:t>MPSV</w:t>
            </w:r>
          </w:p>
        </w:tc>
        <w:tc>
          <w:tcPr>
            <w:tcW w:w="4266" w:type="pct"/>
            <w:tcBorders>
              <w:top w:val="single" w:sz="4" w:space="0" w:color="auto"/>
              <w:left w:val="single" w:sz="4" w:space="0" w:color="auto"/>
              <w:bottom w:val="single" w:sz="4" w:space="0" w:color="auto"/>
              <w:right w:val="single" w:sz="4" w:space="0" w:color="auto"/>
            </w:tcBorders>
            <w:shd w:val="clear" w:color="auto" w:fill="auto"/>
          </w:tcPr>
          <w:p w14:paraId="761A0599" w14:textId="77777777" w:rsidR="00A14B9B" w:rsidRPr="002A0D4F" w:rsidRDefault="00A14B9B" w:rsidP="00BF3479">
            <w:pPr>
              <w:pStyle w:val="Tabulka"/>
              <w:spacing w:before="0" w:line="240" w:lineRule="auto"/>
            </w:pPr>
            <w:r w:rsidRPr="002A0D4F">
              <w:t>Ministerstvo práce a sociálních věcí</w:t>
            </w:r>
          </w:p>
        </w:tc>
      </w:tr>
      <w:tr w:rsidR="00A14B9B" w:rsidRPr="002A0D4F" w14:paraId="771F36A2" w14:textId="77777777" w:rsidTr="00DB1D1D">
        <w:trPr>
          <w:cantSplit/>
          <w:trHeight w:val="315"/>
        </w:trPr>
        <w:tc>
          <w:tcPr>
            <w:tcW w:w="734" w:type="pct"/>
            <w:tcBorders>
              <w:top w:val="single" w:sz="4" w:space="0" w:color="auto"/>
              <w:left w:val="single" w:sz="4" w:space="0" w:color="auto"/>
              <w:bottom w:val="single" w:sz="4" w:space="0" w:color="auto"/>
              <w:right w:val="single" w:sz="4" w:space="0" w:color="auto"/>
            </w:tcBorders>
            <w:shd w:val="clear" w:color="auto" w:fill="auto"/>
            <w:vAlign w:val="center"/>
          </w:tcPr>
          <w:p w14:paraId="7360468F" w14:textId="77777777" w:rsidR="00A14B9B" w:rsidRPr="002A0D4F" w:rsidRDefault="00A14B9B" w:rsidP="00BF3479">
            <w:pPr>
              <w:pStyle w:val="Tabulka"/>
              <w:spacing w:before="0" w:line="240" w:lineRule="auto"/>
            </w:pPr>
            <w:r w:rsidRPr="002A0D4F">
              <w:t>MŠ</w:t>
            </w:r>
          </w:p>
        </w:tc>
        <w:tc>
          <w:tcPr>
            <w:tcW w:w="4266" w:type="pct"/>
            <w:tcBorders>
              <w:top w:val="single" w:sz="4" w:space="0" w:color="auto"/>
              <w:left w:val="single" w:sz="4" w:space="0" w:color="auto"/>
              <w:bottom w:val="single" w:sz="4" w:space="0" w:color="auto"/>
              <w:right w:val="single" w:sz="4" w:space="0" w:color="auto"/>
            </w:tcBorders>
            <w:shd w:val="clear" w:color="auto" w:fill="auto"/>
          </w:tcPr>
          <w:p w14:paraId="4F7FDBC7" w14:textId="77777777" w:rsidR="00A14B9B" w:rsidRPr="002A0D4F" w:rsidRDefault="00A14B9B" w:rsidP="00BF3479">
            <w:pPr>
              <w:pStyle w:val="Tabulka"/>
              <w:spacing w:before="0" w:line="240" w:lineRule="auto"/>
            </w:pPr>
            <w:r w:rsidRPr="002A0D4F">
              <w:t>mateřská škola</w:t>
            </w:r>
          </w:p>
        </w:tc>
      </w:tr>
      <w:tr w:rsidR="00A14B9B" w:rsidRPr="002A0D4F" w14:paraId="1F24E6D8" w14:textId="77777777" w:rsidTr="00DB1D1D">
        <w:trPr>
          <w:cantSplit/>
          <w:trHeight w:val="315"/>
        </w:trPr>
        <w:tc>
          <w:tcPr>
            <w:tcW w:w="734" w:type="pct"/>
            <w:tcBorders>
              <w:top w:val="single" w:sz="4" w:space="0" w:color="auto"/>
              <w:left w:val="single" w:sz="4" w:space="0" w:color="auto"/>
              <w:bottom w:val="single" w:sz="4" w:space="0" w:color="auto"/>
              <w:right w:val="single" w:sz="4" w:space="0" w:color="auto"/>
            </w:tcBorders>
            <w:shd w:val="clear" w:color="auto" w:fill="auto"/>
            <w:vAlign w:val="center"/>
          </w:tcPr>
          <w:p w14:paraId="037FE0C9" w14:textId="77777777" w:rsidR="00A14B9B" w:rsidRPr="002A0D4F" w:rsidRDefault="00A14B9B" w:rsidP="00BF3479">
            <w:pPr>
              <w:pStyle w:val="Tabulka"/>
              <w:spacing w:before="0" w:line="240" w:lineRule="auto"/>
            </w:pPr>
            <w:proofErr w:type="spellStart"/>
            <w:r w:rsidRPr="002A0D4F">
              <w:t>MZe</w:t>
            </w:r>
            <w:proofErr w:type="spellEnd"/>
          </w:p>
        </w:tc>
        <w:tc>
          <w:tcPr>
            <w:tcW w:w="4266" w:type="pct"/>
            <w:tcBorders>
              <w:top w:val="single" w:sz="4" w:space="0" w:color="auto"/>
              <w:left w:val="single" w:sz="4" w:space="0" w:color="auto"/>
              <w:bottom w:val="single" w:sz="4" w:space="0" w:color="auto"/>
              <w:right w:val="single" w:sz="4" w:space="0" w:color="auto"/>
            </w:tcBorders>
            <w:shd w:val="clear" w:color="auto" w:fill="auto"/>
          </w:tcPr>
          <w:p w14:paraId="5BDF4347" w14:textId="77777777" w:rsidR="00A14B9B" w:rsidRPr="002A0D4F" w:rsidRDefault="00A14B9B" w:rsidP="00BF3479">
            <w:pPr>
              <w:pStyle w:val="Tabulka"/>
              <w:spacing w:before="0" w:line="240" w:lineRule="auto"/>
            </w:pPr>
            <w:r w:rsidRPr="002A0D4F">
              <w:t>Ministerstvo zemědělství</w:t>
            </w:r>
          </w:p>
        </w:tc>
      </w:tr>
      <w:tr w:rsidR="00A14B9B" w:rsidRPr="002A0D4F" w14:paraId="32FA140A" w14:textId="77777777" w:rsidTr="00DB1D1D">
        <w:trPr>
          <w:cantSplit/>
          <w:trHeight w:val="315"/>
        </w:trPr>
        <w:tc>
          <w:tcPr>
            <w:tcW w:w="734" w:type="pct"/>
            <w:tcBorders>
              <w:top w:val="single" w:sz="4" w:space="0" w:color="auto"/>
              <w:left w:val="single" w:sz="4" w:space="0" w:color="auto"/>
              <w:bottom w:val="single" w:sz="4" w:space="0" w:color="auto"/>
              <w:right w:val="single" w:sz="4" w:space="0" w:color="auto"/>
            </w:tcBorders>
            <w:shd w:val="clear" w:color="auto" w:fill="auto"/>
            <w:vAlign w:val="center"/>
          </w:tcPr>
          <w:p w14:paraId="65B89D18" w14:textId="77777777" w:rsidR="00A14B9B" w:rsidRPr="002A0D4F" w:rsidRDefault="00A14B9B" w:rsidP="00BF3479">
            <w:pPr>
              <w:pStyle w:val="Tabulka"/>
              <w:spacing w:before="0" w:line="240" w:lineRule="auto"/>
            </w:pPr>
            <w:r w:rsidRPr="002A0D4F">
              <w:t>NAVIGA 4</w:t>
            </w:r>
          </w:p>
        </w:tc>
        <w:tc>
          <w:tcPr>
            <w:tcW w:w="4266" w:type="pct"/>
            <w:tcBorders>
              <w:top w:val="single" w:sz="4" w:space="0" w:color="auto"/>
              <w:left w:val="single" w:sz="4" w:space="0" w:color="auto"/>
              <w:bottom w:val="single" w:sz="4" w:space="0" w:color="auto"/>
              <w:right w:val="single" w:sz="4" w:space="0" w:color="auto"/>
            </w:tcBorders>
            <w:shd w:val="clear" w:color="auto" w:fill="auto"/>
          </w:tcPr>
          <w:p w14:paraId="766F9D7F" w14:textId="77777777" w:rsidR="00A14B9B" w:rsidRPr="002A0D4F" w:rsidRDefault="00A14B9B" w:rsidP="00BF3479">
            <w:pPr>
              <w:pStyle w:val="Tabulka"/>
              <w:spacing w:before="0" w:line="240" w:lineRule="auto"/>
            </w:pPr>
            <w:r w:rsidRPr="002A0D4F">
              <w:t>poradenská firma v oblasti evropských a národních dotací v ČR</w:t>
            </w:r>
          </w:p>
        </w:tc>
      </w:tr>
      <w:tr w:rsidR="00A14B9B" w:rsidRPr="002A0D4F" w14:paraId="76523B7D" w14:textId="77777777" w:rsidTr="00DB1D1D">
        <w:trPr>
          <w:cantSplit/>
          <w:trHeight w:val="315"/>
        </w:trPr>
        <w:tc>
          <w:tcPr>
            <w:tcW w:w="734" w:type="pct"/>
            <w:tcBorders>
              <w:top w:val="single" w:sz="4" w:space="0" w:color="auto"/>
              <w:left w:val="single" w:sz="4" w:space="0" w:color="auto"/>
              <w:bottom w:val="single" w:sz="4" w:space="0" w:color="auto"/>
              <w:right w:val="single" w:sz="4" w:space="0" w:color="auto"/>
            </w:tcBorders>
            <w:shd w:val="clear" w:color="auto" w:fill="auto"/>
            <w:vAlign w:val="center"/>
          </w:tcPr>
          <w:p w14:paraId="3EDF83B2" w14:textId="77777777" w:rsidR="00A14B9B" w:rsidRPr="002A0D4F" w:rsidRDefault="00A14B9B" w:rsidP="00BF3479">
            <w:pPr>
              <w:pStyle w:val="Tabulka"/>
              <w:spacing w:before="0" w:line="240" w:lineRule="auto"/>
            </w:pPr>
            <w:r w:rsidRPr="002A0D4F">
              <w:t>NH</w:t>
            </w:r>
          </w:p>
        </w:tc>
        <w:tc>
          <w:tcPr>
            <w:tcW w:w="4266" w:type="pct"/>
            <w:tcBorders>
              <w:top w:val="single" w:sz="4" w:space="0" w:color="auto"/>
              <w:left w:val="single" w:sz="4" w:space="0" w:color="auto"/>
              <w:bottom w:val="single" w:sz="4" w:space="0" w:color="auto"/>
              <w:right w:val="single" w:sz="4" w:space="0" w:color="auto"/>
            </w:tcBorders>
            <w:shd w:val="clear" w:color="auto" w:fill="auto"/>
          </w:tcPr>
          <w:p w14:paraId="1FCC291F" w14:textId="77777777" w:rsidR="00A14B9B" w:rsidRPr="002A0D4F" w:rsidRDefault="00A14B9B" w:rsidP="00BF3479">
            <w:pPr>
              <w:pStyle w:val="Tabulka"/>
              <w:spacing w:before="0" w:line="240" w:lineRule="auto"/>
            </w:pPr>
            <w:r w:rsidRPr="002A0D4F">
              <w:t>Národní hospodářství</w:t>
            </w:r>
          </w:p>
        </w:tc>
      </w:tr>
      <w:tr w:rsidR="00A14B9B" w:rsidRPr="002A0D4F" w14:paraId="41D9B235" w14:textId="77777777" w:rsidTr="00DB1D1D">
        <w:trPr>
          <w:cantSplit/>
          <w:trHeight w:val="315"/>
        </w:trPr>
        <w:tc>
          <w:tcPr>
            <w:tcW w:w="734" w:type="pct"/>
            <w:tcBorders>
              <w:top w:val="single" w:sz="4" w:space="0" w:color="auto"/>
              <w:left w:val="single" w:sz="4" w:space="0" w:color="auto"/>
              <w:bottom w:val="single" w:sz="4" w:space="0" w:color="auto"/>
              <w:right w:val="single" w:sz="4" w:space="0" w:color="auto"/>
            </w:tcBorders>
            <w:shd w:val="clear" w:color="auto" w:fill="auto"/>
            <w:vAlign w:val="center"/>
          </w:tcPr>
          <w:p w14:paraId="4BC11136" w14:textId="77777777" w:rsidR="00A14B9B" w:rsidRPr="002A0D4F" w:rsidRDefault="00A14B9B" w:rsidP="00BF3479">
            <w:pPr>
              <w:pStyle w:val="Tabulka"/>
              <w:spacing w:before="0" w:line="240" w:lineRule="auto"/>
            </w:pPr>
            <w:r w:rsidRPr="002A0D4F">
              <w:lastRenderedPageBreak/>
              <w:t>NPR</w:t>
            </w:r>
          </w:p>
        </w:tc>
        <w:tc>
          <w:tcPr>
            <w:tcW w:w="4266" w:type="pct"/>
            <w:tcBorders>
              <w:top w:val="single" w:sz="4" w:space="0" w:color="auto"/>
              <w:left w:val="single" w:sz="4" w:space="0" w:color="auto"/>
              <w:bottom w:val="single" w:sz="4" w:space="0" w:color="auto"/>
              <w:right w:val="single" w:sz="4" w:space="0" w:color="auto"/>
            </w:tcBorders>
            <w:shd w:val="clear" w:color="auto" w:fill="auto"/>
          </w:tcPr>
          <w:p w14:paraId="48BE268C" w14:textId="77777777" w:rsidR="00A14B9B" w:rsidRPr="002A0D4F" w:rsidRDefault="00A14B9B" w:rsidP="00BF3479">
            <w:pPr>
              <w:pStyle w:val="Tabulka"/>
              <w:spacing w:before="0" w:line="240" w:lineRule="auto"/>
            </w:pPr>
            <w:r w:rsidRPr="002A0D4F">
              <w:t>Národní program reforem ČR</w:t>
            </w:r>
          </w:p>
        </w:tc>
      </w:tr>
      <w:tr w:rsidR="00A14B9B" w:rsidRPr="002A0D4F" w14:paraId="4EC71B11" w14:textId="77777777" w:rsidTr="00DB1D1D">
        <w:trPr>
          <w:cantSplit/>
          <w:trHeight w:val="315"/>
        </w:trPr>
        <w:tc>
          <w:tcPr>
            <w:tcW w:w="734" w:type="pct"/>
            <w:tcBorders>
              <w:top w:val="single" w:sz="4" w:space="0" w:color="auto"/>
              <w:left w:val="single" w:sz="4" w:space="0" w:color="auto"/>
              <w:bottom w:val="single" w:sz="4" w:space="0" w:color="auto"/>
              <w:right w:val="single" w:sz="4" w:space="0" w:color="auto"/>
            </w:tcBorders>
            <w:shd w:val="clear" w:color="auto" w:fill="auto"/>
            <w:vAlign w:val="center"/>
          </w:tcPr>
          <w:p w14:paraId="579683ED" w14:textId="77777777" w:rsidR="00A14B9B" w:rsidRPr="002A0D4F" w:rsidRDefault="00A14B9B" w:rsidP="00BF3479">
            <w:pPr>
              <w:pStyle w:val="Tabulka"/>
              <w:spacing w:before="0" w:line="240" w:lineRule="auto"/>
            </w:pPr>
            <w:r w:rsidRPr="002A0D4F">
              <w:t>NUTS</w:t>
            </w:r>
          </w:p>
        </w:tc>
        <w:tc>
          <w:tcPr>
            <w:tcW w:w="4266" w:type="pct"/>
            <w:tcBorders>
              <w:top w:val="single" w:sz="4" w:space="0" w:color="auto"/>
              <w:left w:val="single" w:sz="4" w:space="0" w:color="auto"/>
              <w:bottom w:val="single" w:sz="4" w:space="0" w:color="auto"/>
              <w:right w:val="single" w:sz="4" w:space="0" w:color="auto"/>
            </w:tcBorders>
            <w:shd w:val="clear" w:color="auto" w:fill="auto"/>
          </w:tcPr>
          <w:p w14:paraId="445011C9" w14:textId="77777777" w:rsidR="00A14B9B" w:rsidRPr="002A0D4F" w:rsidRDefault="00A14B9B" w:rsidP="00BF3479">
            <w:pPr>
              <w:pStyle w:val="Tabulka"/>
              <w:spacing w:before="0" w:line="240" w:lineRule="auto"/>
            </w:pPr>
            <w:r w:rsidRPr="002A0D4F">
              <w:t>Nomenklatura územních statistických jednotek (</w:t>
            </w:r>
            <w:proofErr w:type="spellStart"/>
            <w:r w:rsidRPr="002A0D4F">
              <w:t>Nomenslature</w:t>
            </w:r>
            <w:proofErr w:type="spellEnd"/>
            <w:r w:rsidRPr="002A0D4F">
              <w:t xml:space="preserve"> des </w:t>
            </w:r>
            <w:proofErr w:type="spellStart"/>
            <w:r w:rsidRPr="002A0D4F">
              <w:t>unités</w:t>
            </w:r>
            <w:proofErr w:type="spellEnd"/>
            <w:r w:rsidRPr="002A0D4F">
              <w:t xml:space="preserve"> </w:t>
            </w:r>
            <w:proofErr w:type="spellStart"/>
            <w:r w:rsidRPr="002A0D4F">
              <w:t>territoriales</w:t>
            </w:r>
            <w:proofErr w:type="spellEnd"/>
            <w:r w:rsidRPr="002A0D4F">
              <w:t xml:space="preserve"> </w:t>
            </w:r>
            <w:proofErr w:type="spellStart"/>
            <w:r w:rsidRPr="002A0D4F">
              <w:t>statistique</w:t>
            </w:r>
            <w:proofErr w:type="spellEnd"/>
            <w:r w:rsidRPr="002A0D4F">
              <w:t xml:space="preserve">; NUTS 0 – stát, NUTS 1 – území, NUTS 2 – region, </w:t>
            </w:r>
            <w:r w:rsidRPr="002A0D4F">
              <w:br/>
              <w:t>NUTS 3 – kraj)</w:t>
            </w:r>
          </w:p>
        </w:tc>
      </w:tr>
      <w:tr w:rsidR="00A14B9B" w:rsidRPr="002A0D4F" w14:paraId="1F0BBBB3" w14:textId="77777777" w:rsidTr="00DB1D1D">
        <w:trPr>
          <w:cantSplit/>
          <w:trHeight w:val="315"/>
        </w:trPr>
        <w:tc>
          <w:tcPr>
            <w:tcW w:w="734" w:type="pct"/>
            <w:tcBorders>
              <w:top w:val="single" w:sz="4" w:space="0" w:color="auto"/>
              <w:left w:val="single" w:sz="4" w:space="0" w:color="auto"/>
              <w:bottom w:val="single" w:sz="4" w:space="0" w:color="auto"/>
              <w:right w:val="single" w:sz="4" w:space="0" w:color="auto"/>
            </w:tcBorders>
            <w:shd w:val="clear" w:color="auto" w:fill="auto"/>
            <w:vAlign w:val="center"/>
          </w:tcPr>
          <w:p w14:paraId="47664D37" w14:textId="77777777" w:rsidR="00A14B9B" w:rsidRPr="002A0D4F" w:rsidRDefault="00A14B9B" w:rsidP="00BF3479">
            <w:pPr>
              <w:pStyle w:val="Tabulka"/>
              <w:spacing w:before="0" w:line="240" w:lineRule="auto"/>
            </w:pPr>
            <w:r w:rsidRPr="002A0D4F">
              <w:t>ob.</w:t>
            </w:r>
          </w:p>
        </w:tc>
        <w:tc>
          <w:tcPr>
            <w:tcW w:w="4266" w:type="pct"/>
            <w:tcBorders>
              <w:top w:val="single" w:sz="4" w:space="0" w:color="auto"/>
              <w:left w:val="single" w:sz="4" w:space="0" w:color="auto"/>
              <w:bottom w:val="single" w:sz="4" w:space="0" w:color="auto"/>
              <w:right w:val="single" w:sz="4" w:space="0" w:color="auto"/>
            </w:tcBorders>
            <w:shd w:val="clear" w:color="auto" w:fill="auto"/>
          </w:tcPr>
          <w:p w14:paraId="3AAD225A" w14:textId="77777777" w:rsidR="00A14B9B" w:rsidRPr="002A0D4F" w:rsidRDefault="00A14B9B" w:rsidP="00BF3479">
            <w:pPr>
              <w:pStyle w:val="Tabulka"/>
              <w:spacing w:before="0" w:line="240" w:lineRule="auto"/>
            </w:pPr>
            <w:r w:rsidRPr="002A0D4F">
              <w:t>obyvatel</w:t>
            </w:r>
          </w:p>
        </w:tc>
      </w:tr>
      <w:tr w:rsidR="00A14B9B" w:rsidRPr="002A0D4F" w14:paraId="6BA8647C" w14:textId="77777777" w:rsidTr="00DB1D1D">
        <w:trPr>
          <w:cantSplit/>
          <w:trHeight w:val="315"/>
        </w:trPr>
        <w:tc>
          <w:tcPr>
            <w:tcW w:w="734" w:type="pct"/>
            <w:tcBorders>
              <w:top w:val="single" w:sz="4" w:space="0" w:color="auto"/>
              <w:left w:val="single" w:sz="4" w:space="0" w:color="auto"/>
              <w:bottom w:val="single" w:sz="4" w:space="0" w:color="auto"/>
              <w:right w:val="single" w:sz="4" w:space="0" w:color="auto"/>
            </w:tcBorders>
            <w:shd w:val="clear" w:color="auto" w:fill="auto"/>
            <w:vAlign w:val="center"/>
          </w:tcPr>
          <w:p w14:paraId="202C962D" w14:textId="77777777" w:rsidR="00A14B9B" w:rsidRPr="002A0D4F" w:rsidRDefault="00A14B9B" w:rsidP="00BF3479">
            <w:pPr>
              <w:pStyle w:val="Tabulka"/>
              <w:spacing w:before="0" w:line="240" w:lineRule="auto"/>
            </w:pPr>
            <w:r w:rsidRPr="002A0D4F">
              <w:t>OECD</w:t>
            </w:r>
          </w:p>
        </w:tc>
        <w:tc>
          <w:tcPr>
            <w:tcW w:w="4266" w:type="pct"/>
            <w:tcBorders>
              <w:top w:val="single" w:sz="4" w:space="0" w:color="auto"/>
              <w:left w:val="single" w:sz="4" w:space="0" w:color="auto"/>
              <w:bottom w:val="single" w:sz="4" w:space="0" w:color="auto"/>
              <w:right w:val="single" w:sz="4" w:space="0" w:color="auto"/>
            </w:tcBorders>
            <w:shd w:val="clear" w:color="auto" w:fill="auto"/>
          </w:tcPr>
          <w:p w14:paraId="6989EF26" w14:textId="77777777" w:rsidR="00A14B9B" w:rsidRPr="002A0D4F" w:rsidRDefault="00A14B9B" w:rsidP="00BF3479">
            <w:pPr>
              <w:pStyle w:val="Tabulka"/>
              <w:spacing w:before="0" w:line="240" w:lineRule="auto"/>
            </w:pPr>
            <w:r w:rsidRPr="002A0D4F">
              <w:t>Organizace pro hospodářskou spolupráci a rozvoj (</w:t>
            </w:r>
            <w:proofErr w:type="spellStart"/>
            <w:r w:rsidRPr="002A0D4F">
              <w:t>Organization</w:t>
            </w:r>
            <w:proofErr w:type="spellEnd"/>
            <w:r w:rsidRPr="002A0D4F">
              <w:t xml:space="preserve"> </w:t>
            </w:r>
            <w:proofErr w:type="spellStart"/>
            <w:r w:rsidRPr="002A0D4F">
              <w:t>for</w:t>
            </w:r>
            <w:proofErr w:type="spellEnd"/>
            <w:r w:rsidRPr="002A0D4F">
              <w:t xml:space="preserve"> </w:t>
            </w:r>
            <w:proofErr w:type="spellStart"/>
            <w:r w:rsidRPr="002A0D4F">
              <w:t>Economic</w:t>
            </w:r>
            <w:proofErr w:type="spellEnd"/>
            <w:r w:rsidRPr="002A0D4F">
              <w:t xml:space="preserve"> </w:t>
            </w:r>
            <w:proofErr w:type="spellStart"/>
            <w:r w:rsidRPr="002A0D4F">
              <w:t>Cooperation</w:t>
            </w:r>
            <w:proofErr w:type="spellEnd"/>
            <w:r w:rsidRPr="002A0D4F">
              <w:t xml:space="preserve"> and Development)</w:t>
            </w:r>
          </w:p>
        </w:tc>
      </w:tr>
      <w:tr w:rsidR="00A14B9B" w:rsidRPr="002A0D4F" w14:paraId="39A76CA4" w14:textId="77777777" w:rsidTr="00DB1D1D">
        <w:trPr>
          <w:cantSplit/>
          <w:trHeight w:val="315"/>
        </w:trPr>
        <w:tc>
          <w:tcPr>
            <w:tcW w:w="734" w:type="pct"/>
            <w:tcBorders>
              <w:top w:val="single" w:sz="4" w:space="0" w:color="auto"/>
              <w:left w:val="single" w:sz="4" w:space="0" w:color="auto"/>
              <w:bottom w:val="single" w:sz="4" w:space="0" w:color="auto"/>
              <w:right w:val="single" w:sz="4" w:space="0" w:color="auto"/>
            </w:tcBorders>
            <w:shd w:val="clear" w:color="auto" w:fill="auto"/>
            <w:vAlign w:val="center"/>
          </w:tcPr>
          <w:p w14:paraId="3623E787" w14:textId="77777777" w:rsidR="00A14B9B" w:rsidRPr="002A0D4F" w:rsidRDefault="00A14B9B" w:rsidP="00BF3479">
            <w:pPr>
              <w:pStyle w:val="Tabulka"/>
              <w:spacing w:before="0" w:line="240" w:lineRule="auto"/>
            </w:pPr>
            <w:r w:rsidRPr="002A0D4F">
              <w:t>OP</w:t>
            </w:r>
          </w:p>
        </w:tc>
        <w:tc>
          <w:tcPr>
            <w:tcW w:w="4266" w:type="pct"/>
            <w:tcBorders>
              <w:top w:val="single" w:sz="4" w:space="0" w:color="auto"/>
              <w:left w:val="single" w:sz="4" w:space="0" w:color="auto"/>
              <w:bottom w:val="single" w:sz="4" w:space="0" w:color="auto"/>
              <w:right w:val="single" w:sz="4" w:space="0" w:color="auto"/>
            </w:tcBorders>
            <w:shd w:val="clear" w:color="auto" w:fill="auto"/>
          </w:tcPr>
          <w:p w14:paraId="1A75F0E6" w14:textId="77777777" w:rsidR="00A14B9B" w:rsidRPr="002A0D4F" w:rsidRDefault="00A14B9B" w:rsidP="00BF3479">
            <w:pPr>
              <w:pStyle w:val="Tabulka"/>
              <w:spacing w:before="0" w:line="240" w:lineRule="auto"/>
            </w:pPr>
            <w:r w:rsidRPr="002A0D4F">
              <w:t>Operační program</w:t>
            </w:r>
          </w:p>
        </w:tc>
      </w:tr>
      <w:tr w:rsidR="00A14B9B" w:rsidRPr="002A0D4F" w14:paraId="2435E269" w14:textId="77777777" w:rsidTr="00DB1D1D">
        <w:trPr>
          <w:cantSplit/>
          <w:trHeight w:val="315"/>
        </w:trPr>
        <w:tc>
          <w:tcPr>
            <w:tcW w:w="734" w:type="pct"/>
            <w:tcBorders>
              <w:top w:val="single" w:sz="4" w:space="0" w:color="auto"/>
              <w:left w:val="single" w:sz="4" w:space="0" w:color="auto"/>
              <w:bottom w:val="single" w:sz="4" w:space="0" w:color="auto"/>
              <w:right w:val="single" w:sz="4" w:space="0" w:color="auto"/>
            </w:tcBorders>
            <w:shd w:val="clear" w:color="auto" w:fill="auto"/>
            <w:vAlign w:val="center"/>
          </w:tcPr>
          <w:p w14:paraId="66FF952F" w14:textId="77777777" w:rsidR="00A14B9B" w:rsidRPr="002A0D4F" w:rsidRDefault="00A14B9B" w:rsidP="00BF3479">
            <w:pPr>
              <w:pStyle w:val="Tabulka"/>
              <w:spacing w:before="0" w:line="240" w:lineRule="auto"/>
            </w:pPr>
            <w:r w:rsidRPr="002A0D4F">
              <w:t>OPZ</w:t>
            </w:r>
          </w:p>
        </w:tc>
        <w:tc>
          <w:tcPr>
            <w:tcW w:w="4266" w:type="pct"/>
            <w:tcBorders>
              <w:top w:val="single" w:sz="4" w:space="0" w:color="auto"/>
              <w:left w:val="single" w:sz="4" w:space="0" w:color="auto"/>
              <w:bottom w:val="single" w:sz="4" w:space="0" w:color="auto"/>
              <w:right w:val="single" w:sz="4" w:space="0" w:color="auto"/>
            </w:tcBorders>
            <w:shd w:val="clear" w:color="auto" w:fill="auto"/>
          </w:tcPr>
          <w:p w14:paraId="760B2275" w14:textId="77777777" w:rsidR="00A14B9B" w:rsidRPr="002A0D4F" w:rsidRDefault="00A14B9B" w:rsidP="00BF3479">
            <w:pPr>
              <w:pStyle w:val="Tabulka"/>
              <w:spacing w:before="0" w:line="240" w:lineRule="auto"/>
            </w:pPr>
            <w:r w:rsidRPr="002A0D4F">
              <w:t>Operační program Zaměstnanost</w:t>
            </w:r>
          </w:p>
        </w:tc>
      </w:tr>
      <w:tr w:rsidR="00A14B9B" w:rsidRPr="002A0D4F" w14:paraId="5C9C3A37" w14:textId="77777777" w:rsidTr="00DB1D1D">
        <w:trPr>
          <w:cantSplit/>
          <w:trHeight w:val="315"/>
        </w:trPr>
        <w:tc>
          <w:tcPr>
            <w:tcW w:w="734" w:type="pct"/>
            <w:tcBorders>
              <w:top w:val="single" w:sz="4" w:space="0" w:color="auto"/>
              <w:left w:val="single" w:sz="4" w:space="0" w:color="auto"/>
              <w:bottom w:val="single" w:sz="4" w:space="0" w:color="auto"/>
              <w:right w:val="single" w:sz="4" w:space="0" w:color="auto"/>
            </w:tcBorders>
            <w:shd w:val="clear" w:color="auto" w:fill="auto"/>
            <w:vAlign w:val="center"/>
          </w:tcPr>
          <w:p w14:paraId="423B8C05" w14:textId="77777777" w:rsidR="00A14B9B" w:rsidRPr="002A0D4F" w:rsidRDefault="00A14B9B" w:rsidP="00BF3479">
            <w:pPr>
              <w:pStyle w:val="Tabulka"/>
              <w:spacing w:before="0" w:line="240" w:lineRule="auto"/>
            </w:pPr>
            <w:r w:rsidRPr="002A0D4F">
              <w:t>OZE</w:t>
            </w:r>
          </w:p>
        </w:tc>
        <w:tc>
          <w:tcPr>
            <w:tcW w:w="4266" w:type="pct"/>
            <w:tcBorders>
              <w:top w:val="single" w:sz="4" w:space="0" w:color="auto"/>
              <w:left w:val="single" w:sz="4" w:space="0" w:color="auto"/>
              <w:bottom w:val="single" w:sz="4" w:space="0" w:color="auto"/>
              <w:right w:val="single" w:sz="4" w:space="0" w:color="auto"/>
            </w:tcBorders>
            <w:shd w:val="clear" w:color="auto" w:fill="auto"/>
          </w:tcPr>
          <w:p w14:paraId="0177664D" w14:textId="77777777" w:rsidR="00A14B9B" w:rsidRPr="002A0D4F" w:rsidRDefault="00A14B9B" w:rsidP="00BF3479">
            <w:pPr>
              <w:pStyle w:val="Tabulka"/>
              <w:spacing w:before="0" w:line="240" w:lineRule="auto"/>
            </w:pPr>
            <w:r w:rsidRPr="002A0D4F">
              <w:t>obnovitelné zdroje energie</w:t>
            </w:r>
          </w:p>
        </w:tc>
      </w:tr>
      <w:tr w:rsidR="00A14B9B" w:rsidRPr="002A0D4F" w14:paraId="5F1D4A6C" w14:textId="77777777" w:rsidTr="00DB1D1D">
        <w:trPr>
          <w:cantSplit/>
          <w:trHeight w:val="315"/>
        </w:trPr>
        <w:tc>
          <w:tcPr>
            <w:tcW w:w="734" w:type="pct"/>
            <w:tcBorders>
              <w:top w:val="single" w:sz="4" w:space="0" w:color="auto"/>
              <w:left w:val="single" w:sz="4" w:space="0" w:color="auto"/>
              <w:bottom w:val="single" w:sz="4" w:space="0" w:color="auto"/>
              <w:right w:val="single" w:sz="4" w:space="0" w:color="auto"/>
            </w:tcBorders>
            <w:shd w:val="clear" w:color="auto" w:fill="auto"/>
            <w:vAlign w:val="center"/>
          </w:tcPr>
          <w:p w14:paraId="70722A31" w14:textId="77777777" w:rsidR="00A14B9B" w:rsidRPr="002A0D4F" w:rsidRDefault="00A14B9B" w:rsidP="00BF3479">
            <w:pPr>
              <w:pStyle w:val="Tabulka"/>
              <w:spacing w:before="0" w:line="240" w:lineRule="auto"/>
            </w:pPr>
            <w:proofErr w:type="spellStart"/>
            <w:r w:rsidRPr="002A0D4F">
              <w:t>p.b</w:t>
            </w:r>
            <w:proofErr w:type="spellEnd"/>
            <w:r w:rsidRPr="002A0D4F">
              <w:t>.</w:t>
            </w:r>
          </w:p>
        </w:tc>
        <w:tc>
          <w:tcPr>
            <w:tcW w:w="4266" w:type="pct"/>
            <w:tcBorders>
              <w:top w:val="single" w:sz="4" w:space="0" w:color="auto"/>
              <w:left w:val="single" w:sz="4" w:space="0" w:color="auto"/>
              <w:bottom w:val="single" w:sz="4" w:space="0" w:color="auto"/>
              <w:right w:val="single" w:sz="4" w:space="0" w:color="auto"/>
            </w:tcBorders>
            <w:shd w:val="clear" w:color="auto" w:fill="auto"/>
          </w:tcPr>
          <w:p w14:paraId="66C999C7" w14:textId="77777777" w:rsidR="00A14B9B" w:rsidRPr="002A0D4F" w:rsidRDefault="00A14B9B" w:rsidP="00BF3479">
            <w:pPr>
              <w:pStyle w:val="Tabulka"/>
              <w:spacing w:before="0" w:line="240" w:lineRule="auto"/>
            </w:pPr>
            <w:r w:rsidRPr="002A0D4F">
              <w:t>procentní bod</w:t>
            </w:r>
          </w:p>
        </w:tc>
      </w:tr>
      <w:tr w:rsidR="00A14B9B" w:rsidRPr="002A0D4F" w14:paraId="6C9EEA68" w14:textId="77777777" w:rsidTr="00DB1D1D">
        <w:trPr>
          <w:cantSplit/>
          <w:trHeight w:val="315"/>
        </w:trPr>
        <w:tc>
          <w:tcPr>
            <w:tcW w:w="734" w:type="pct"/>
            <w:tcBorders>
              <w:top w:val="single" w:sz="4" w:space="0" w:color="auto"/>
              <w:left w:val="single" w:sz="4" w:space="0" w:color="auto"/>
              <w:bottom w:val="single" w:sz="4" w:space="0" w:color="auto"/>
              <w:right w:val="single" w:sz="4" w:space="0" w:color="auto"/>
            </w:tcBorders>
            <w:shd w:val="clear" w:color="auto" w:fill="auto"/>
            <w:vAlign w:val="center"/>
          </w:tcPr>
          <w:p w14:paraId="01BCF6FE" w14:textId="77777777" w:rsidR="00A14B9B" w:rsidRPr="002A0D4F" w:rsidRDefault="00A14B9B" w:rsidP="00BF3479">
            <w:pPr>
              <w:pStyle w:val="Tabulka"/>
              <w:spacing w:before="0" w:line="240" w:lineRule="auto"/>
            </w:pPr>
            <w:r w:rsidRPr="002A0D4F">
              <w:t>PNO</w:t>
            </w:r>
          </w:p>
        </w:tc>
        <w:tc>
          <w:tcPr>
            <w:tcW w:w="4266" w:type="pct"/>
            <w:tcBorders>
              <w:top w:val="single" w:sz="4" w:space="0" w:color="auto"/>
              <w:left w:val="single" w:sz="4" w:space="0" w:color="auto"/>
              <w:bottom w:val="single" w:sz="4" w:space="0" w:color="auto"/>
              <w:right w:val="single" w:sz="4" w:space="0" w:color="auto"/>
            </w:tcBorders>
            <w:shd w:val="clear" w:color="auto" w:fill="auto"/>
          </w:tcPr>
          <w:p w14:paraId="495C1503" w14:textId="77777777" w:rsidR="00A14B9B" w:rsidRPr="002A0D4F" w:rsidRDefault="00A14B9B" w:rsidP="00BF3479">
            <w:pPr>
              <w:pStyle w:val="Tabulka"/>
              <w:spacing w:before="0" w:line="240" w:lineRule="auto"/>
            </w:pPr>
            <w:r w:rsidRPr="002A0D4F">
              <w:t>Podíl nezaměstnaných osob</w:t>
            </w:r>
          </w:p>
        </w:tc>
      </w:tr>
      <w:tr w:rsidR="00A14B9B" w:rsidRPr="002A0D4F" w14:paraId="05C7D3E6" w14:textId="77777777" w:rsidTr="00DB1D1D">
        <w:trPr>
          <w:cantSplit/>
          <w:trHeight w:val="315"/>
        </w:trPr>
        <w:tc>
          <w:tcPr>
            <w:tcW w:w="734" w:type="pct"/>
            <w:tcBorders>
              <w:top w:val="single" w:sz="4" w:space="0" w:color="auto"/>
              <w:left w:val="single" w:sz="4" w:space="0" w:color="auto"/>
              <w:bottom w:val="single" w:sz="4" w:space="0" w:color="auto"/>
              <w:right w:val="single" w:sz="4" w:space="0" w:color="auto"/>
            </w:tcBorders>
            <w:shd w:val="clear" w:color="auto" w:fill="auto"/>
            <w:vAlign w:val="center"/>
          </w:tcPr>
          <w:p w14:paraId="27939237" w14:textId="77777777" w:rsidR="00A14B9B" w:rsidRPr="002A0D4F" w:rsidRDefault="00A14B9B" w:rsidP="00BF3479">
            <w:pPr>
              <w:pStyle w:val="Tabulka"/>
              <w:spacing w:before="0" w:line="240" w:lineRule="auto"/>
            </w:pPr>
            <w:r w:rsidRPr="002A0D4F">
              <w:t>PR</w:t>
            </w:r>
          </w:p>
        </w:tc>
        <w:tc>
          <w:tcPr>
            <w:tcW w:w="4266" w:type="pct"/>
            <w:tcBorders>
              <w:top w:val="single" w:sz="4" w:space="0" w:color="auto"/>
              <w:left w:val="single" w:sz="4" w:space="0" w:color="auto"/>
              <w:bottom w:val="single" w:sz="4" w:space="0" w:color="auto"/>
              <w:right w:val="single" w:sz="4" w:space="0" w:color="auto"/>
            </w:tcBorders>
            <w:shd w:val="clear" w:color="auto" w:fill="auto"/>
          </w:tcPr>
          <w:p w14:paraId="635D1A53" w14:textId="77777777" w:rsidR="00A14B9B" w:rsidRPr="002A0D4F" w:rsidRDefault="00A14B9B" w:rsidP="00BF3479">
            <w:pPr>
              <w:pStyle w:val="Tabulka"/>
              <w:spacing w:before="0" w:line="240" w:lineRule="auto"/>
            </w:pPr>
            <w:r w:rsidRPr="002A0D4F">
              <w:t xml:space="preserve">převážně venkovský region (zkratka z </w:t>
            </w:r>
            <w:proofErr w:type="spellStart"/>
            <w:r w:rsidRPr="002A0D4F">
              <w:t>predominantly</w:t>
            </w:r>
            <w:proofErr w:type="spellEnd"/>
            <w:r w:rsidRPr="002A0D4F">
              <w:t xml:space="preserve"> </w:t>
            </w:r>
            <w:proofErr w:type="spellStart"/>
            <w:r w:rsidRPr="002A0D4F">
              <w:t>rural</w:t>
            </w:r>
            <w:proofErr w:type="spellEnd"/>
            <w:r w:rsidRPr="002A0D4F">
              <w:t xml:space="preserve"> region)</w:t>
            </w:r>
          </w:p>
        </w:tc>
      </w:tr>
      <w:tr w:rsidR="00A14B9B" w:rsidRPr="002A0D4F" w14:paraId="7464483E" w14:textId="77777777" w:rsidTr="00DB1D1D">
        <w:trPr>
          <w:cantSplit/>
          <w:trHeight w:val="315"/>
        </w:trPr>
        <w:tc>
          <w:tcPr>
            <w:tcW w:w="734" w:type="pct"/>
            <w:tcBorders>
              <w:top w:val="single" w:sz="4" w:space="0" w:color="auto"/>
              <w:left w:val="single" w:sz="4" w:space="0" w:color="auto"/>
              <w:bottom w:val="single" w:sz="4" w:space="0" w:color="auto"/>
              <w:right w:val="single" w:sz="4" w:space="0" w:color="auto"/>
            </w:tcBorders>
            <w:shd w:val="clear" w:color="auto" w:fill="auto"/>
            <w:vAlign w:val="center"/>
          </w:tcPr>
          <w:p w14:paraId="5E18C7B0" w14:textId="77777777" w:rsidR="00A14B9B" w:rsidRPr="002A0D4F" w:rsidRDefault="00A14B9B" w:rsidP="00BF3479">
            <w:pPr>
              <w:pStyle w:val="Tabulka"/>
              <w:spacing w:before="0" w:line="240" w:lineRule="auto"/>
            </w:pPr>
            <w:r w:rsidRPr="002A0D4F">
              <w:t>PRV</w:t>
            </w:r>
          </w:p>
        </w:tc>
        <w:tc>
          <w:tcPr>
            <w:tcW w:w="4266" w:type="pct"/>
            <w:tcBorders>
              <w:top w:val="single" w:sz="4" w:space="0" w:color="auto"/>
              <w:left w:val="single" w:sz="4" w:space="0" w:color="auto"/>
              <w:bottom w:val="single" w:sz="4" w:space="0" w:color="auto"/>
              <w:right w:val="single" w:sz="4" w:space="0" w:color="auto"/>
            </w:tcBorders>
            <w:shd w:val="clear" w:color="auto" w:fill="auto"/>
          </w:tcPr>
          <w:p w14:paraId="77B1A06C" w14:textId="77777777" w:rsidR="00A14B9B" w:rsidRPr="002A0D4F" w:rsidRDefault="00A14B9B" w:rsidP="00BF3479">
            <w:pPr>
              <w:pStyle w:val="Tabulka"/>
              <w:spacing w:before="0" w:line="240" w:lineRule="auto"/>
            </w:pPr>
            <w:r w:rsidRPr="002A0D4F">
              <w:t>Program rozvoje venkova</w:t>
            </w:r>
          </w:p>
        </w:tc>
      </w:tr>
      <w:tr w:rsidR="00A14B9B" w:rsidRPr="002A0D4F" w14:paraId="652D7F15" w14:textId="77777777" w:rsidTr="00DB1D1D">
        <w:trPr>
          <w:cantSplit/>
          <w:trHeight w:val="315"/>
        </w:trPr>
        <w:tc>
          <w:tcPr>
            <w:tcW w:w="734" w:type="pct"/>
            <w:tcBorders>
              <w:top w:val="single" w:sz="4" w:space="0" w:color="auto"/>
              <w:left w:val="single" w:sz="4" w:space="0" w:color="auto"/>
              <w:bottom w:val="single" w:sz="4" w:space="0" w:color="auto"/>
              <w:right w:val="single" w:sz="4" w:space="0" w:color="auto"/>
            </w:tcBorders>
            <w:shd w:val="clear" w:color="auto" w:fill="auto"/>
            <w:vAlign w:val="center"/>
          </w:tcPr>
          <w:p w14:paraId="463459D9" w14:textId="77777777" w:rsidR="00A14B9B" w:rsidRPr="002A0D4F" w:rsidRDefault="00A14B9B" w:rsidP="00BF3479">
            <w:pPr>
              <w:pStyle w:val="Tabulka"/>
              <w:spacing w:before="0" w:line="240" w:lineRule="auto"/>
            </w:pPr>
            <w:r w:rsidRPr="002A0D4F">
              <w:t>PU</w:t>
            </w:r>
          </w:p>
        </w:tc>
        <w:tc>
          <w:tcPr>
            <w:tcW w:w="4266" w:type="pct"/>
            <w:tcBorders>
              <w:top w:val="single" w:sz="4" w:space="0" w:color="auto"/>
              <w:left w:val="single" w:sz="4" w:space="0" w:color="auto"/>
              <w:bottom w:val="single" w:sz="4" w:space="0" w:color="auto"/>
              <w:right w:val="single" w:sz="4" w:space="0" w:color="auto"/>
            </w:tcBorders>
            <w:shd w:val="clear" w:color="auto" w:fill="auto"/>
          </w:tcPr>
          <w:p w14:paraId="6167C640" w14:textId="77777777" w:rsidR="00A14B9B" w:rsidRPr="002A0D4F" w:rsidRDefault="00A14B9B" w:rsidP="00BF3479">
            <w:pPr>
              <w:pStyle w:val="Tabulka"/>
              <w:spacing w:before="0" w:line="240" w:lineRule="auto"/>
            </w:pPr>
            <w:r w:rsidRPr="002A0D4F">
              <w:t xml:space="preserve">převážně městský region (zkratka z </w:t>
            </w:r>
            <w:proofErr w:type="spellStart"/>
            <w:r w:rsidRPr="002A0D4F">
              <w:t>predominantly</w:t>
            </w:r>
            <w:proofErr w:type="spellEnd"/>
            <w:r w:rsidRPr="002A0D4F">
              <w:t xml:space="preserve"> </w:t>
            </w:r>
            <w:proofErr w:type="spellStart"/>
            <w:r w:rsidRPr="002A0D4F">
              <w:t>urban</w:t>
            </w:r>
            <w:proofErr w:type="spellEnd"/>
            <w:r w:rsidRPr="002A0D4F">
              <w:t xml:space="preserve"> region)</w:t>
            </w:r>
          </w:p>
        </w:tc>
      </w:tr>
      <w:tr w:rsidR="00A14B9B" w:rsidRPr="002A0D4F" w14:paraId="3698D5A2" w14:textId="77777777" w:rsidTr="00DB1D1D">
        <w:trPr>
          <w:cantSplit/>
          <w:trHeight w:val="315"/>
        </w:trPr>
        <w:tc>
          <w:tcPr>
            <w:tcW w:w="734" w:type="pct"/>
            <w:tcBorders>
              <w:top w:val="single" w:sz="4" w:space="0" w:color="auto"/>
              <w:left w:val="single" w:sz="4" w:space="0" w:color="auto"/>
              <w:bottom w:val="single" w:sz="4" w:space="0" w:color="auto"/>
              <w:right w:val="single" w:sz="4" w:space="0" w:color="auto"/>
            </w:tcBorders>
            <w:shd w:val="clear" w:color="auto" w:fill="auto"/>
            <w:vAlign w:val="center"/>
          </w:tcPr>
          <w:p w14:paraId="1D712FCF" w14:textId="77777777" w:rsidR="00A14B9B" w:rsidRPr="002A0D4F" w:rsidRDefault="00A14B9B" w:rsidP="00BF3479">
            <w:pPr>
              <w:pStyle w:val="Tabulka"/>
              <w:spacing w:before="0" w:line="240" w:lineRule="auto"/>
            </w:pPr>
            <w:r w:rsidRPr="002A0D4F">
              <w:t>ŘO</w:t>
            </w:r>
          </w:p>
        </w:tc>
        <w:tc>
          <w:tcPr>
            <w:tcW w:w="4266" w:type="pct"/>
            <w:tcBorders>
              <w:top w:val="single" w:sz="4" w:space="0" w:color="auto"/>
              <w:left w:val="single" w:sz="4" w:space="0" w:color="auto"/>
              <w:bottom w:val="single" w:sz="4" w:space="0" w:color="auto"/>
              <w:right w:val="single" w:sz="4" w:space="0" w:color="auto"/>
            </w:tcBorders>
            <w:shd w:val="clear" w:color="auto" w:fill="auto"/>
          </w:tcPr>
          <w:p w14:paraId="1A43D040" w14:textId="77777777" w:rsidR="00A14B9B" w:rsidRPr="002A0D4F" w:rsidRDefault="00A14B9B" w:rsidP="00BF3479">
            <w:pPr>
              <w:pStyle w:val="Tabulka"/>
              <w:spacing w:before="0" w:line="240" w:lineRule="auto"/>
            </w:pPr>
            <w:r w:rsidRPr="002A0D4F">
              <w:t>Řídící orgán</w:t>
            </w:r>
          </w:p>
        </w:tc>
      </w:tr>
      <w:tr w:rsidR="00A14B9B" w:rsidRPr="002A0D4F" w14:paraId="71138371" w14:textId="77777777" w:rsidTr="00DB1D1D">
        <w:trPr>
          <w:cantSplit/>
          <w:trHeight w:val="315"/>
        </w:trPr>
        <w:tc>
          <w:tcPr>
            <w:tcW w:w="734" w:type="pct"/>
            <w:tcBorders>
              <w:top w:val="single" w:sz="4" w:space="0" w:color="auto"/>
              <w:left w:val="single" w:sz="4" w:space="0" w:color="auto"/>
              <w:bottom w:val="single" w:sz="4" w:space="0" w:color="auto"/>
              <w:right w:val="single" w:sz="4" w:space="0" w:color="auto"/>
            </w:tcBorders>
            <w:shd w:val="clear" w:color="auto" w:fill="auto"/>
            <w:vAlign w:val="center"/>
          </w:tcPr>
          <w:p w14:paraId="20486C0A" w14:textId="77777777" w:rsidR="00A14B9B" w:rsidRPr="002A0D4F" w:rsidRDefault="00A14B9B" w:rsidP="00BF3479">
            <w:pPr>
              <w:pStyle w:val="Tabulka"/>
              <w:spacing w:before="0" w:line="240" w:lineRule="auto"/>
            </w:pPr>
            <w:r w:rsidRPr="002A0D4F">
              <w:t>SCLLD</w:t>
            </w:r>
          </w:p>
        </w:tc>
        <w:tc>
          <w:tcPr>
            <w:tcW w:w="4266" w:type="pct"/>
            <w:tcBorders>
              <w:top w:val="single" w:sz="4" w:space="0" w:color="auto"/>
              <w:left w:val="single" w:sz="4" w:space="0" w:color="auto"/>
              <w:bottom w:val="single" w:sz="4" w:space="0" w:color="auto"/>
              <w:right w:val="single" w:sz="4" w:space="0" w:color="auto"/>
            </w:tcBorders>
            <w:shd w:val="clear" w:color="auto" w:fill="auto"/>
          </w:tcPr>
          <w:p w14:paraId="15657A5A" w14:textId="77777777" w:rsidR="00A14B9B" w:rsidRPr="002A0D4F" w:rsidRDefault="00A14B9B" w:rsidP="00BF3479">
            <w:pPr>
              <w:pStyle w:val="Tabulka"/>
              <w:spacing w:before="0" w:line="240" w:lineRule="auto"/>
            </w:pPr>
            <w:r w:rsidRPr="002A0D4F">
              <w:t>Strategie komunitně vedeného místního rozvoje, rozvojový dokument MAS (</w:t>
            </w:r>
            <w:proofErr w:type="spellStart"/>
            <w:r w:rsidRPr="002A0D4F">
              <w:t>Community</w:t>
            </w:r>
            <w:proofErr w:type="spellEnd"/>
            <w:r w:rsidRPr="002A0D4F">
              <w:t xml:space="preserve">-Led </w:t>
            </w:r>
            <w:proofErr w:type="spellStart"/>
            <w:r w:rsidRPr="002A0D4F">
              <w:t>Local</w:t>
            </w:r>
            <w:proofErr w:type="spellEnd"/>
            <w:r w:rsidRPr="002A0D4F">
              <w:t xml:space="preserve"> Development </w:t>
            </w:r>
            <w:proofErr w:type="spellStart"/>
            <w:r w:rsidRPr="002A0D4F">
              <w:t>Strategy</w:t>
            </w:r>
            <w:proofErr w:type="spellEnd"/>
            <w:r w:rsidRPr="002A0D4F">
              <w:t>)</w:t>
            </w:r>
          </w:p>
        </w:tc>
      </w:tr>
      <w:tr w:rsidR="00A14B9B" w:rsidRPr="002A0D4F" w14:paraId="5B9959C7" w14:textId="77777777" w:rsidTr="00DB1D1D">
        <w:trPr>
          <w:cantSplit/>
          <w:trHeight w:val="315"/>
        </w:trPr>
        <w:tc>
          <w:tcPr>
            <w:tcW w:w="734" w:type="pct"/>
            <w:tcBorders>
              <w:top w:val="single" w:sz="4" w:space="0" w:color="auto"/>
              <w:left w:val="single" w:sz="4" w:space="0" w:color="auto"/>
              <w:bottom w:val="single" w:sz="4" w:space="0" w:color="auto"/>
              <w:right w:val="single" w:sz="4" w:space="0" w:color="auto"/>
            </w:tcBorders>
            <w:shd w:val="clear" w:color="auto" w:fill="auto"/>
            <w:vAlign w:val="center"/>
          </w:tcPr>
          <w:p w14:paraId="14A68176" w14:textId="77777777" w:rsidR="00A14B9B" w:rsidRPr="002A0D4F" w:rsidRDefault="00A14B9B" w:rsidP="00BF3479">
            <w:pPr>
              <w:pStyle w:val="Tabulka"/>
              <w:spacing w:before="0" w:line="240" w:lineRule="auto"/>
            </w:pPr>
            <w:proofErr w:type="spellStart"/>
            <w:r w:rsidRPr="002A0D4F">
              <w:t>SDGs</w:t>
            </w:r>
            <w:proofErr w:type="spellEnd"/>
          </w:p>
        </w:tc>
        <w:tc>
          <w:tcPr>
            <w:tcW w:w="4266" w:type="pct"/>
            <w:tcBorders>
              <w:top w:val="single" w:sz="4" w:space="0" w:color="auto"/>
              <w:left w:val="single" w:sz="4" w:space="0" w:color="auto"/>
              <w:bottom w:val="single" w:sz="4" w:space="0" w:color="auto"/>
              <w:right w:val="single" w:sz="4" w:space="0" w:color="auto"/>
            </w:tcBorders>
            <w:shd w:val="clear" w:color="auto" w:fill="auto"/>
          </w:tcPr>
          <w:p w14:paraId="52C145A3" w14:textId="77777777" w:rsidR="00A14B9B" w:rsidRPr="002A0D4F" w:rsidRDefault="00A14B9B" w:rsidP="00BF3479">
            <w:pPr>
              <w:pStyle w:val="Tabulka"/>
              <w:spacing w:before="0" w:line="240" w:lineRule="auto"/>
            </w:pPr>
            <w:r w:rsidRPr="002A0D4F">
              <w:t>Cíle udržitelného rozvoje (</w:t>
            </w:r>
            <w:proofErr w:type="spellStart"/>
            <w:r w:rsidRPr="002A0D4F">
              <w:t>Sustainable</w:t>
            </w:r>
            <w:proofErr w:type="spellEnd"/>
            <w:r w:rsidRPr="002A0D4F">
              <w:t xml:space="preserve"> Development </w:t>
            </w:r>
            <w:proofErr w:type="spellStart"/>
            <w:r w:rsidRPr="002A0D4F">
              <w:t>Goals</w:t>
            </w:r>
            <w:proofErr w:type="spellEnd"/>
            <w:r w:rsidRPr="002A0D4F">
              <w:t>)</w:t>
            </w:r>
          </w:p>
        </w:tc>
      </w:tr>
      <w:tr w:rsidR="00A14B9B" w:rsidRPr="002A0D4F" w14:paraId="745C1889" w14:textId="77777777" w:rsidTr="00DB1D1D">
        <w:trPr>
          <w:cantSplit/>
          <w:trHeight w:val="315"/>
        </w:trPr>
        <w:tc>
          <w:tcPr>
            <w:tcW w:w="734" w:type="pct"/>
            <w:tcBorders>
              <w:top w:val="single" w:sz="4" w:space="0" w:color="auto"/>
              <w:left w:val="single" w:sz="4" w:space="0" w:color="auto"/>
              <w:bottom w:val="single" w:sz="4" w:space="0" w:color="auto"/>
              <w:right w:val="single" w:sz="4" w:space="0" w:color="auto"/>
            </w:tcBorders>
            <w:shd w:val="clear" w:color="auto" w:fill="auto"/>
            <w:vAlign w:val="center"/>
          </w:tcPr>
          <w:p w14:paraId="2515FFC9" w14:textId="77777777" w:rsidR="00A14B9B" w:rsidRPr="002A0D4F" w:rsidRDefault="00A14B9B" w:rsidP="00BF3479">
            <w:pPr>
              <w:pStyle w:val="Tabulka"/>
              <w:spacing w:before="0" w:line="240" w:lineRule="auto"/>
            </w:pPr>
            <w:r w:rsidRPr="002A0D4F">
              <w:t>SLDB</w:t>
            </w:r>
          </w:p>
        </w:tc>
        <w:tc>
          <w:tcPr>
            <w:tcW w:w="4266" w:type="pct"/>
            <w:tcBorders>
              <w:top w:val="single" w:sz="4" w:space="0" w:color="auto"/>
              <w:left w:val="single" w:sz="4" w:space="0" w:color="auto"/>
              <w:bottom w:val="single" w:sz="4" w:space="0" w:color="auto"/>
              <w:right w:val="single" w:sz="4" w:space="0" w:color="auto"/>
            </w:tcBorders>
            <w:shd w:val="clear" w:color="auto" w:fill="auto"/>
          </w:tcPr>
          <w:p w14:paraId="5802895A" w14:textId="77777777" w:rsidR="00A14B9B" w:rsidRPr="002A0D4F" w:rsidRDefault="00A14B9B" w:rsidP="00BF3479">
            <w:pPr>
              <w:pStyle w:val="Tabulka"/>
              <w:spacing w:before="0" w:line="240" w:lineRule="auto"/>
            </w:pPr>
            <w:r w:rsidRPr="002A0D4F">
              <w:t>Sčítání lidu, domů a bytů</w:t>
            </w:r>
          </w:p>
        </w:tc>
      </w:tr>
      <w:tr w:rsidR="00A14B9B" w:rsidRPr="002A0D4F" w14:paraId="2B8104E8" w14:textId="77777777" w:rsidTr="00DB1D1D">
        <w:trPr>
          <w:cantSplit/>
          <w:trHeight w:val="315"/>
        </w:trPr>
        <w:tc>
          <w:tcPr>
            <w:tcW w:w="734" w:type="pct"/>
            <w:tcBorders>
              <w:top w:val="single" w:sz="4" w:space="0" w:color="auto"/>
              <w:left w:val="single" w:sz="4" w:space="0" w:color="auto"/>
              <w:bottom w:val="single" w:sz="4" w:space="0" w:color="auto"/>
              <w:right w:val="single" w:sz="4" w:space="0" w:color="auto"/>
            </w:tcBorders>
            <w:shd w:val="clear" w:color="auto" w:fill="auto"/>
            <w:vAlign w:val="center"/>
          </w:tcPr>
          <w:p w14:paraId="0C262D9E" w14:textId="77777777" w:rsidR="00A14B9B" w:rsidRPr="002A0D4F" w:rsidRDefault="00A14B9B" w:rsidP="00BF3479">
            <w:pPr>
              <w:pStyle w:val="Tabulka"/>
              <w:spacing w:before="0" w:line="240" w:lineRule="auto"/>
            </w:pPr>
            <w:r w:rsidRPr="002A0D4F">
              <w:t>SMO</w:t>
            </w:r>
          </w:p>
        </w:tc>
        <w:tc>
          <w:tcPr>
            <w:tcW w:w="4266" w:type="pct"/>
            <w:tcBorders>
              <w:top w:val="single" w:sz="4" w:space="0" w:color="auto"/>
              <w:left w:val="single" w:sz="4" w:space="0" w:color="auto"/>
              <w:bottom w:val="single" w:sz="4" w:space="0" w:color="auto"/>
              <w:right w:val="single" w:sz="4" w:space="0" w:color="auto"/>
            </w:tcBorders>
            <w:shd w:val="clear" w:color="auto" w:fill="auto"/>
          </w:tcPr>
          <w:p w14:paraId="2FB0C4F7" w14:textId="77777777" w:rsidR="00A14B9B" w:rsidRPr="002A0D4F" w:rsidRDefault="00A14B9B" w:rsidP="00BF3479">
            <w:pPr>
              <w:pStyle w:val="Tabulka"/>
              <w:spacing w:before="0" w:line="240" w:lineRule="auto"/>
            </w:pPr>
            <w:r w:rsidRPr="002A0D4F">
              <w:t>Svaz měst a obcí České republiky</w:t>
            </w:r>
          </w:p>
        </w:tc>
      </w:tr>
      <w:tr w:rsidR="00A14B9B" w:rsidRPr="002A0D4F" w14:paraId="2B61B130" w14:textId="77777777" w:rsidTr="00DB1D1D">
        <w:trPr>
          <w:cantSplit/>
          <w:trHeight w:val="315"/>
        </w:trPr>
        <w:tc>
          <w:tcPr>
            <w:tcW w:w="734" w:type="pct"/>
            <w:tcBorders>
              <w:top w:val="single" w:sz="4" w:space="0" w:color="auto"/>
              <w:left w:val="single" w:sz="4" w:space="0" w:color="auto"/>
              <w:bottom w:val="single" w:sz="4" w:space="0" w:color="auto"/>
              <w:right w:val="single" w:sz="4" w:space="0" w:color="auto"/>
            </w:tcBorders>
            <w:shd w:val="clear" w:color="auto" w:fill="auto"/>
            <w:vAlign w:val="center"/>
          </w:tcPr>
          <w:p w14:paraId="0FA61592" w14:textId="77777777" w:rsidR="00A14B9B" w:rsidRPr="002A0D4F" w:rsidRDefault="00A14B9B" w:rsidP="00BF3479">
            <w:pPr>
              <w:pStyle w:val="Tabulka"/>
              <w:spacing w:before="0" w:line="240" w:lineRule="auto"/>
            </w:pPr>
            <w:r w:rsidRPr="002A0D4F">
              <w:t>SRR</w:t>
            </w:r>
          </w:p>
        </w:tc>
        <w:tc>
          <w:tcPr>
            <w:tcW w:w="4266" w:type="pct"/>
            <w:tcBorders>
              <w:top w:val="single" w:sz="4" w:space="0" w:color="auto"/>
              <w:left w:val="single" w:sz="4" w:space="0" w:color="auto"/>
              <w:bottom w:val="single" w:sz="4" w:space="0" w:color="auto"/>
              <w:right w:val="single" w:sz="4" w:space="0" w:color="auto"/>
            </w:tcBorders>
            <w:shd w:val="clear" w:color="auto" w:fill="auto"/>
          </w:tcPr>
          <w:p w14:paraId="71963AFB" w14:textId="77777777" w:rsidR="00A14B9B" w:rsidRPr="002A0D4F" w:rsidRDefault="00A14B9B" w:rsidP="00BF3479">
            <w:pPr>
              <w:pStyle w:val="Tabulka"/>
              <w:spacing w:before="0" w:line="240" w:lineRule="auto"/>
            </w:pPr>
            <w:r w:rsidRPr="002A0D4F">
              <w:t>Strategie regionálního rozvoje</w:t>
            </w:r>
          </w:p>
        </w:tc>
      </w:tr>
      <w:tr w:rsidR="00A14B9B" w:rsidRPr="002A0D4F" w14:paraId="7021EF4A" w14:textId="77777777" w:rsidTr="00DB1D1D">
        <w:trPr>
          <w:cantSplit/>
          <w:trHeight w:val="315"/>
        </w:trPr>
        <w:tc>
          <w:tcPr>
            <w:tcW w:w="734" w:type="pct"/>
            <w:tcBorders>
              <w:top w:val="single" w:sz="4" w:space="0" w:color="auto"/>
              <w:left w:val="single" w:sz="4" w:space="0" w:color="auto"/>
              <w:bottom w:val="single" w:sz="4" w:space="0" w:color="auto"/>
              <w:right w:val="single" w:sz="4" w:space="0" w:color="auto"/>
            </w:tcBorders>
            <w:shd w:val="clear" w:color="auto" w:fill="auto"/>
            <w:vAlign w:val="center"/>
          </w:tcPr>
          <w:p w14:paraId="5DD7379B" w14:textId="77777777" w:rsidR="00A14B9B" w:rsidRPr="002A0D4F" w:rsidRDefault="00A14B9B" w:rsidP="00BF3479">
            <w:pPr>
              <w:pStyle w:val="Tabulka"/>
              <w:spacing w:before="0" w:line="240" w:lineRule="auto"/>
            </w:pPr>
            <w:r w:rsidRPr="002A0D4F">
              <w:t>SWOT</w:t>
            </w:r>
          </w:p>
        </w:tc>
        <w:tc>
          <w:tcPr>
            <w:tcW w:w="4266" w:type="pct"/>
            <w:tcBorders>
              <w:top w:val="single" w:sz="4" w:space="0" w:color="auto"/>
              <w:left w:val="single" w:sz="4" w:space="0" w:color="auto"/>
              <w:bottom w:val="single" w:sz="4" w:space="0" w:color="auto"/>
              <w:right w:val="single" w:sz="4" w:space="0" w:color="auto"/>
            </w:tcBorders>
            <w:shd w:val="clear" w:color="auto" w:fill="auto"/>
          </w:tcPr>
          <w:p w14:paraId="247D25DA" w14:textId="77777777" w:rsidR="00A14B9B" w:rsidRPr="002A0D4F" w:rsidRDefault="00A14B9B" w:rsidP="00BF3479">
            <w:pPr>
              <w:pStyle w:val="Tabulka"/>
              <w:spacing w:before="0" w:line="240" w:lineRule="auto"/>
            </w:pPr>
            <w:r w:rsidRPr="002A0D4F">
              <w:t>Analýza silných a slabých stránek, příležitostí a hrozeb (</w:t>
            </w:r>
            <w:proofErr w:type="spellStart"/>
            <w:r w:rsidRPr="002A0D4F">
              <w:t>Strenghts</w:t>
            </w:r>
            <w:proofErr w:type="spellEnd"/>
            <w:r w:rsidRPr="002A0D4F">
              <w:t xml:space="preserve">, </w:t>
            </w:r>
            <w:proofErr w:type="spellStart"/>
            <w:r w:rsidRPr="002A0D4F">
              <w:t>Weaknesses</w:t>
            </w:r>
            <w:proofErr w:type="spellEnd"/>
            <w:r w:rsidRPr="002A0D4F">
              <w:t xml:space="preserve">, </w:t>
            </w:r>
            <w:proofErr w:type="spellStart"/>
            <w:r w:rsidRPr="002A0D4F">
              <w:t>Opportunities</w:t>
            </w:r>
            <w:proofErr w:type="spellEnd"/>
            <w:r w:rsidRPr="002A0D4F">
              <w:t xml:space="preserve">, </w:t>
            </w:r>
            <w:proofErr w:type="spellStart"/>
            <w:r w:rsidRPr="002A0D4F">
              <w:t>Threats</w:t>
            </w:r>
            <w:proofErr w:type="spellEnd"/>
            <w:r w:rsidRPr="002A0D4F">
              <w:t>)</w:t>
            </w:r>
          </w:p>
        </w:tc>
      </w:tr>
      <w:tr w:rsidR="00A14B9B" w:rsidRPr="002A0D4F" w14:paraId="1BA4DF88" w14:textId="77777777" w:rsidTr="00DB1D1D">
        <w:trPr>
          <w:cantSplit/>
          <w:trHeight w:val="315"/>
        </w:trPr>
        <w:tc>
          <w:tcPr>
            <w:tcW w:w="734" w:type="pct"/>
            <w:tcBorders>
              <w:top w:val="single" w:sz="4" w:space="0" w:color="auto"/>
              <w:left w:val="single" w:sz="4" w:space="0" w:color="auto"/>
              <w:bottom w:val="single" w:sz="4" w:space="0" w:color="auto"/>
              <w:right w:val="single" w:sz="4" w:space="0" w:color="auto"/>
            </w:tcBorders>
            <w:shd w:val="clear" w:color="auto" w:fill="auto"/>
            <w:vAlign w:val="center"/>
          </w:tcPr>
          <w:p w14:paraId="60E5D494" w14:textId="77777777" w:rsidR="00A14B9B" w:rsidRPr="002A0D4F" w:rsidRDefault="00A14B9B" w:rsidP="00BF3479">
            <w:pPr>
              <w:pStyle w:val="Tabulka"/>
              <w:spacing w:before="0" w:line="240" w:lineRule="auto"/>
            </w:pPr>
            <w:r w:rsidRPr="002A0D4F">
              <w:t>SZP</w:t>
            </w:r>
          </w:p>
        </w:tc>
        <w:tc>
          <w:tcPr>
            <w:tcW w:w="4266" w:type="pct"/>
            <w:tcBorders>
              <w:top w:val="single" w:sz="4" w:space="0" w:color="auto"/>
              <w:left w:val="single" w:sz="4" w:space="0" w:color="auto"/>
              <w:bottom w:val="single" w:sz="4" w:space="0" w:color="auto"/>
              <w:right w:val="single" w:sz="4" w:space="0" w:color="auto"/>
            </w:tcBorders>
            <w:shd w:val="clear" w:color="auto" w:fill="auto"/>
          </w:tcPr>
          <w:p w14:paraId="6C1924C7" w14:textId="77777777" w:rsidR="00A14B9B" w:rsidRPr="002A0D4F" w:rsidRDefault="00A14B9B" w:rsidP="00BF3479">
            <w:pPr>
              <w:pStyle w:val="Tabulka"/>
              <w:spacing w:before="0" w:line="240" w:lineRule="auto"/>
            </w:pPr>
            <w:r w:rsidRPr="002A0D4F">
              <w:t xml:space="preserve">Společná zemědělská politika </w:t>
            </w:r>
          </w:p>
        </w:tc>
      </w:tr>
      <w:tr w:rsidR="00A14B9B" w:rsidRPr="002A0D4F" w14:paraId="4CF9A501" w14:textId="77777777" w:rsidTr="00DB1D1D">
        <w:trPr>
          <w:cantSplit/>
          <w:trHeight w:val="315"/>
        </w:trPr>
        <w:tc>
          <w:tcPr>
            <w:tcW w:w="734" w:type="pct"/>
            <w:tcBorders>
              <w:top w:val="single" w:sz="4" w:space="0" w:color="auto"/>
              <w:left w:val="single" w:sz="4" w:space="0" w:color="auto"/>
              <w:bottom w:val="single" w:sz="4" w:space="0" w:color="auto"/>
              <w:right w:val="single" w:sz="4" w:space="0" w:color="auto"/>
            </w:tcBorders>
            <w:shd w:val="clear" w:color="auto" w:fill="auto"/>
            <w:vAlign w:val="center"/>
          </w:tcPr>
          <w:p w14:paraId="1F2013FD" w14:textId="77777777" w:rsidR="00A14B9B" w:rsidRPr="002A0D4F" w:rsidRDefault="00A14B9B" w:rsidP="00BF3479">
            <w:pPr>
              <w:pStyle w:val="Tabulka"/>
              <w:spacing w:before="0" w:line="240" w:lineRule="auto"/>
            </w:pPr>
            <w:r w:rsidRPr="002A0D4F">
              <w:t>ÚZEI</w:t>
            </w:r>
          </w:p>
        </w:tc>
        <w:tc>
          <w:tcPr>
            <w:tcW w:w="4266" w:type="pct"/>
            <w:tcBorders>
              <w:top w:val="single" w:sz="4" w:space="0" w:color="auto"/>
              <w:left w:val="single" w:sz="4" w:space="0" w:color="auto"/>
              <w:bottom w:val="single" w:sz="4" w:space="0" w:color="auto"/>
              <w:right w:val="single" w:sz="4" w:space="0" w:color="auto"/>
            </w:tcBorders>
            <w:shd w:val="clear" w:color="auto" w:fill="auto"/>
          </w:tcPr>
          <w:p w14:paraId="2CAB9180" w14:textId="77777777" w:rsidR="00A14B9B" w:rsidRPr="002A0D4F" w:rsidRDefault="00A14B9B" w:rsidP="00BF3479">
            <w:pPr>
              <w:pStyle w:val="Tabulka"/>
              <w:spacing w:before="0" w:line="240" w:lineRule="auto"/>
            </w:pPr>
            <w:r w:rsidRPr="002A0D4F">
              <w:t>Ústav zemědělské ekonomiky a informací</w:t>
            </w:r>
          </w:p>
        </w:tc>
      </w:tr>
      <w:tr w:rsidR="00A14B9B" w:rsidRPr="002A0D4F" w14:paraId="28727219" w14:textId="77777777" w:rsidTr="00DB1D1D">
        <w:trPr>
          <w:cantSplit/>
          <w:trHeight w:val="315"/>
        </w:trPr>
        <w:tc>
          <w:tcPr>
            <w:tcW w:w="734" w:type="pct"/>
            <w:tcBorders>
              <w:top w:val="single" w:sz="4" w:space="0" w:color="auto"/>
              <w:left w:val="single" w:sz="4" w:space="0" w:color="auto"/>
              <w:bottom w:val="single" w:sz="4" w:space="0" w:color="auto"/>
              <w:right w:val="single" w:sz="4" w:space="0" w:color="auto"/>
            </w:tcBorders>
            <w:shd w:val="clear" w:color="auto" w:fill="auto"/>
            <w:vAlign w:val="center"/>
          </w:tcPr>
          <w:p w14:paraId="203BF879" w14:textId="77777777" w:rsidR="00A14B9B" w:rsidRPr="002A0D4F" w:rsidRDefault="00A14B9B" w:rsidP="00BF3479">
            <w:pPr>
              <w:pStyle w:val="Tabulka"/>
              <w:spacing w:before="0" w:line="240" w:lineRule="auto"/>
            </w:pPr>
            <w:r w:rsidRPr="002A0D4F">
              <w:t>VPM</w:t>
            </w:r>
          </w:p>
        </w:tc>
        <w:tc>
          <w:tcPr>
            <w:tcW w:w="4266" w:type="pct"/>
            <w:tcBorders>
              <w:top w:val="single" w:sz="4" w:space="0" w:color="auto"/>
              <w:left w:val="single" w:sz="4" w:space="0" w:color="auto"/>
              <w:bottom w:val="single" w:sz="4" w:space="0" w:color="auto"/>
              <w:right w:val="single" w:sz="4" w:space="0" w:color="auto"/>
            </w:tcBorders>
            <w:shd w:val="clear" w:color="auto" w:fill="auto"/>
          </w:tcPr>
          <w:p w14:paraId="37B7FD05" w14:textId="77777777" w:rsidR="00A14B9B" w:rsidRPr="002A0D4F" w:rsidRDefault="00A14B9B" w:rsidP="00BF3479">
            <w:pPr>
              <w:pStyle w:val="Tabulka"/>
              <w:spacing w:before="0" w:line="240" w:lineRule="auto"/>
            </w:pPr>
            <w:r w:rsidRPr="002A0D4F">
              <w:t>volné pracovní místo</w:t>
            </w:r>
          </w:p>
        </w:tc>
      </w:tr>
      <w:tr w:rsidR="00A14B9B" w:rsidRPr="002A0D4F" w14:paraId="4E13CC12" w14:textId="77777777" w:rsidTr="00DB1D1D">
        <w:trPr>
          <w:cantSplit/>
          <w:trHeight w:val="315"/>
        </w:trPr>
        <w:tc>
          <w:tcPr>
            <w:tcW w:w="734" w:type="pct"/>
            <w:tcBorders>
              <w:top w:val="single" w:sz="4" w:space="0" w:color="auto"/>
              <w:left w:val="single" w:sz="4" w:space="0" w:color="auto"/>
              <w:bottom w:val="single" w:sz="4" w:space="0" w:color="auto"/>
              <w:right w:val="single" w:sz="4" w:space="0" w:color="auto"/>
            </w:tcBorders>
            <w:shd w:val="clear" w:color="auto" w:fill="auto"/>
            <w:vAlign w:val="center"/>
          </w:tcPr>
          <w:p w14:paraId="498FF549" w14:textId="77777777" w:rsidR="00A14B9B" w:rsidRPr="002A0D4F" w:rsidRDefault="00A14B9B" w:rsidP="00BF3479">
            <w:pPr>
              <w:pStyle w:val="Tabulka"/>
              <w:spacing w:before="0" w:line="240" w:lineRule="auto"/>
            </w:pPr>
            <w:r w:rsidRPr="002A0D4F">
              <w:t>VŠPS</w:t>
            </w:r>
          </w:p>
        </w:tc>
        <w:tc>
          <w:tcPr>
            <w:tcW w:w="4266" w:type="pct"/>
            <w:tcBorders>
              <w:top w:val="single" w:sz="4" w:space="0" w:color="auto"/>
              <w:left w:val="single" w:sz="4" w:space="0" w:color="auto"/>
              <w:bottom w:val="single" w:sz="4" w:space="0" w:color="auto"/>
              <w:right w:val="single" w:sz="4" w:space="0" w:color="auto"/>
            </w:tcBorders>
            <w:shd w:val="clear" w:color="auto" w:fill="auto"/>
          </w:tcPr>
          <w:p w14:paraId="32C1C0F2" w14:textId="77777777" w:rsidR="00A14B9B" w:rsidRPr="002A0D4F" w:rsidRDefault="00A14B9B" w:rsidP="00BF3479">
            <w:pPr>
              <w:pStyle w:val="Tabulka"/>
              <w:spacing w:before="0" w:line="240" w:lineRule="auto"/>
            </w:pPr>
            <w:r w:rsidRPr="002A0D4F">
              <w:t>Výběrové šetření pracovních sil</w:t>
            </w:r>
          </w:p>
        </w:tc>
      </w:tr>
      <w:tr w:rsidR="00A14B9B" w:rsidRPr="002A0D4F" w14:paraId="29886885" w14:textId="77777777" w:rsidTr="00DB1D1D">
        <w:trPr>
          <w:cantSplit/>
          <w:trHeight w:val="315"/>
        </w:trPr>
        <w:tc>
          <w:tcPr>
            <w:tcW w:w="734" w:type="pct"/>
            <w:tcBorders>
              <w:top w:val="single" w:sz="4" w:space="0" w:color="auto"/>
              <w:left w:val="single" w:sz="4" w:space="0" w:color="auto"/>
              <w:bottom w:val="single" w:sz="4" w:space="0" w:color="auto"/>
              <w:right w:val="single" w:sz="4" w:space="0" w:color="auto"/>
            </w:tcBorders>
            <w:shd w:val="clear" w:color="auto" w:fill="auto"/>
            <w:vAlign w:val="center"/>
          </w:tcPr>
          <w:p w14:paraId="6888A54E" w14:textId="77777777" w:rsidR="00A14B9B" w:rsidRPr="002A0D4F" w:rsidRDefault="00A14B9B" w:rsidP="00BF3479">
            <w:pPr>
              <w:pStyle w:val="Tabulka"/>
              <w:spacing w:before="0" w:line="240" w:lineRule="auto"/>
            </w:pPr>
            <w:r w:rsidRPr="002A0D4F">
              <w:t>ZŠ</w:t>
            </w:r>
          </w:p>
        </w:tc>
        <w:tc>
          <w:tcPr>
            <w:tcW w:w="4266" w:type="pct"/>
            <w:tcBorders>
              <w:top w:val="single" w:sz="4" w:space="0" w:color="auto"/>
              <w:left w:val="single" w:sz="4" w:space="0" w:color="auto"/>
              <w:bottom w:val="single" w:sz="4" w:space="0" w:color="auto"/>
              <w:right w:val="single" w:sz="4" w:space="0" w:color="auto"/>
            </w:tcBorders>
            <w:shd w:val="clear" w:color="auto" w:fill="auto"/>
          </w:tcPr>
          <w:p w14:paraId="5D3A8836" w14:textId="77777777" w:rsidR="00A14B9B" w:rsidRPr="002A0D4F" w:rsidRDefault="00A14B9B" w:rsidP="00BF3479">
            <w:pPr>
              <w:pStyle w:val="Tabulka"/>
              <w:spacing w:before="0" w:line="240" w:lineRule="auto"/>
            </w:pPr>
            <w:r w:rsidRPr="002A0D4F">
              <w:t>základní škola</w:t>
            </w:r>
          </w:p>
        </w:tc>
      </w:tr>
    </w:tbl>
    <w:p w14:paraId="711E752E" w14:textId="121BD3CB" w:rsidR="00706462" w:rsidRDefault="00706462" w:rsidP="00C52589">
      <w:pPr>
        <w:spacing w:before="120" w:after="120"/>
        <w:jc w:val="center"/>
        <w:rPr>
          <w:lang w:val="cs-CZ"/>
        </w:rPr>
      </w:pPr>
    </w:p>
    <w:p w14:paraId="5098C40C" w14:textId="621DAFA0" w:rsidR="005E00C1" w:rsidRDefault="00706462" w:rsidP="00157D38">
      <w:pPr>
        <w:pStyle w:val="Nadpis1"/>
        <w:numPr>
          <w:ilvl w:val="0"/>
          <w:numId w:val="0"/>
        </w:numPr>
        <w:ind w:left="431" w:hanging="431"/>
      </w:pPr>
      <w:r>
        <w:br w:type="page"/>
      </w:r>
    </w:p>
    <w:p w14:paraId="38824EC3" w14:textId="45AB0B0D" w:rsidR="00A14B9B" w:rsidRDefault="00706462" w:rsidP="00706462">
      <w:pPr>
        <w:spacing w:before="120" w:after="120"/>
        <w:rPr>
          <w:b/>
          <w:bCs/>
          <w:sz w:val="28"/>
          <w:szCs w:val="28"/>
          <w:lang w:val="cs-CZ"/>
        </w:rPr>
      </w:pPr>
      <w:r w:rsidRPr="00706462">
        <w:rPr>
          <w:b/>
          <w:bCs/>
          <w:sz w:val="28"/>
          <w:szCs w:val="28"/>
          <w:lang w:val="cs-CZ"/>
        </w:rPr>
        <w:lastRenderedPageBreak/>
        <w:t>Obsah</w:t>
      </w:r>
    </w:p>
    <w:p w14:paraId="0D05E746" w14:textId="01B06CE4" w:rsidR="00CA317E" w:rsidRDefault="00CA317E" w:rsidP="00BE6DCB">
      <w:pPr>
        <w:pStyle w:val="Obsah1"/>
        <w:ind w:left="426" w:hanging="426"/>
        <w:rPr>
          <w:rFonts w:asciiTheme="minorHAnsi" w:eastAsiaTheme="minorEastAsia" w:hAnsiTheme="minorHAnsi"/>
          <w:b w:val="0"/>
          <w:bCs w:val="0"/>
          <w:caps w:val="0"/>
          <w:noProof/>
          <w:sz w:val="22"/>
          <w:szCs w:val="22"/>
          <w:lang w:val="cs-CZ" w:eastAsia="cs-CZ"/>
        </w:rPr>
      </w:pPr>
      <w:r>
        <w:rPr>
          <w:b w:val="0"/>
          <w:bCs w:val="0"/>
          <w:caps w:val="0"/>
          <w:lang w:val="cs-CZ"/>
        </w:rPr>
        <w:fldChar w:fldCharType="begin"/>
      </w:r>
      <w:r>
        <w:rPr>
          <w:b w:val="0"/>
          <w:bCs w:val="0"/>
          <w:caps w:val="0"/>
          <w:lang w:val="cs-CZ"/>
        </w:rPr>
        <w:instrText xml:space="preserve"> TOC \o "1-3" \h \z \t "UZEI Nadpis 4.st;4" </w:instrText>
      </w:r>
      <w:r>
        <w:rPr>
          <w:b w:val="0"/>
          <w:bCs w:val="0"/>
          <w:caps w:val="0"/>
          <w:lang w:val="cs-CZ"/>
        </w:rPr>
        <w:fldChar w:fldCharType="separate"/>
      </w:r>
      <w:hyperlink w:anchor="_Toc81817292" w:history="1">
        <w:r w:rsidRPr="0097449D">
          <w:rPr>
            <w:rStyle w:val="Hypertextovodkaz"/>
            <w:noProof/>
          </w:rPr>
          <w:t>Seznam zkratek</w:t>
        </w:r>
        <w:r>
          <w:rPr>
            <w:noProof/>
            <w:webHidden/>
          </w:rPr>
          <w:tab/>
        </w:r>
        <w:r>
          <w:rPr>
            <w:noProof/>
            <w:webHidden/>
          </w:rPr>
          <w:fldChar w:fldCharType="begin"/>
        </w:r>
        <w:r>
          <w:rPr>
            <w:noProof/>
            <w:webHidden/>
          </w:rPr>
          <w:instrText xml:space="preserve"> PAGEREF _Toc81817292 \h </w:instrText>
        </w:r>
        <w:r>
          <w:rPr>
            <w:noProof/>
            <w:webHidden/>
          </w:rPr>
        </w:r>
        <w:r>
          <w:rPr>
            <w:noProof/>
            <w:webHidden/>
          </w:rPr>
          <w:fldChar w:fldCharType="separate"/>
        </w:r>
        <w:r w:rsidR="00196CD8">
          <w:rPr>
            <w:noProof/>
            <w:webHidden/>
          </w:rPr>
          <w:t>2</w:t>
        </w:r>
        <w:r>
          <w:rPr>
            <w:noProof/>
            <w:webHidden/>
          </w:rPr>
          <w:fldChar w:fldCharType="end"/>
        </w:r>
      </w:hyperlink>
    </w:p>
    <w:p w14:paraId="368631EF" w14:textId="191CFF73" w:rsidR="00CA317E" w:rsidRDefault="003A4538" w:rsidP="00BE6DCB">
      <w:pPr>
        <w:pStyle w:val="Obsah1"/>
        <w:ind w:left="426" w:hanging="426"/>
        <w:rPr>
          <w:rFonts w:asciiTheme="minorHAnsi" w:eastAsiaTheme="minorEastAsia" w:hAnsiTheme="minorHAnsi"/>
          <w:b w:val="0"/>
          <w:bCs w:val="0"/>
          <w:caps w:val="0"/>
          <w:noProof/>
          <w:sz w:val="22"/>
          <w:szCs w:val="22"/>
          <w:lang w:val="cs-CZ" w:eastAsia="cs-CZ"/>
        </w:rPr>
      </w:pPr>
      <w:hyperlink w:anchor="_Toc81817293" w:history="1">
        <w:r w:rsidR="00CA317E" w:rsidRPr="0097449D">
          <w:rPr>
            <w:rStyle w:val="Hypertextovodkaz"/>
            <w:noProof/>
          </w:rPr>
          <w:t>1</w:t>
        </w:r>
        <w:r w:rsidR="00CA317E">
          <w:rPr>
            <w:rFonts w:asciiTheme="minorHAnsi" w:eastAsiaTheme="minorEastAsia" w:hAnsiTheme="minorHAnsi"/>
            <w:b w:val="0"/>
            <w:bCs w:val="0"/>
            <w:caps w:val="0"/>
            <w:noProof/>
            <w:sz w:val="22"/>
            <w:szCs w:val="22"/>
            <w:lang w:val="cs-CZ" w:eastAsia="cs-CZ"/>
          </w:rPr>
          <w:tab/>
        </w:r>
        <w:r w:rsidR="00CA317E" w:rsidRPr="0097449D">
          <w:rPr>
            <w:rStyle w:val="Hypertextovodkaz"/>
            <w:noProof/>
          </w:rPr>
          <w:t>Analýza stávajících/navrhovaných právních předpisů EK/ČR a pravděpodobné nastavení směrů a cílů SZP</w:t>
        </w:r>
        <w:r w:rsidR="00CA317E">
          <w:rPr>
            <w:noProof/>
            <w:webHidden/>
          </w:rPr>
          <w:tab/>
        </w:r>
        <w:r w:rsidR="00CA317E">
          <w:rPr>
            <w:noProof/>
            <w:webHidden/>
          </w:rPr>
          <w:fldChar w:fldCharType="begin"/>
        </w:r>
        <w:r w:rsidR="00CA317E">
          <w:rPr>
            <w:noProof/>
            <w:webHidden/>
          </w:rPr>
          <w:instrText xml:space="preserve"> PAGEREF _Toc81817293 \h </w:instrText>
        </w:r>
        <w:r w:rsidR="00CA317E">
          <w:rPr>
            <w:noProof/>
            <w:webHidden/>
          </w:rPr>
        </w:r>
        <w:r w:rsidR="00CA317E">
          <w:rPr>
            <w:noProof/>
            <w:webHidden/>
          </w:rPr>
          <w:fldChar w:fldCharType="separate"/>
        </w:r>
        <w:r w:rsidR="00196CD8">
          <w:rPr>
            <w:noProof/>
            <w:webHidden/>
          </w:rPr>
          <w:t>5</w:t>
        </w:r>
        <w:r w:rsidR="00CA317E">
          <w:rPr>
            <w:noProof/>
            <w:webHidden/>
          </w:rPr>
          <w:fldChar w:fldCharType="end"/>
        </w:r>
      </w:hyperlink>
    </w:p>
    <w:p w14:paraId="55367EEE" w14:textId="4A62F7A9" w:rsidR="00CA317E" w:rsidRDefault="003A4538" w:rsidP="00BE6DCB">
      <w:pPr>
        <w:pStyle w:val="Obsah1"/>
        <w:ind w:left="426" w:hanging="426"/>
        <w:rPr>
          <w:rFonts w:asciiTheme="minorHAnsi" w:eastAsiaTheme="minorEastAsia" w:hAnsiTheme="minorHAnsi"/>
          <w:b w:val="0"/>
          <w:bCs w:val="0"/>
          <w:caps w:val="0"/>
          <w:noProof/>
          <w:sz w:val="22"/>
          <w:szCs w:val="22"/>
          <w:lang w:val="cs-CZ" w:eastAsia="cs-CZ"/>
        </w:rPr>
      </w:pPr>
      <w:hyperlink w:anchor="_Toc81817294" w:history="1">
        <w:r w:rsidR="00CA317E" w:rsidRPr="0097449D">
          <w:rPr>
            <w:rStyle w:val="Hypertextovodkaz"/>
            <w:noProof/>
          </w:rPr>
          <w:t>2</w:t>
        </w:r>
        <w:r w:rsidR="00CA317E">
          <w:rPr>
            <w:rFonts w:asciiTheme="minorHAnsi" w:eastAsiaTheme="minorEastAsia" w:hAnsiTheme="minorHAnsi"/>
            <w:b w:val="0"/>
            <w:bCs w:val="0"/>
            <w:caps w:val="0"/>
            <w:noProof/>
            <w:sz w:val="22"/>
            <w:szCs w:val="22"/>
            <w:lang w:val="cs-CZ" w:eastAsia="cs-CZ"/>
          </w:rPr>
          <w:tab/>
        </w:r>
        <w:r w:rsidR="00CA317E" w:rsidRPr="0097449D">
          <w:rPr>
            <w:rStyle w:val="Hypertextovodkaz"/>
            <w:noProof/>
          </w:rPr>
          <w:t>Stanovení skutečného problému, na který má politika reagovat?</w:t>
        </w:r>
        <w:r w:rsidR="00CA317E">
          <w:rPr>
            <w:noProof/>
            <w:webHidden/>
          </w:rPr>
          <w:tab/>
        </w:r>
        <w:r w:rsidR="00CA317E">
          <w:rPr>
            <w:noProof/>
            <w:webHidden/>
          </w:rPr>
          <w:fldChar w:fldCharType="begin"/>
        </w:r>
        <w:r w:rsidR="00CA317E">
          <w:rPr>
            <w:noProof/>
            <w:webHidden/>
          </w:rPr>
          <w:instrText xml:space="preserve"> PAGEREF _Toc81817294 \h </w:instrText>
        </w:r>
        <w:r w:rsidR="00CA317E">
          <w:rPr>
            <w:noProof/>
            <w:webHidden/>
          </w:rPr>
        </w:r>
        <w:r w:rsidR="00CA317E">
          <w:rPr>
            <w:noProof/>
            <w:webHidden/>
          </w:rPr>
          <w:fldChar w:fldCharType="separate"/>
        </w:r>
        <w:r w:rsidR="00196CD8">
          <w:rPr>
            <w:noProof/>
            <w:webHidden/>
          </w:rPr>
          <w:t>8</w:t>
        </w:r>
        <w:r w:rsidR="00CA317E">
          <w:rPr>
            <w:noProof/>
            <w:webHidden/>
          </w:rPr>
          <w:fldChar w:fldCharType="end"/>
        </w:r>
      </w:hyperlink>
    </w:p>
    <w:p w14:paraId="26B059E3" w14:textId="64075396" w:rsidR="00CA317E" w:rsidRDefault="003A4538" w:rsidP="00BE6DCB">
      <w:pPr>
        <w:pStyle w:val="Obsah1"/>
        <w:ind w:left="426" w:hanging="426"/>
        <w:rPr>
          <w:rFonts w:asciiTheme="minorHAnsi" w:eastAsiaTheme="minorEastAsia" w:hAnsiTheme="minorHAnsi"/>
          <w:b w:val="0"/>
          <w:bCs w:val="0"/>
          <w:caps w:val="0"/>
          <w:noProof/>
          <w:sz w:val="22"/>
          <w:szCs w:val="22"/>
          <w:lang w:val="cs-CZ" w:eastAsia="cs-CZ"/>
        </w:rPr>
      </w:pPr>
      <w:hyperlink w:anchor="_Toc81817295" w:history="1">
        <w:r w:rsidR="00CA317E" w:rsidRPr="0097449D">
          <w:rPr>
            <w:rStyle w:val="Hypertextovodkaz"/>
            <w:noProof/>
          </w:rPr>
          <w:t>3</w:t>
        </w:r>
        <w:r w:rsidR="00CA317E">
          <w:rPr>
            <w:rFonts w:asciiTheme="minorHAnsi" w:eastAsiaTheme="minorEastAsia" w:hAnsiTheme="minorHAnsi"/>
            <w:b w:val="0"/>
            <w:bCs w:val="0"/>
            <w:caps w:val="0"/>
            <w:noProof/>
            <w:sz w:val="22"/>
            <w:szCs w:val="22"/>
            <w:lang w:val="cs-CZ" w:eastAsia="cs-CZ"/>
          </w:rPr>
          <w:tab/>
        </w:r>
        <w:r w:rsidR="00CA317E" w:rsidRPr="0097449D">
          <w:rPr>
            <w:rStyle w:val="Hypertextovodkaz"/>
            <w:noProof/>
          </w:rPr>
          <w:t>Mechanismus a příčiny problému</w:t>
        </w:r>
        <w:r w:rsidR="00CA317E">
          <w:rPr>
            <w:noProof/>
            <w:webHidden/>
          </w:rPr>
          <w:tab/>
        </w:r>
        <w:r w:rsidR="00CA317E">
          <w:rPr>
            <w:noProof/>
            <w:webHidden/>
          </w:rPr>
          <w:fldChar w:fldCharType="begin"/>
        </w:r>
        <w:r w:rsidR="00CA317E">
          <w:rPr>
            <w:noProof/>
            <w:webHidden/>
          </w:rPr>
          <w:instrText xml:space="preserve"> PAGEREF _Toc81817295 \h </w:instrText>
        </w:r>
        <w:r w:rsidR="00CA317E">
          <w:rPr>
            <w:noProof/>
            <w:webHidden/>
          </w:rPr>
        </w:r>
        <w:r w:rsidR="00CA317E">
          <w:rPr>
            <w:noProof/>
            <w:webHidden/>
          </w:rPr>
          <w:fldChar w:fldCharType="separate"/>
        </w:r>
        <w:r w:rsidR="00196CD8">
          <w:rPr>
            <w:noProof/>
            <w:webHidden/>
          </w:rPr>
          <w:t>9</w:t>
        </w:r>
        <w:r w:rsidR="00CA317E">
          <w:rPr>
            <w:noProof/>
            <w:webHidden/>
          </w:rPr>
          <w:fldChar w:fldCharType="end"/>
        </w:r>
      </w:hyperlink>
    </w:p>
    <w:p w14:paraId="567522BE" w14:textId="18D50ADC" w:rsidR="00CA317E" w:rsidRDefault="003A4538" w:rsidP="00BE6DCB">
      <w:pPr>
        <w:pStyle w:val="Obsah1"/>
        <w:ind w:left="426" w:hanging="426"/>
        <w:rPr>
          <w:rFonts w:asciiTheme="minorHAnsi" w:eastAsiaTheme="minorEastAsia" w:hAnsiTheme="minorHAnsi"/>
          <w:b w:val="0"/>
          <w:bCs w:val="0"/>
          <w:caps w:val="0"/>
          <w:noProof/>
          <w:sz w:val="22"/>
          <w:szCs w:val="22"/>
          <w:lang w:val="cs-CZ" w:eastAsia="cs-CZ"/>
        </w:rPr>
      </w:pPr>
      <w:hyperlink w:anchor="_Toc81817296" w:history="1">
        <w:r w:rsidR="00CA317E" w:rsidRPr="0097449D">
          <w:rPr>
            <w:rStyle w:val="Hypertextovodkaz"/>
            <w:noProof/>
          </w:rPr>
          <w:t>4</w:t>
        </w:r>
        <w:r w:rsidR="00CA317E">
          <w:rPr>
            <w:rFonts w:asciiTheme="minorHAnsi" w:eastAsiaTheme="minorEastAsia" w:hAnsiTheme="minorHAnsi"/>
            <w:b w:val="0"/>
            <w:bCs w:val="0"/>
            <w:caps w:val="0"/>
            <w:noProof/>
            <w:sz w:val="22"/>
            <w:szCs w:val="22"/>
            <w:lang w:val="cs-CZ" w:eastAsia="cs-CZ"/>
          </w:rPr>
          <w:tab/>
        </w:r>
        <w:r w:rsidR="00CA317E" w:rsidRPr="0097449D">
          <w:rPr>
            <w:rStyle w:val="Hypertextovodkaz"/>
            <w:noProof/>
          </w:rPr>
          <w:t>Jaký je rozsah a vývojový trend daného problému</w:t>
        </w:r>
        <w:r w:rsidR="00CA317E">
          <w:rPr>
            <w:noProof/>
            <w:webHidden/>
          </w:rPr>
          <w:tab/>
        </w:r>
        <w:r w:rsidR="00CA317E">
          <w:rPr>
            <w:noProof/>
            <w:webHidden/>
          </w:rPr>
          <w:fldChar w:fldCharType="begin"/>
        </w:r>
        <w:r w:rsidR="00CA317E">
          <w:rPr>
            <w:noProof/>
            <w:webHidden/>
          </w:rPr>
          <w:instrText xml:space="preserve"> PAGEREF _Toc81817296 \h </w:instrText>
        </w:r>
        <w:r w:rsidR="00CA317E">
          <w:rPr>
            <w:noProof/>
            <w:webHidden/>
          </w:rPr>
        </w:r>
        <w:r w:rsidR="00CA317E">
          <w:rPr>
            <w:noProof/>
            <w:webHidden/>
          </w:rPr>
          <w:fldChar w:fldCharType="separate"/>
        </w:r>
        <w:r w:rsidR="00196CD8">
          <w:rPr>
            <w:noProof/>
            <w:webHidden/>
          </w:rPr>
          <w:t>11</w:t>
        </w:r>
        <w:r w:rsidR="00CA317E">
          <w:rPr>
            <w:noProof/>
            <w:webHidden/>
          </w:rPr>
          <w:fldChar w:fldCharType="end"/>
        </w:r>
      </w:hyperlink>
    </w:p>
    <w:p w14:paraId="66C2C596" w14:textId="7F09DBBE" w:rsidR="00CA317E" w:rsidRDefault="003A4538" w:rsidP="00BE6DCB">
      <w:pPr>
        <w:pStyle w:val="Obsah1"/>
        <w:ind w:left="426" w:hanging="426"/>
        <w:rPr>
          <w:rFonts w:asciiTheme="minorHAnsi" w:eastAsiaTheme="minorEastAsia" w:hAnsiTheme="minorHAnsi"/>
          <w:b w:val="0"/>
          <w:bCs w:val="0"/>
          <w:caps w:val="0"/>
          <w:noProof/>
          <w:sz w:val="22"/>
          <w:szCs w:val="22"/>
          <w:lang w:val="cs-CZ" w:eastAsia="cs-CZ"/>
        </w:rPr>
      </w:pPr>
      <w:hyperlink w:anchor="_Toc81817297" w:history="1">
        <w:r w:rsidR="00CA317E" w:rsidRPr="0097449D">
          <w:rPr>
            <w:rStyle w:val="Hypertextovodkaz"/>
            <w:noProof/>
          </w:rPr>
          <w:t>5</w:t>
        </w:r>
        <w:r w:rsidR="00CA317E">
          <w:rPr>
            <w:rFonts w:asciiTheme="minorHAnsi" w:eastAsiaTheme="minorEastAsia" w:hAnsiTheme="minorHAnsi"/>
            <w:b w:val="0"/>
            <w:bCs w:val="0"/>
            <w:caps w:val="0"/>
            <w:noProof/>
            <w:sz w:val="22"/>
            <w:szCs w:val="22"/>
            <w:lang w:val="cs-CZ" w:eastAsia="cs-CZ"/>
          </w:rPr>
          <w:tab/>
        </w:r>
        <w:r w:rsidR="00CA317E" w:rsidRPr="0097449D">
          <w:rPr>
            <w:rStyle w:val="Hypertextovodkaz"/>
            <w:noProof/>
          </w:rPr>
          <w:t>Jak závažný je tento problém?</w:t>
        </w:r>
        <w:r w:rsidR="00CA317E">
          <w:rPr>
            <w:noProof/>
            <w:webHidden/>
          </w:rPr>
          <w:tab/>
        </w:r>
        <w:r w:rsidR="00CA317E">
          <w:rPr>
            <w:noProof/>
            <w:webHidden/>
          </w:rPr>
          <w:fldChar w:fldCharType="begin"/>
        </w:r>
        <w:r w:rsidR="00CA317E">
          <w:rPr>
            <w:noProof/>
            <w:webHidden/>
          </w:rPr>
          <w:instrText xml:space="preserve"> PAGEREF _Toc81817297 \h </w:instrText>
        </w:r>
        <w:r w:rsidR="00CA317E">
          <w:rPr>
            <w:noProof/>
            <w:webHidden/>
          </w:rPr>
        </w:r>
        <w:r w:rsidR="00CA317E">
          <w:rPr>
            <w:noProof/>
            <w:webHidden/>
          </w:rPr>
          <w:fldChar w:fldCharType="separate"/>
        </w:r>
        <w:r w:rsidR="00196CD8">
          <w:rPr>
            <w:noProof/>
            <w:webHidden/>
          </w:rPr>
          <w:t>14</w:t>
        </w:r>
        <w:r w:rsidR="00CA317E">
          <w:rPr>
            <w:noProof/>
            <w:webHidden/>
          </w:rPr>
          <w:fldChar w:fldCharType="end"/>
        </w:r>
      </w:hyperlink>
    </w:p>
    <w:p w14:paraId="59230147" w14:textId="09830219" w:rsidR="00CA317E" w:rsidRDefault="003A4538" w:rsidP="00BE6DCB">
      <w:pPr>
        <w:pStyle w:val="Obsah1"/>
        <w:ind w:left="426" w:hanging="426"/>
        <w:rPr>
          <w:rFonts w:asciiTheme="minorHAnsi" w:eastAsiaTheme="minorEastAsia" w:hAnsiTheme="minorHAnsi"/>
          <w:b w:val="0"/>
          <w:bCs w:val="0"/>
          <w:caps w:val="0"/>
          <w:noProof/>
          <w:sz w:val="22"/>
          <w:szCs w:val="22"/>
          <w:lang w:val="cs-CZ" w:eastAsia="cs-CZ"/>
        </w:rPr>
      </w:pPr>
      <w:hyperlink w:anchor="_Toc81817298" w:history="1">
        <w:r w:rsidR="00CA317E" w:rsidRPr="0097449D">
          <w:rPr>
            <w:rStyle w:val="Hypertextovodkaz"/>
            <w:noProof/>
          </w:rPr>
          <w:t>6</w:t>
        </w:r>
        <w:r w:rsidR="00CA317E">
          <w:rPr>
            <w:rFonts w:asciiTheme="minorHAnsi" w:eastAsiaTheme="minorEastAsia" w:hAnsiTheme="minorHAnsi"/>
            <w:b w:val="0"/>
            <w:bCs w:val="0"/>
            <w:caps w:val="0"/>
            <w:noProof/>
            <w:sz w:val="22"/>
            <w:szCs w:val="22"/>
            <w:lang w:val="cs-CZ" w:eastAsia="cs-CZ"/>
          </w:rPr>
          <w:tab/>
        </w:r>
        <w:r w:rsidR="00CA317E" w:rsidRPr="0097449D">
          <w:rPr>
            <w:rStyle w:val="Hypertextovodkaz"/>
            <w:noProof/>
          </w:rPr>
          <w:t>Je tento problém efektivně řešitelný v rámci nástrojů SZP?</w:t>
        </w:r>
        <w:r w:rsidR="00CA317E">
          <w:rPr>
            <w:noProof/>
            <w:webHidden/>
          </w:rPr>
          <w:tab/>
        </w:r>
        <w:r w:rsidR="00CA317E">
          <w:rPr>
            <w:noProof/>
            <w:webHidden/>
          </w:rPr>
          <w:fldChar w:fldCharType="begin"/>
        </w:r>
        <w:r w:rsidR="00CA317E">
          <w:rPr>
            <w:noProof/>
            <w:webHidden/>
          </w:rPr>
          <w:instrText xml:space="preserve"> PAGEREF _Toc81817298 \h </w:instrText>
        </w:r>
        <w:r w:rsidR="00CA317E">
          <w:rPr>
            <w:noProof/>
            <w:webHidden/>
          </w:rPr>
        </w:r>
        <w:r w:rsidR="00CA317E">
          <w:rPr>
            <w:noProof/>
            <w:webHidden/>
          </w:rPr>
          <w:fldChar w:fldCharType="separate"/>
        </w:r>
        <w:r w:rsidR="00196CD8">
          <w:rPr>
            <w:noProof/>
            <w:webHidden/>
          </w:rPr>
          <w:t>15</w:t>
        </w:r>
        <w:r w:rsidR="00CA317E">
          <w:rPr>
            <w:noProof/>
            <w:webHidden/>
          </w:rPr>
          <w:fldChar w:fldCharType="end"/>
        </w:r>
      </w:hyperlink>
    </w:p>
    <w:p w14:paraId="2EF4EF50" w14:textId="1246BA21" w:rsidR="00CA317E" w:rsidRDefault="003A4538" w:rsidP="00BE6DCB">
      <w:pPr>
        <w:pStyle w:val="Obsah1"/>
        <w:ind w:left="426" w:hanging="426"/>
        <w:rPr>
          <w:rFonts w:asciiTheme="minorHAnsi" w:eastAsiaTheme="minorEastAsia" w:hAnsiTheme="minorHAnsi"/>
          <w:b w:val="0"/>
          <w:bCs w:val="0"/>
          <w:caps w:val="0"/>
          <w:noProof/>
          <w:sz w:val="22"/>
          <w:szCs w:val="22"/>
          <w:lang w:val="cs-CZ" w:eastAsia="cs-CZ"/>
        </w:rPr>
      </w:pPr>
      <w:hyperlink w:anchor="_Toc81817299" w:history="1">
        <w:r w:rsidR="00CA317E" w:rsidRPr="0097449D">
          <w:rPr>
            <w:rStyle w:val="Hypertextovodkaz"/>
            <w:noProof/>
          </w:rPr>
          <w:t>7</w:t>
        </w:r>
        <w:r w:rsidR="00CA317E">
          <w:rPr>
            <w:rFonts w:asciiTheme="minorHAnsi" w:eastAsiaTheme="minorEastAsia" w:hAnsiTheme="minorHAnsi"/>
            <w:b w:val="0"/>
            <w:bCs w:val="0"/>
            <w:caps w:val="0"/>
            <w:noProof/>
            <w:sz w:val="22"/>
            <w:szCs w:val="22"/>
            <w:lang w:val="cs-CZ" w:eastAsia="cs-CZ"/>
          </w:rPr>
          <w:tab/>
        </w:r>
        <w:r w:rsidR="00CA317E" w:rsidRPr="0097449D">
          <w:rPr>
            <w:rStyle w:val="Hypertextovodkaz"/>
            <w:noProof/>
          </w:rPr>
          <w:t>Míra stávajícího řešení problému</w:t>
        </w:r>
        <w:r w:rsidR="00CA317E">
          <w:rPr>
            <w:noProof/>
            <w:webHidden/>
          </w:rPr>
          <w:tab/>
        </w:r>
        <w:r w:rsidR="00CA317E">
          <w:rPr>
            <w:noProof/>
            <w:webHidden/>
          </w:rPr>
          <w:fldChar w:fldCharType="begin"/>
        </w:r>
        <w:r w:rsidR="00CA317E">
          <w:rPr>
            <w:noProof/>
            <w:webHidden/>
          </w:rPr>
          <w:instrText xml:space="preserve"> PAGEREF _Toc81817299 \h </w:instrText>
        </w:r>
        <w:r w:rsidR="00CA317E">
          <w:rPr>
            <w:noProof/>
            <w:webHidden/>
          </w:rPr>
        </w:r>
        <w:r w:rsidR="00CA317E">
          <w:rPr>
            <w:noProof/>
            <w:webHidden/>
          </w:rPr>
          <w:fldChar w:fldCharType="separate"/>
        </w:r>
        <w:r w:rsidR="00196CD8">
          <w:rPr>
            <w:noProof/>
            <w:webHidden/>
          </w:rPr>
          <w:t>19</w:t>
        </w:r>
        <w:r w:rsidR="00CA317E">
          <w:rPr>
            <w:noProof/>
            <w:webHidden/>
          </w:rPr>
          <w:fldChar w:fldCharType="end"/>
        </w:r>
      </w:hyperlink>
    </w:p>
    <w:p w14:paraId="058DA6D5" w14:textId="66D40DE9" w:rsidR="00CA317E" w:rsidRDefault="003A4538" w:rsidP="00BE6DCB">
      <w:pPr>
        <w:pStyle w:val="Obsah2"/>
        <w:tabs>
          <w:tab w:val="left" w:pos="720"/>
          <w:tab w:val="right" w:leader="dot" w:pos="9016"/>
        </w:tabs>
        <w:ind w:left="426" w:hanging="426"/>
        <w:rPr>
          <w:rFonts w:asciiTheme="minorHAnsi" w:eastAsiaTheme="minorEastAsia" w:hAnsiTheme="minorHAnsi"/>
          <w:noProof/>
          <w:sz w:val="22"/>
          <w:szCs w:val="22"/>
          <w:lang w:val="cs-CZ" w:eastAsia="cs-CZ"/>
        </w:rPr>
      </w:pPr>
      <w:hyperlink w:anchor="_Toc81817300" w:history="1">
        <w:r w:rsidR="00CA317E" w:rsidRPr="0097449D">
          <w:rPr>
            <w:rStyle w:val="Hypertextovodkaz"/>
            <w:noProof/>
          </w:rPr>
          <w:t>7.1</w:t>
        </w:r>
        <w:r w:rsidR="00CA317E">
          <w:rPr>
            <w:rFonts w:asciiTheme="minorHAnsi" w:eastAsiaTheme="minorEastAsia" w:hAnsiTheme="minorHAnsi"/>
            <w:noProof/>
            <w:sz w:val="22"/>
            <w:szCs w:val="22"/>
            <w:lang w:val="cs-CZ" w:eastAsia="cs-CZ"/>
          </w:rPr>
          <w:tab/>
        </w:r>
        <w:r w:rsidR="00CA317E" w:rsidRPr="0097449D">
          <w:rPr>
            <w:rStyle w:val="Hypertextovodkaz"/>
            <w:noProof/>
          </w:rPr>
          <w:t>Míra řešení ve stávající SZP (úspěšnost/neúspěšnost).</w:t>
        </w:r>
        <w:r w:rsidR="00CA317E">
          <w:rPr>
            <w:noProof/>
            <w:webHidden/>
          </w:rPr>
          <w:tab/>
        </w:r>
        <w:r w:rsidR="00CA317E">
          <w:rPr>
            <w:noProof/>
            <w:webHidden/>
          </w:rPr>
          <w:fldChar w:fldCharType="begin"/>
        </w:r>
        <w:r w:rsidR="00CA317E">
          <w:rPr>
            <w:noProof/>
            <w:webHidden/>
          </w:rPr>
          <w:instrText xml:space="preserve"> PAGEREF _Toc81817300 \h </w:instrText>
        </w:r>
        <w:r w:rsidR="00CA317E">
          <w:rPr>
            <w:noProof/>
            <w:webHidden/>
          </w:rPr>
        </w:r>
        <w:r w:rsidR="00CA317E">
          <w:rPr>
            <w:noProof/>
            <w:webHidden/>
          </w:rPr>
          <w:fldChar w:fldCharType="separate"/>
        </w:r>
        <w:r w:rsidR="00196CD8">
          <w:rPr>
            <w:noProof/>
            <w:webHidden/>
          </w:rPr>
          <w:t>19</w:t>
        </w:r>
        <w:r w:rsidR="00CA317E">
          <w:rPr>
            <w:noProof/>
            <w:webHidden/>
          </w:rPr>
          <w:fldChar w:fldCharType="end"/>
        </w:r>
      </w:hyperlink>
    </w:p>
    <w:p w14:paraId="2645F9E5" w14:textId="133AE699" w:rsidR="00CA317E" w:rsidRDefault="003A4538" w:rsidP="00BE6DCB">
      <w:pPr>
        <w:pStyle w:val="Obsah2"/>
        <w:tabs>
          <w:tab w:val="left" w:pos="720"/>
          <w:tab w:val="right" w:leader="dot" w:pos="9016"/>
        </w:tabs>
        <w:ind w:left="426" w:hanging="426"/>
        <w:rPr>
          <w:rFonts w:asciiTheme="minorHAnsi" w:eastAsiaTheme="minorEastAsia" w:hAnsiTheme="minorHAnsi"/>
          <w:noProof/>
          <w:sz w:val="22"/>
          <w:szCs w:val="22"/>
          <w:lang w:val="cs-CZ" w:eastAsia="cs-CZ"/>
        </w:rPr>
      </w:pPr>
      <w:hyperlink w:anchor="_Toc81817301" w:history="1">
        <w:r w:rsidR="00CA317E" w:rsidRPr="0097449D">
          <w:rPr>
            <w:rStyle w:val="Hypertextovodkaz"/>
            <w:noProof/>
          </w:rPr>
          <w:t>7.2</w:t>
        </w:r>
        <w:r w:rsidR="00CA317E">
          <w:rPr>
            <w:rFonts w:asciiTheme="minorHAnsi" w:eastAsiaTheme="minorEastAsia" w:hAnsiTheme="minorHAnsi"/>
            <w:noProof/>
            <w:sz w:val="22"/>
            <w:szCs w:val="22"/>
            <w:lang w:val="cs-CZ" w:eastAsia="cs-CZ"/>
          </w:rPr>
          <w:tab/>
        </w:r>
        <w:r w:rsidR="00CA317E" w:rsidRPr="0097449D">
          <w:rPr>
            <w:rStyle w:val="Hypertextovodkaz"/>
            <w:noProof/>
          </w:rPr>
          <w:t>Míra současného řešení problému jinými politikami</w:t>
        </w:r>
        <w:r w:rsidR="00CA317E">
          <w:rPr>
            <w:noProof/>
            <w:webHidden/>
          </w:rPr>
          <w:tab/>
        </w:r>
        <w:r w:rsidR="00CA317E">
          <w:rPr>
            <w:noProof/>
            <w:webHidden/>
          </w:rPr>
          <w:fldChar w:fldCharType="begin"/>
        </w:r>
        <w:r w:rsidR="00CA317E">
          <w:rPr>
            <w:noProof/>
            <w:webHidden/>
          </w:rPr>
          <w:instrText xml:space="preserve"> PAGEREF _Toc81817301 \h </w:instrText>
        </w:r>
        <w:r w:rsidR="00CA317E">
          <w:rPr>
            <w:noProof/>
            <w:webHidden/>
          </w:rPr>
        </w:r>
        <w:r w:rsidR="00CA317E">
          <w:rPr>
            <w:noProof/>
            <w:webHidden/>
          </w:rPr>
          <w:fldChar w:fldCharType="separate"/>
        </w:r>
        <w:r w:rsidR="00196CD8">
          <w:rPr>
            <w:noProof/>
            <w:webHidden/>
          </w:rPr>
          <w:t>21</w:t>
        </w:r>
        <w:r w:rsidR="00CA317E">
          <w:rPr>
            <w:noProof/>
            <w:webHidden/>
          </w:rPr>
          <w:fldChar w:fldCharType="end"/>
        </w:r>
      </w:hyperlink>
    </w:p>
    <w:p w14:paraId="659088BA" w14:textId="6EF62F80" w:rsidR="00CA317E" w:rsidRDefault="003A4538" w:rsidP="00BE6DCB">
      <w:pPr>
        <w:pStyle w:val="Obsah1"/>
        <w:ind w:left="426" w:hanging="426"/>
        <w:rPr>
          <w:rFonts w:asciiTheme="minorHAnsi" w:eastAsiaTheme="minorEastAsia" w:hAnsiTheme="minorHAnsi"/>
          <w:b w:val="0"/>
          <w:bCs w:val="0"/>
          <w:caps w:val="0"/>
          <w:noProof/>
          <w:sz w:val="22"/>
          <w:szCs w:val="22"/>
          <w:lang w:val="cs-CZ" w:eastAsia="cs-CZ"/>
        </w:rPr>
      </w:pPr>
      <w:hyperlink w:anchor="_Toc81817302" w:history="1">
        <w:r w:rsidR="00CA317E" w:rsidRPr="0097449D">
          <w:rPr>
            <w:rStyle w:val="Hypertextovodkaz"/>
            <w:noProof/>
          </w:rPr>
          <w:t>8</w:t>
        </w:r>
        <w:r w:rsidR="00CA317E">
          <w:rPr>
            <w:rFonts w:asciiTheme="minorHAnsi" w:eastAsiaTheme="minorEastAsia" w:hAnsiTheme="minorHAnsi"/>
            <w:b w:val="0"/>
            <w:bCs w:val="0"/>
            <w:caps w:val="0"/>
            <w:noProof/>
            <w:sz w:val="22"/>
            <w:szCs w:val="22"/>
            <w:lang w:val="cs-CZ" w:eastAsia="cs-CZ"/>
          </w:rPr>
          <w:tab/>
        </w:r>
        <w:r w:rsidR="00CA317E" w:rsidRPr="0097449D">
          <w:rPr>
            <w:rStyle w:val="Hypertextovodkaz"/>
            <w:noProof/>
          </w:rPr>
          <w:t>Detailnější posouzení vlivu předpisů</w:t>
        </w:r>
        <w:r w:rsidR="00CA317E">
          <w:rPr>
            <w:noProof/>
            <w:webHidden/>
          </w:rPr>
          <w:tab/>
        </w:r>
        <w:r w:rsidR="00CA317E">
          <w:rPr>
            <w:noProof/>
            <w:webHidden/>
          </w:rPr>
          <w:fldChar w:fldCharType="begin"/>
        </w:r>
        <w:r w:rsidR="00CA317E">
          <w:rPr>
            <w:noProof/>
            <w:webHidden/>
          </w:rPr>
          <w:instrText xml:space="preserve"> PAGEREF _Toc81817302 \h </w:instrText>
        </w:r>
        <w:r w:rsidR="00CA317E">
          <w:rPr>
            <w:noProof/>
            <w:webHidden/>
          </w:rPr>
        </w:r>
        <w:r w:rsidR="00CA317E">
          <w:rPr>
            <w:noProof/>
            <w:webHidden/>
          </w:rPr>
          <w:fldChar w:fldCharType="separate"/>
        </w:r>
        <w:r w:rsidR="00196CD8">
          <w:rPr>
            <w:noProof/>
            <w:webHidden/>
          </w:rPr>
          <w:t>28</w:t>
        </w:r>
        <w:r w:rsidR="00CA317E">
          <w:rPr>
            <w:noProof/>
            <w:webHidden/>
          </w:rPr>
          <w:fldChar w:fldCharType="end"/>
        </w:r>
      </w:hyperlink>
    </w:p>
    <w:p w14:paraId="74DA2CCC" w14:textId="2A744D20" w:rsidR="00CA317E" w:rsidRDefault="003A4538" w:rsidP="00BE6DCB">
      <w:pPr>
        <w:pStyle w:val="Obsah1"/>
        <w:ind w:left="426" w:hanging="426"/>
        <w:rPr>
          <w:rFonts w:asciiTheme="minorHAnsi" w:eastAsiaTheme="minorEastAsia" w:hAnsiTheme="minorHAnsi"/>
          <w:b w:val="0"/>
          <w:bCs w:val="0"/>
          <w:caps w:val="0"/>
          <w:noProof/>
          <w:sz w:val="22"/>
          <w:szCs w:val="22"/>
          <w:lang w:val="cs-CZ" w:eastAsia="cs-CZ"/>
        </w:rPr>
      </w:pPr>
      <w:hyperlink w:anchor="_Toc81817303" w:history="1">
        <w:r w:rsidR="00CA317E" w:rsidRPr="0097449D">
          <w:rPr>
            <w:rStyle w:val="Hypertextovodkaz"/>
            <w:noProof/>
          </w:rPr>
          <w:t>9</w:t>
        </w:r>
        <w:r w:rsidR="00CA317E">
          <w:rPr>
            <w:rFonts w:asciiTheme="minorHAnsi" w:eastAsiaTheme="minorEastAsia" w:hAnsiTheme="minorHAnsi"/>
            <w:b w:val="0"/>
            <w:bCs w:val="0"/>
            <w:caps w:val="0"/>
            <w:noProof/>
            <w:sz w:val="22"/>
            <w:szCs w:val="22"/>
            <w:lang w:val="cs-CZ" w:eastAsia="cs-CZ"/>
          </w:rPr>
          <w:tab/>
        </w:r>
        <w:r w:rsidR="00CA317E" w:rsidRPr="0097449D">
          <w:rPr>
            <w:rStyle w:val="Hypertextovodkaz"/>
            <w:noProof/>
          </w:rPr>
          <w:t>Předpokládaný vývoj situace bez zavedení příslušných intervencí</w:t>
        </w:r>
        <w:r w:rsidR="00CA317E">
          <w:rPr>
            <w:noProof/>
            <w:webHidden/>
          </w:rPr>
          <w:tab/>
        </w:r>
        <w:r w:rsidR="00CA317E">
          <w:rPr>
            <w:noProof/>
            <w:webHidden/>
          </w:rPr>
          <w:fldChar w:fldCharType="begin"/>
        </w:r>
        <w:r w:rsidR="00CA317E">
          <w:rPr>
            <w:noProof/>
            <w:webHidden/>
          </w:rPr>
          <w:instrText xml:space="preserve"> PAGEREF _Toc81817303 \h </w:instrText>
        </w:r>
        <w:r w:rsidR="00CA317E">
          <w:rPr>
            <w:noProof/>
            <w:webHidden/>
          </w:rPr>
        </w:r>
        <w:r w:rsidR="00CA317E">
          <w:rPr>
            <w:noProof/>
            <w:webHidden/>
          </w:rPr>
          <w:fldChar w:fldCharType="separate"/>
        </w:r>
        <w:r w:rsidR="00196CD8">
          <w:rPr>
            <w:noProof/>
            <w:webHidden/>
          </w:rPr>
          <w:t>30</w:t>
        </w:r>
        <w:r w:rsidR="00CA317E">
          <w:rPr>
            <w:noProof/>
            <w:webHidden/>
          </w:rPr>
          <w:fldChar w:fldCharType="end"/>
        </w:r>
      </w:hyperlink>
    </w:p>
    <w:p w14:paraId="70F57728" w14:textId="3393D3E3" w:rsidR="00CA317E" w:rsidRDefault="003A4538" w:rsidP="00BE6DCB">
      <w:pPr>
        <w:pStyle w:val="Obsah1"/>
        <w:ind w:left="426" w:hanging="426"/>
        <w:rPr>
          <w:rFonts w:asciiTheme="minorHAnsi" w:eastAsiaTheme="minorEastAsia" w:hAnsiTheme="minorHAnsi"/>
          <w:b w:val="0"/>
          <w:bCs w:val="0"/>
          <w:caps w:val="0"/>
          <w:noProof/>
          <w:sz w:val="22"/>
          <w:szCs w:val="22"/>
          <w:lang w:val="cs-CZ" w:eastAsia="cs-CZ"/>
        </w:rPr>
      </w:pPr>
      <w:hyperlink w:anchor="_Toc81817304" w:history="1">
        <w:r w:rsidR="00CA317E" w:rsidRPr="0097449D">
          <w:rPr>
            <w:rStyle w:val="Hypertextovodkaz"/>
            <w:noProof/>
          </w:rPr>
          <w:t>10</w:t>
        </w:r>
        <w:r w:rsidR="00CA317E">
          <w:rPr>
            <w:rFonts w:asciiTheme="minorHAnsi" w:eastAsiaTheme="minorEastAsia" w:hAnsiTheme="minorHAnsi"/>
            <w:b w:val="0"/>
            <w:bCs w:val="0"/>
            <w:caps w:val="0"/>
            <w:noProof/>
            <w:sz w:val="22"/>
            <w:szCs w:val="22"/>
            <w:lang w:val="cs-CZ" w:eastAsia="cs-CZ"/>
          </w:rPr>
          <w:tab/>
        </w:r>
        <w:r w:rsidR="00CA317E" w:rsidRPr="0097449D">
          <w:rPr>
            <w:rStyle w:val="Hypertextovodkaz"/>
            <w:noProof/>
          </w:rPr>
          <w:t>SWOT analýza</w:t>
        </w:r>
        <w:r w:rsidR="00CA317E">
          <w:rPr>
            <w:noProof/>
            <w:webHidden/>
          </w:rPr>
          <w:tab/>
        </w:r>
        <w:r w:rsidR="00CA317E">
          <w:rPr>
            <w:noProof/>
            <w:webHidden/>
          </w:rPr>
          <w:fldChar w:fldCharType="begin"/>
        </w:r>
        <w:r w:rsidR="00CA317E">
          <w:rPr>
            <w:noProof/>
            <w:webHidden/>
          </w:rPr>
          <w:instrText xml:space="preserve"> PAGEREF _Toc81817304 \h </w:instrText>
        </w:r>
        <w:r w:rsidR="00CA317E">
          <w:rPr>
            <w:noProof/>
            <w:webHidden/>
          </w:rPr>
        </w:r>
        <w:r w:rsidR="00CA317E">
          <w:rPr>
            <w:noProof/>
            <w:webHidden/>
          </w:rPr>
          <w:fldChar w:fldCharType="separate"/>
        </w:r>
        <w:r w:rsidR="00196CD8">
          <w:rPr>
            <w:noProof/>
            <w:webHidden/>
          </w:rPr>
          <w:t>32</w:t>
        </w:r>
        <w:r w:rsidR="00CA317E">
          <w:rPr>
            <w:noProof/>
            <w:webHidden/>
          </w:rPr>
          <w:fldChar w:fldCharType="end"/>
        </w:r>
      </w:hyperlink>
    </w:p>
    <w:p w14:paraId="13E92CD9" w14:textId="7DB460F9" w:rsidR="00CA317E" w:rsidRDefault="003A4538" w:rsidP="00BE6DCB">
      <w:pPr>
        <w:pStyle w:val="Obsah1"/>
        <w:ind w:left="426" w:hanging="426"/>
        <w:rPr>
          <w:rFonts w:asciiTheme="minorHAnsi" w:eastAsiaTheme="minorEastAsia" w:hAnsiTheme="minorHAnsi"/>
          <w:b w:val="0"/>
          <w:bCs w:val="0"/>
          <w:caps w:val="0"/>
          <w:noProof/>
          <w:sz w:val="22"/>
          <w:szCs w:val="22"/>
          <w:lang w:val="cs-CZ" w:eastAsia="cs-CZ"/>
        </w:rPr>
      </w:pPr>
      <w:hyperlink w:anchor="_Toc81817305" w:history="1">
        <w:r w:rsidR="00CA317E" w:rsidRPr="0097449D">
          <w:rPr>
            <w:rStyle w:val="Hypertextovodkaz"/>
            <w:noProof/>
          </w:rPr>
          <w:t>Reference</w:t>
        </w:r>
        <w:r w:rsidR="00CA317E">
          <w:rPr>
            <w:noProof/>
            <w:webHidden/>
          </w:rPr>
          <w:tab/>
        </w:r>
        <w:r w:rsidR="00CA317E">
          <w:rPr>
            <w:noProof/>
            <w:webHidden/>
          </w:rPr>
          <w:fldChar w:fldCharType="begin"/>
        </w:r>
        <w:r w:rsidR="00CA317E">
          <w:rPr>
            <w:noProof/>
            <w:webHidden/>
          </w:rPr>
          <w:instrText xml:space="preserve"> PAGEREF _Toc81817305 \h </w:instrText>
        </w:r>
        <w:r w:rsidR="00CA317E">
          <w:rPr>
            <w:noProof/>
            <w:webHidden/>
          </w:rPr>
        </w:r>
        <w:r w:rsidR="00CA317E">
          <w:rPr>
            <w:noProof/>
            <w:webHidden/>
          </w:rPr>
          <w:fldChar w:fldCharType="separate"/>
        </w:r>
        <w:r w:rsidR="00196CD8">
          <w:rPr>
            <w:noProof/>
            <w:webHidden/>
          </w:rPr>
          <w:t>35</w:t>
        </w:r>
        <w:r w:rsidR="00CA317E">
          <w:rPr>
            <w:noProof/>
            <w:webHidden/>
          </w:rPr>
          <w:fldChar w:fldCharType="end"/>
        </w:r>
      </w:hyperlink>
    </w:p>
    <w:p w14:paraId="736A4949" w14:textId="6F70F04C" w:rsidR="00CA317E" w:rsidRDefault="003A4538" w:rsidP="00BE6DCB">
      <w:pPr>
        <w:pStyle w:val="Obsah1"/>
        <w:ind w:left="426" w:hanging="426"/>
        <w:rPr>
          <w:rFonts w:asciiTheme="minorHAnsi" w:eastAsiaTheme="minorEastAsia" w:hAnsiTheme="minorHAnsi"/>
          <w:b w:val="0"/>
          <w:bCs w:val="0"/>
          <w:caps w:val="0"/>
          <w:noProof/>
          <w:sz w:val="22"/>
          <w:szCs w:val="22"/>
          <w:lang w:val="cs-CZ" w:eastAsia="cs-CZ"/>
        </w:rPr>
      </w:pPr>
      <w:hyperlink w:anchor="_Toc81817306" w:history="1">
        <w:r w:rsidR="00CA317E" w:rsidRPr="0097449D">
          <w:rPr>
            <w:rStyle w:val="Hypertextovodkaz"/>
            <w:noProof/>
          </w:rPr>
          <w:t>Seznam tabulek</w:t>
        </w:r>
        <w:r w:rsidR="00CA317E">
          <w:rPr>
            <w:noProof/>
            <w:webHidden/>
          </w:rPr>
          <w:tab/>
        </w:r>
        <w:r w:rsidR="00CA317E">
          <w:rPr>
            <w:noProof/>
            <w:webHidden/>
          </w:rPr>
          <w:fldChar w:fldCharType="begin"/>
        </w:r>
        <w:r w:rsidR="00CA317E">
          <w:rPr>
            <w:noProof/>
            <w:webHidden/>
          </w:rPr>
          <w:instrText xml:space="preserve"> PAGEREF _Toc81817306 \h </w:instrText>
        </w:r>
        <w:r w:rsidR="00CA317E">
          <w:rPr>
            <w:noProof/>
            <w:webHidden/>
          </w:rPr>
        </w:r>
        <w:r w:rsidR="00CA317E">
          <w:rPr>
            <w:noProof/>
            <w:webHidden/>
          </w:rPr>
          <w:fldChar w:fldCharType="separate"/>
        </w:r>
        <w:r w:rsidR="00196CD8">
          <w:rPr>
            <w:noProof/>
            <w:webHidden/>
          </w:rPr>
          <w:t>37</w:t>
        </w:r>
        <w:r w:rsidR="00CA317E">
          <w:rPr>
            <w:noProof/>
            <w:webHidden/>
          </w:rPr>
          <w:fldChar w:fldCharType="end"/>
        </w:r>
      </w:hyperlink>
    </w:p>
    <w:p w14:paraId="4F8A6829" w14:textId="0106D637" w:rsidR="00CA317E" w:rsidRDefault="003A4538" w:rsidP="00BE6DCB">
      <w:pPr>
        <w:pStyle w:val="Obsah1"/>
        <w:ind w:left="426" w:hanging="426"/>
        <w:rPr>
          <w:rFonts w:asciiTheme="minorHAnsi" w:eastAsiaTheme="minorEastAsia" w:hAnsiTheme="minorHAnsi"/>
          <w:b w:val="0"/>
          <w:bCs w:val="0"/>
          <w:caps w:val="0"/>
          <w:noProof/>
          <w:sz w:val="22"/>
          <w:szCs w:val="22"/>
          <w:lang w:val="cs-CZ" w:eastAsia="cs-CZ"/>
        </w:rPr>
      </w:pPr>
      <w:hyperlink w:anchor="_Toc81817307" w:history="1">
        <w:r w:rsidR="00CA317E" w:rsidRPr="0097449D">
          <w:rPr>
            <w:rStyle w:val="Hypertextovodkaz"/>
            <w:noProof/>
          </w:rPr>
          <w:t>Seznam obrázků</w:t>
        </w:r>
        <w:r w:rsidR="00CA317E">
          <w:rPr>
            <w:noProof/>
            <w:webHidden/>
          </w:rPr>
          <w:tab/>
        </w:r>
        <w:r w:rsidR="00CA317E">
          <w:rPr>
            <w:noProof/>
            <w:webHidden/>
          </w:rPr>
          <w:fldChar w:fldCharType="begin"/>
        </w:r>
        <w:r w:rsidR="00CA317E">
          <w:rPr>
            <w:noProof/>
            <w:webHidden/>
          </w:rPr>
          <w:instrText xml:space="preserve"> PAGEREF _Toc81817307 \h </w:instrText>
        </w:r>
        <w:r w:rsidR="00CA317E">
          <w:rPr>
            <w:noProof/>
            <w:webHidden/>
          </w:rPr>
        </w:r>
        <w:r w:rsidR="00CA317E">
          <w:rPr>
            <w:noProof/>
            <w:webHidden/>
          </w:rPr>
          <w:fldChar w:fldCharType="separate"/>
        </w:r>
        <w:r w:rsidR="00196CD8">
          <w:rPr>
            <w:noProof/>
            <w:webHidden/>
          </w:rPr>
          <w:t>39</w:t>
        </w:r>
        <w:r w:rsidR="00CA317E">
          <w:rPr>
            <w:noProof/>
            <w:webHidden/>
          </w:rPr>
          <w:fldChar w:fldCharType="end"/>
        </w:r>
      </w:hyperlink>
    </w:p>
    <w:p w14:paraId="0BCAC371" w14:textId="1166127C" w:rsidR="00CA317E" w:rsidRDefault="003A4538" w:rsidP="00BE6DCB">
      <w:pPr>
        <w:pStyle w:val="Obsah1"/>
        <w:ind w:left="426" w:hanging="426"/>
        <w:rPr>
          <w:rFonts w:asciiTheme="minorHAnsi" w:eastAsiaTheme="minorEastAsia" w:hAnsiTheme="minorHAnsi"/>
          <w:b w:val="0"/>
          <w:bCs w:val="0"/>
          <w:caps w:val="0"/>
          <w:noProof/>
          <w:sz w:val="22"/>
          <w:szCs w:val="22"/>
          <w:lang w:val="cs-CZ" w:eastAsia="cs-CZ"/>
        </w:rPr>
      </w:pPr>
      <w:hyperlink w:anchor="_Toc81817308" w:history="1">
        <w:r w:rsidR="00CA317E" w:rsidRPr="0097449D">
          <w:rPr>
            <w:rStyle w:val="Hypertextovodkaz"/>
            <w:noProof/>
          </w:rPr>
          <w:t>Příloha - Analýza situace podle tematických oblastí</w:t>
        </w:r>
        <w:r w:rsidR="00CA317E">
          <w:rPr>
            <w:noProof/>
            <w:webHidden/>
          </w:rPr>
          <w:tab/>
        </w:r>
        <w:r w:rsidR="00CA317E">
          <w:rPr>
            <w:noProof/>
            <w:webHidden/>
          </w:rPr>
          <w:fldChar w:fldCharType="begin"/>
        </w:r>
        <w:r w:rsidR="00CA317E">
          <w:rPr>
            <w:noProof/>
            <w:webHidden/>
          </w:rPr>
          <w:instrText xml:space="preserve"> PAGEREF _Toc81817308 \h </w:instrText>
        </w:r>
        <w:r w:rsidR="00CA317E">
          <w:rPr>
            <w:noProof/>
            <w:webHidden/>
          </w:rPr>
        </w:r>
        <w:r w:rsidR="00CA317E">
          <w:rPr>
            <w:noProof/>
            <w:webHidden/>
          </w:rPr>
          <w:fldChar w:fldCharType="separate"/>
        </w:r>
        <w:r w:rsidR="00196CD8">
          <w:rPr>
            <w:noProof/>
            <w:webHidden/>
          </w:rPr>
          <w:t>39</w:t>
        </w:r>
        <w:r w:rsidR="00CA317E">
          <w:rPr>
            <w:noProof/>
            <w:webHidden/>
          </w:rPr>
          <w:fldChar w:fldCharType="end"/>
        </w:r>
      </w:hyperlink>
    </w:p>
    <w:p w14:paraId="7CB871A8" w14:textId="0ADBC488" w:rsidR="00CA317E" w:rsidRDefault="003A4538" w:rsidP="00BE6DCB">
      <w:pPr>
        <w:pStyle w:val="Obsah4"/>
        <w:ind w:left="426" w:hanging="426"/>
        <w:rPr>
          <w:rFonts w:asciiTheme="minorHAnsi" w:eastAsiaTheme="minorEastAsia" w:hAnsiTheme="minorHAnsi"/>
          <w:noProof/>
          <w:sz w:val="22"/>
          <w:szCs w:val="22"/>
          <w:lang w:val="cs-CZ" w:eastAsia="cs-CZ"/>
        </w:rPr>
      </w:pPr>
      <w:hyperlink w:anchor="_Toc81817309" w:history="1">
        <w:r w:rsidR="00CA317E" w:rsidRPr="0097449D">
          <w:rPr>
            <w:rStyle w:val="Hypertextovodkaz"/>
            <w:noProof/>
          </w:rPr>
          <w:t>Příloha 1 Úvod</w:t>
        </w:r>
        <w:r w:rsidR="00CA317E">
          <w:rPr>
            <w:noProof/>
            <w:webHidden/>
          </w:rPr>
          <w:tab/>
        </w:r>
        <w:r w:rsidR="00BE6DCB">
          <w:rPr>
            <w:noProof/>
            <w:webHidden/>
          </w:rPr>
          <w:tab/>
        </w:r>
        <w:r w:rsidR="00CA317E">
          <w:rPr>
            <w:noProof/>
            <w:webHidden/>
          </w:rPr>
          <w:fldChar w:fldCharType="begin"/>
        </w:r>
        <w:r w:rsidR="00CA317E">
          <w:rPr>
            <w:noProof/>
            <w:webHidden/>
          </w:rPr>
          <w:instrText xml:space="preserve"> PAGEREF _Toc81817309 \h </w:instrText>
        </w:r>
        <w:r w:rsidR="00CA317E">
          <w:rPr>
            <w:noProof/>
            <w:webHidden/>
          </w:rPr>
        </w:r>
        <w:r w:rsidR="00CA317E">
          <w:rPr>
            <w:noProof/>
            <w:webHidden/>
          </w:rPr>
          <w:fldChar w:fldCharType="separate"/>
        </w:r>
        <w:r w:rsidR="00196CD8">
          <w:rPr>
            <w:noProof/>
            <w:webHidden/>
          </w:rPr>
          <w:t>42</w:t>
        </w:r>
        <w:r w:rsidR="00CA317E">
          <w:rPr>
            <w:noProof/>
            <w:webHidden/>
          </w:rPr>
          <w:fldChar w:fldCharType="end"/>
        </w:r>
      </w:hyperlink>
    </w:p>
    <w:p w14:paraId="4AED2F4B" w14:textId="5FF62896" w:rsidR="00CA317E" w:rsidRDefault="003A4538" w:rsidP="00BE6DCB">
      <w:pPr>
        <w:pStyle w:val="Obsah4"/>
        <w:ind w:left="426" w:hanging="426"/>
        <w:rPr>
          <w:rFonts w:asciiTheme="minorHAnsi" w:eastAsiaTheme="minorEastAsia" w:hAnsiTheme="minorHAnsi"/>
          <w:noProof/>
          <w:sz w:val="22"/>
          <w:szCs w:val="22"/>
          <w:lang w:val="cs-CZ" w:eastAsia="cs-CZ"/>
        </w:rPr>
      </w:pPr>
      <w:hyperlink w:anchor="_Toc81817310" w:history="1">
        <w:r w:rsidR="00CA317E" w:rsidRPr="0097449D">
          <w:rPr>
            <w:rStyle w:val="Hypertextovodkaz"/>
            <w:noProof/>
          </w:rPr>
          <w:t>Příloha 2 Obyvatelstvo</w:t>
        </w:r>
        <w:r w:rsidR="00CA317E">
          <w:rPr>
            <w:noProof/>
            <w:webHidden/>
          </w:rPr>
          <w:tab/>
        </w:r>
        <w:r w:rsidR="00BE6DCB">
          <w:rPr>
            <w:noProof/>
            <w:webHidden/>
          </w:rPr>
          <w:tab/>
        </w:r>
        <w:r w:rsidR="00CA317E">
          <w:rPr>
            <w:noProof/>
            <w:webHidden/>
          </w:rPr>
          <w:fldChar w:fldCharType="begin"/>
        </w:r>
        <w:r w:rsidR="00CA317E">
          <w:rPr>
            <w:noProof/>
            <w:webHidden/>
          </w:rPr>
          <w:instrText xml:space="preserve"> PAGEREF _Toc81817310 \h </w:instrText>
        </w:r>
        <w:r w:rsidR="00CA317E">
          <w:rPr>
            <w:noProof/>
            <w:webHidden/>
          </w:rPr>
        </w:r>
        <w:r w:rsidR="00CA317E">
          <w:rPr>
            <w:noProof/>
            <w:webHidden/>
          </w:rPr>
          <w:fldChar w:fldCharType="separate"/>
        </w:r>
        <w:r w:rsidR="00196CD8">
          <w:rPr>
            <w:noProof/>
            <w:webHidden/>
          </w:rPr>
          <w:t>43</w:t>
        </w:r>
        <w:r w:rsidR="00CA317E">
          <w:rPr>
            <w:noProof/>
            <w:webHidden/>
          </w:rPr>
          <w:fldChar w:fldCharType="end"/>
        </w:r>
      </w:hyperlink>
    </w:p>
    <w:p w14:paraId="083C346E" w14:textId="20EF7DA8" w:rsidR="00CA317E" w:rsidRDefault="003A4538" w:rsidP="00BE6DCB">
      <w:pPr>
        <w:pStyle w:val="Obsah4"/>
        <w:ind w:left="426" w:hanging="426"/>
        <w:rPr>
          <w:rFonts w:asciiTheme="minorHAnsi" w:eastAsiaTheme="minorEastAsia" w:hAnsiTheme="minorHAnsi"/>
          <w:noProof/>
          <w:sz w:val="22"/>
          <w:szCs w:val="22"/>
          <w:lang w:val="cs-CZ" w:eastAsia="cs-CZ"/>
        </w:rPr>
      </w:pPr>
      <w:hyperlink w:anchor="_Toc81817311" w:history="1">
        <w:r w:rsidR="00CA317E" w:rsidRPr="0097449D">
          <w:rPr>
            <w:rStyle w:val="Hypertextovodkaz"/>
            <w:noProof/>
          </w:rPr>
          <w:t>Příloha 3 Ekonomika a podnikatelská struktura ve vztahu k venkovu</w:t>
        </w:r>
        <w:r w:rsidR="00CA317E">
          <w:rPr>
            <w:noProof/>
            <w:webHidden/>
          </w:rPr>
          <w:tab/>
        </w:r>
        <w:r w:rsidR="00CA317E">
          <w:rPr>
            <w:noProof/>
            <w:webHidden/>
          </w:rPr>
          <w:fldChar w:fldCharType="begin"/>
        </w:r>
        <w:r w:rsidR="00CA317E">
          <w:rPr>
            <w:noProof/>
            <w:webHidden/>
          </w:rPr>
          <w:instrText xml:space="preserve"> PAGEREF _Toc81817311 \h </w:instrText>
        </w:r>
        <w:r w:rsidR="00CA317E">
          <w:rPr>
            <w:noProof/>
            <w:webHidden/>
          </w:rPr>
        </w:r>
        <w:r w:rsidR="00CA317E">
          <w:rPr>
            <w:noProof/>
            <w:webHidden/>
          </w:rPr>
          <w:fldChar w:fldCharType="separate"/>
        </w:r>
        <w:r w:rsidR="00196CD8">
          <w:rPr>
            <w:noProof/>
            <w:webHidden/>
          </w:rPr>
          <w:t>57</w:t>
        </w:r>
        <w:r w:rsidR="00CA317E">
          <w:rPr>
            <w:noProof/>
            <w:webHidden/>
          </w:rPr>
          <w:fldChar w:fldCharType="end"/>
        </w:r>
      </w:hyperlink>
    </w:p>
    <w:p w14:paraId="08B40DD2" w14:textId="08B677E6" w:rsidR="00CA317E" w:rsidRDefault="003A4538" w:rsidP="00BE6DCB">
      <w:pPr>
        <w:pStyle w:val="Obsah4"/>
        <w:ind w:left="426" w:hanging="426"/>
        <w:rPr>
          <w:rFonts w:asciiTheme="minorHAnsi" w:eastAsiaTheme="minorEastAsia" w:hAnsiTheme="minorHAnsi"/>
          <w:noProof/>
          <w:sz w:val="22"/>
          <w:szCs w:val="22"/>
          <w:lang w:val="cs-CZ" w:eastAsia="cs-CZ"/>
        </w:rPr>
      </w:pPr>
      <w:hyperlink w:anchor="_Toc81817312" w:history="1">
        <w:r w:rsidR="00CA317E" w:rsidRPr="0097449D">
          <w:rPr>
            <w:rStyle w:val="Hypertextovodkaz"/>
            <w:noProof/>
          </w:rPr>
          <w:t>Příloha 4 Zaměstnanost a příjmové postavení venkovské populace, ohrožení chudobou</w:t>
        </w:r>
        <w:r w:rsidR="00CA317E">
          <w:rPr>
            <w:noProof/>
            <w:webHidden/>
          </w:rPr>
          <w:tab/>
        </w:r>
        <w:r w:rsidR="00CA317E">
          <w:rPr>
            <w:noProof/>
            <w:webHidden/>
          </w:rPr>
          <w:fldChar w:fldCharType="begin"/>
        </w:r>
        <w:r w:rsidR="00CA317E">
          <w:rPr>
            <w:noProof/>
            <w:webHidden/>
          </w:rPr>
          <w:instrText xml:space="preserve"> PAGEREF _Toc81817312 \h </w:instrText>
        </w:r>
        <w:r w:rsidR="00CA317E">
          <w:rPr>
            <w:noProof/>
            <w:webHidden/>
          </w:rPr>
        </w:r>
        <w:r w:rsidR="00CA317E">
          <w:rPr>
            <w:noProof/>
            <w:webHidden/>
          </w:rPr>
          <w:fldChar w:fldCharType="separate"/>
        </w:r>
        <w:r w:rsidR="00196CD8">
          <w:rPr>
            <w:noProof/>
            <w:webHidden/>
          </w:rPr>
          <w:t>106</w:t>
        </w:r>
        <w:r w:rsidR="00CA317E">
          <w:rPr>
            <w:noProof/>
            <w:webHidden/>
          </w:rPr>
          <w:fldChar w:fldCharType="end"/>
        </w:r>
      </w:hyperlink>
    </w:p>
    <w:p w14:paraId="7E82EB0E" w14:textId="52F19428" w:rsidR="00CA317E" w:rsidRDefault="003A4538" w:rsidP="00BE6DCB">
      <w:pPr>
        <w:pStyle w:val="Obsah4"/>
        <w:ind w:left="426" w:hanging="426"/>
        <w:rPr>
          <w:rFonts w:asciiTheme="minorHAnsi" w:eastAsiaTheme="minorEastAsia" w:hAnsiTheme="minorHAnsi"/>
          <w:noProof/>
          <w:sz w:val="22"/>
          <w:szCs w:val="22"/>
          <w:lang w:val="cs-CZ" w:eastAsia="cs-CZ"/>
        </w:rPr>
      </w:pPr>
      <w:hyperlink w:anchor="_Toc81817313" w:history="1">
        <w:r w:rsidR="00CA317E" w:rsidRPr="0097449D">
          <w:rPr>
            <w:rStyle w:val="Hypertextovodkaz"/>
            <w:noProof/>
          </w:rPr>
          <w:t>Příloha 5 Vybavenost</w:t>
        </w:r>
        <w:r w:rsidR="00CA317E">
          <w:rPr>
            <w:noProof/>
            <w:webHidden/>
          </w:rPr>
          <w:tab/>
        </w:r>
        <w:r w:rsidR="00BE6DCB">
          <w:rPr>
            <w:noProof/>
            <w:webHidden/>
          </w:rPr>
          <w:tab/>
        </w:r>
        <w:r w:rsidR="00CA317E">
          <w:rPr>
            <w:noProof/>
            <w:webHidden/>
          </w:rPr>
          <w:fldChar w:fldCharType="begin"/>
        </w:r>
        <w:r w:rsidR="00CA317E">
          <w:rPr>
            <w:noProof/>
            <w:webHidden/>
          </w:rPr>
          <w:instrText xml:space="preserve"> PAGEREF _Toc81817313 \h </w:instrText>
        </w:r>
        <w:r w:rsidR="00CA317E">
          <w:rPr>
            <w:noProof/>
            <w:webHidden/>
          </w:rPr>
        </w:r>
        <w:r w:rsidR="00CA317E">
          <w:rPr>
            <w:noProof/>
            <w:webHidden/>
          </w:rPr>
          <w:fldChar w:fldCharType="separate"/>
        </w:r>
        <w:r w:rsidR="00196CD8">
          <w:rPr>
            <w:noProof/>
            <w:webHidden/>
          </w:rPr>
          <w:t>134</w:t>
        </w:r>
        <w:r w:rsidR="00CA317E">
          <w:rPr>
            <w:noProof/>
            <w:webHidden/>
          </w:rPr>
          <w:fldChar w:fldCharType="end"/>
        </w:r>
      </w:hyperlink>
    </w:p>
    <w:p w14:paraId="7A145BCA" w14:textId="7F807A02" w:rsidR="00A14B9B" w:rsidRPr="002A0D4F" w:rsidRDefault="00CA317E" w:rsidP="008E38E0">
      <w:pPr>
        <w:spacing w:before="120" w:after="120"/>
        <w:rPr>
          <w:lang w:val="cs-CZ"/>
        </w:rPr>
      </w:pPr>
      <w:r>
        <w:rPr>
          <w:b/>
          <w:bCs/>
          <w:caps/>
          <w:sz w:val="20"/>
          <w:szCs w:val="20"/>
          <w:lang w:val="cs-CZ"/>
        </w:rPr>
        <w:fldChar w:fldCharType="end"/>
      </w:r>
    </w:p>
    <w:p w14:paraId="7A124320" w14:textId="02BBD2BE" w:rsidR="00A14B9B" w:rsidRPr="002A0D4F" w:rsidRDefault="00A14B9B" w:rsidP="00A14B9B">
      <w:pPr>
        <w:spacing w:after="160" w:line="259" w:lineRule="auto"/>
        <w:jc w:val="left"/>
        <w:rPr>
          <w:b/>
          <w:sz w:val="32"/>
          <w:lang w:val="cs-CZ"/>
        </w:rPr>
      </w:pPr>
    </w:p>
    <w:p w14:paraId="7A908050" w14:textId="76930EF5" w:rsidR="00A14B9B" w:rsidRPr="002A0D4F" w:rsidRDefault="00A14B9B" w:rsidP="00A14B9B">
      <w:pPr>
        <w:spacing w:after="160" w:line="259" w:lineRule="auto"/>
        <w:jc w:val="left"/>
        <w:rPr>
          <w:b/>
          <w:sz w:val="32"/>
          <w:lang w:val="cs-CZ"/>
        </w:rPr>
      </w:pPr>
    </w:p>
    <w:p w14:paraId="02B1BEF9" w14:textId="6649A014" w:rsidR="00A14B9B" w:rsidRPr="002A0D4F" w:rsidRDefault="00A14B9B" w:rsidP="00A14B9B">
      <w:pPr>
        <w:spacing w:after="160" w:line="259" w:lineRule="auto"/>
        <w:jc w:val="left"/>
        <w:rPr>
          <w:b/>
          <w:sz w:val="32"/>
          <w:lang w:val="cs-CZ"/>
        </w:rPr>
      </w:pPr>
    </w:p>
    <w:p w14:paraId="4F1BC058" w14:textId="77777777" w:rsidR="00D40DF3" w:rsidRDefault="00D40DF3">
      <w:pPr>
        <w:spacing w:after="160" w:line="259" w:lineRule="auto"/>
        <w:jc w:val="left"/>
        <w:rPr>
          <w:rFonts w:eastAsiaTheme="majorEastAsia" w:cs="Times New Roman"/>
          <w:b/>
          <w:bCs/>
          <w:sz w:val="28"/>
          <w:szCs w:val="32"/>
          <w:lang w:val="cs-CZ"/>
        </w:rPr>
      </w:pPr>
      <w:bookmarkStart w:id="18" w:name="_Toc519518196"/>
      <w:bookmarkStart w:id="19" w:name="_Toc519518302"/>
      <w:bookmarkStart w:id="20" w:name="_Toc519581812"/>
      <w:bookmarkStart w:id="21" w:name="_Toc525820125"/>
      <w:bookmarkStart w:id="22" w:name="_Toc530577731"/>
      <w:bookmarkStart w:id="23" w:name="_Toc12277970"/>
      <w:bookmarkStart w:id="24" w:name="_Toc12282607"/>
      <w:bookmarkStart w:id="25" w:name="_Toc12283262"/>
      <w:bookmarkStart w:id="26" w:name="_Toc15623876"/>
      <w:bookmarkStart w:id="27" w:name="_Toc15627507"/>
      <w:bookmarkStart w:id="28" w:name="_Toc25919686"/>
      <w:bookmarkStart w:id="29" w:name="_Toc25919770"/>
      <w:r>
        <w:br w:type="page"/>
      </w:r>
    </w:p>
    <w:p w14:paraId="29A60E73" w14:textId="4BE29931" w:rsidR="00A14B9B" w:rsidRPr="002A0D4F" w:rsidRDefault="00A14B9B" w:rsidP="002A0D4F">
      <w:pPr>
        <w:pStyle w:val="Nadpis1"/>
      </w:pPr>
      <w:bookmarkStart w:id="30" w:name="_Toc81757374"/>
      <w:bookmarkStart w:id="31" w:name="_Toc81815661"/>
      <w:bookmarkStart w:id="32" w:name="_Toc81816198"/>
      <w:bookmarkStart w:id="33" w:name="_Toc81817293"/>
      <w:r w:rsidRPr="002A0D4F">
        <w:lastRenderedPageBreak/>
        <w:t>Analýza stávajících/navrhovaných právních předpisů EK/ČR a pravděpodobné nastavení směrů a cílů SZP</w:t>
      </w:r>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p>
    <w:p w14:paraId="628513F0" w14:textId="77777777" w:rsidR="00A14B9B" w:rsidRPr="002A0D4F" w:rsidRDefault="00A14B9B" w:rsidP="002A0D4F">
      <w:pPr>
        <w:pStyle w:val="UZEINormaln"/>
        <w:rPr>
          <w:b/>
          <w:bCs/>
        </w:rPr>
      </w:pPr>
      <w:r w:rsidRPr="002A0D4F">
        <w:rPr>
          <w:b/>
          <w:bCs/>
        </w:rPr>
        <w:t>Dokumenty</w:t>
      </w:r>
    </w:p>
    <w:p w14:paraId="265AC6F0" w14:textId="37697121" w:rsidR="00A14B9B" w:rsidRPr="002A0D4F" w:rsidRDefault="00A14B9B" w:rsidP="00BC7B72">
      <w:pPr>
        <w:pStyle w:val="UZEINormaln"/>
        <w:spacing w:after="240"/>
      </w:pPr>
      <w:r w:rsidRPr="002A0D4F">
        <w:t>Návrh nařízení Evropského parlamentu a Rady z 1. 6. 2018, COM</w:t>
      </w:r>
      <w:r w:rsidR="00B9524A">
        <w:t xml:space="preserve"> </w:t>
      </w:r>
      <w:r w:rsidRPr="002A0D4F">
        <w:t xml:space="preserve">(2018) 392 </w:t>
      </w:r>
      <w:proofErr w:type="spellStart"/>
      <w:r w:rsidRPr="002A0D4F">
        <w:t>final</w:t>
      </w:r>
      <w:proofErr w:type="spellEnd"/>
    </w:p>
    <w:p w14:paraId="038EBC7C" w14:textId="77777777" w:rsidR="00A14B9B" w:rsidRPr="002A0D4F" w:rsidRDefault="00A14B9B" w:rsidP="00BC7B72">
      <w:pPr>
        <w:pStyle w:val="UZEINormaln"/>
        <w:spacing w:after="240"/>
      </w:pPr>
      <w:r w:rsidRPr="002A0D4F">
        <w:t>Program rozvoje venkova 2007-2013</w:t>
      </w:r>
    </w:p>
    <w:p w14:paraId="15E1859D" w14:textId="77777777" w:rsidR="00A14B9B" w:rsidRPr="002A0D4F" w:rsidRDefault="00A14B9B" w:rsidP="00BC7B72">
      <w:pPr>
        <w:pStyle w:val="UZEINormaln"/>
        <w:spacing w:after="240"/>
      </w:pPr>
      <w:r w:rsidRPr="002A0D4F">
        <w:t>Program rozvoje venkova 2014-2020</w:t>
      </w:r>
    </w:p>
    <w:p w14:paraId="07CFA417" w14:textId="77777777" w:rsidR="00A14B9B" w:rsidRPr="002A0D4F" w:rsidRDefault="00A14B9B" w:rsidP="00BC7B72">
      <w:pPr>
        <w:pStyle w:val="UZEINormaln"/>
        <w:spacing w:after="240"/>
      </w:pPr>
      <w:r w:rsidRPr="002A0D4F">
        <w:t>Strategický rámec Česká republika 2030</w:t>
      </w:r>
    </w:p>
    <w:p w14:paraId="43D6C7D8" w14:textId="77777777" w:rsidR="00A14B9B" w:rsidRPr="002A0D4F" w:rsidRDefault="00A14B9B" w:rsidP="00BC7B72">
      <w:pPr>
        <w:pStyle w:val="UZEINormaln"/>
        <w:spacing w:after="240"/>
      </w:pPr>
      <w:r w:rsidRPr="002A0D4F">
        <w:t>Strategie resortu Ministerstva zemědělství s výhledem do roku 2030</w:t>
      </w:r>
    </w:p>
    <w:p w14:paraId="21BD79DE" w14:textId="77777777" w:rsidR="00A14B9B" w:rsidRPr="002A0D4F" w:rsidRDefault="00A14B9B" w:rsidP="00BC7B72">
      <w:pPr>
        <w:pStyle w:val="UZEINormaln"/>
        <w:spacing w:after="240"/>
      </w:pPr>
      <w:r w:rsidRPr="002A0D4F">
        <w:t>Koncepce biohospodářství v České republice z pohledu resortu Ministerstva zemědělství na léta 2019-2024</w:t>
      </w:r>
    </w:p>
    <w:p w14:paraId="7CF90FAA" w14:textId="77777777" w:rsidR="00A14B9B" w:rsidRPr="002A0D4F" w:rsidRDefault="00A14B9B" w:rsidP="00BC7B72">
      <w:pPr>
        <w:pStyle w:val="UZEINormaln"/>
        <w:spacing w:after="240"/>
      </w:pPr>
      <w:r w:rsidRPr="002A0D4F">
        <w:t>Strategie regionálního rozvoje ČR 2014–2020</w:t>
      </w:r>
    </w:p>
    <w:p w14:paraId="79DADAAD" w14:textId="77777777" w:rsidR="00A14B9B" w:rsidRPr="002A0D4F" w:rsidRDefault="00A14B9B" w:rsidP="00BC7B72">
      <w:pPr>
        <w:pStyle w:val="UZEINormaln"/>
        <w:spacing w:after="240"/>
      </w:pPr>
      <w:r w:rsidRPr="002A0D4F">
        <w:t>Strategie regionálního rozvoje ČR 2021+</w:t>
      </w:r>
    </w:p>
    <w:p w14:paraId="5C040AAB" w14:textId="77777777" w:rsidR="00A14B9B" w:rsidRPr="002A0D4F" w:rsidRDefault="00A14B9B" w:rsidP="00BC7B72">
      <w:pPr>
        <w:pStyle w:val="UZEINormaln"/>
        <w:spacing w:after="240"/>
      </w:pPr>
      <w:r w:rsidRPr="002A0D4F">
        <w:t>Strategie Evropa 2020: Snížit alespoň o 20 milionů počet lidí, kteří žijí v chudobě a sociálním vyloučení nebo jsou na pokraji chudoby a hrozí jim sociální vyloučení.</w:t>
      </w:r>
    </w:p>
    <w:p w14:paraId="221A2AA6" w14:textId="77777777" w:rsidR="00A14B9B" w:rsidRPr="002A0D4F" w:rsidRDefault="00A14B9B" w:rsidP="00BC7B72">
      <w:pPr>
        <w:pStyle w:val="UZEINormaln"/>
        <w:spacing w:after="240"/>
      </w:pPr>
      <w:r w:rsidRPr="002A0D4F">
        <w:t>(desetiletá strategie pro inteligentní a udržitelný růst podporující začlenění)</w:t>
      </w:r>
    </w:p>
    <w:p w14:paraId="60E2E4B1" w14:textId="77777777" w:rsidR="00A14B9B" w:rsidRPr="002A0D4F" w:rsidRDefault="00A14B9B" w:rsidP="00BC7B72">
      <w:pPr>
        <w:pStyle w:val="UZEINormaln"/>
        <w:spacing w:after="240"/>
      </w:pPr>
      <w:r w:rsidRPr="002A0D4F">
        <w:t>Evropská platforma pro boj proti chudobě a sociálnímu vyloučení: evropský rámec pro sociální a územní soudržnost – Sdělení Evropské komise (+ Rámcová pozice ČR)</w:t>
      </w:r>
    </w:p>
    <w:p w14:paraId="7B6C3197" w14:textId="77777777" w:rsidR="00A14B9B" w:rsidRPr="002A0D4F" w:rsidRDefault="00A14B9B" w:rsidP="00BC7B72">
      <w:pPr>
        <w:pStyle w:val="UZEINormaln"/>
        <w:spacing w:after="240"/>
      </w:pPr>
      <w:r w:rsidRPr="002A0D4F">
        <w:t>Rozvojové priority MPSV na období 2014+</w:t>
      </w:r>
    </w:p>
    <w:p w14:paraId="00B75F27" w14:textId="77777777" w:rsidR="00A14B9B" w:rsidRPr="002A0D4F" w:rsidRDefault="00A14B9B" w:rsidP="00BC7B72">
      <w:pPr>
        <w:pStyle w:val="UZEINormaln"/>
        <w:spacing w:after="240"/>
      </w:pPr>
      <w:r w:rsidRPr="002A0D4F">
        <w:t>Koncepce a Strategie zaměstnanosti ČR do roku 2020</w:t>
      </w:r>
    </w:p>
    <w:p w14:paraId="15CA00DC" w14:textId="77777777" w:rsidR="00A14B9B" w:rsidRPr="002A0D4F" w:rsidRDefault="00A14B9B" w:rsidP="00BC7B72">
      <w:pPr>
        <w:pStyle w:val="UZEINormaln"/>
        <w:spacing w:after="240"/>
      </w:pPr>
      <w:r w:rsidRPr="002A0D4F">
        <w:t>Koncepce bydlení ČR do roku 2020</w:t>
      </w:r>
    </w:p>
    <w:p w14:paraId="018FB96A" w14:textId="77777777" w:rsidR="00A14B9B" w:rsidRPr="002A0D4F" w:rsidRDefault="00A14B9B" w:rsidP="00BC7B72">
      <w:pPr>
        <w:pStyle w:val="UZEINormaln"/>
        <w:spacing w:after="240"/>
      </w:pPr>
      <w:r w:rsidRPr="002A0D4F">
        <w:t xml:space="preserve">OSN Agenda 2030 – </w:t>
      </w:r>
      <w:proofErr w:type="spellStart"/>
      <w:r w:rsidRPr="002A0D4F">
        <w:t>SDGs</w:t>
      </w:r>
      <w:proofErr w:type="spellEnd"/>
    </w:p>
    <w:p w14:paraId="01C8CD0C" w14:textId="77777777" w:rsidR="00A14B9B" w:rsidRPr="002A0D4F" w:rsidRDefault="00A14B9B" w:rsidP="00BC7B72">
      <w:pPr>
        <w:pStyle w:val="UZEINormaln"/>
        <w:spacing w:after="240"/>
      </w:pPr>
      <w:r w:rsidRPr="002A0D4F">
        <w:t>Strategie sociálního začleňování 2014–2020</w:t>
      </w:r>
    </w:p>
    <w:p w14:paraId="0F6F03AB" w14:textId="77777777" w:rsidR="00A14B9B" w:rsidRPr="002A0D4F" w:rsidRDefault="00A14B9B" w:rsidP="00BC7B72">
      <w:pPr>
        <w:pStyle w:val="UZEINormaln"/>
        <w:spacing w:after="240"/>
      </w:pPr>
      <w:r w:rsidRPr="002A0D4F">
        <w:t>Strategie boje proti sociálnímu vyloučení na období 2016 až 2020</w:t>
      </w:r>
    </w:p>
    <w:p w14:paraId="30EC643A" w14:textId="77777777" w:rsidR="00A14B9B" w:rsidRPr="002A0D4F" w:rsidRDefault="00A14B9B" w:rsidP="00BC7B72">
      <w:pPr>
        <w:pStyle w:val="UZEINormaln"/>
        <w:spacing w:after="240"/>
      </w:pPr>
      <w:r w:rsidRPr="002A0D4F">
        <w:t>Koncepce prevence a řešení problematiky bezdomovectví v České republice do roku 2020</w:t>
      </w:r>
    </w:p>
    <w:p w14:paraId="77CDD53E" w14:textId="77777777" w:rsidR="00A14B9B" w:rsidRPr="002A0D4F" w:rsidRDefault="00A14B9B" w:rsidP="00BC7B72">
      <w:pPr>
        <w:pStyle w:val="UZEINormaln"/>
        <w:spacing w:after="240"/>
      </w:pPr>
      <w:r w:rsidRPr="002A0D4F">
        <w:t>NPR 2015 – fungující trh práce, vzdělávací systém a sociální začleňování; cíl v oblasti sociálního začleňování</w:t>
      </w:r>
    </w:p>
    <w:p w14:paraId="2F663AFF" w14:textId="77777777" w:rsidR="00A14B9B" w:rsidRPr="002A0D4F" w:rsidRDefault="00A14B9B" w:rsidP="00BC7B72">
      <w:pPr>
        <w:pStyle w:val="UZEINormaln"/>
        <w:spacing w:after="240"/>
        <w:rPr>
          <w:rFonts w:eastAsiaTheme="minorEastAsia"/>
        </w:rPr>
      </w:pPr>
      <w:r w:rsidRPr="002A0D4F">
        <w:rPr>
          <w:rFonts w:eastAsiaTheme="minorEastAsia"/>
        </w:rPr>
        <w:t>Indikátory za oblast venkova a Leaderu.</w:t>
      </w:r>
    </w:p>
    <w:p w14:paraId="04F0ED37" w14:textId="77777777" w:rsidR="00A14B9B" w:rsidRPr="00A97F1B" w:rsidRDefault="00A14B9B" w:rsidP="002A0D4F">
      <w:pPr>
        <w:pStyle w:val="UZEINormaln"/>
        <w:rPr>
          <w:rFonts w:eastAsiaTheme="minorEastAsia"/>
          <w:b/>
          <w:bCs/>
        </w:rPr>
      </w:pPr>
      <w:r w:rsidRPr="00A97F1B">
        <w:rPr>
          <w:rFonts w:eastAsiaTheme="minorEastAsia"/>
          <w:b/>
          <w:bCs/>
        </w:rPr>
        <w:t>Dopadové indikátory:</w:t>
      </w:r>
    </w:p>
    <w:p w14:paraId="29C9080F" w14:textId="77777777" w:rsidR="00A14B9B" w:rsidRPr="002A0D4F" w:rsidRDefault="00A14B9B" w:rsidP="00E46286">
      <w:pPr>
        <w:pStyle w:val="UZEIOdrky"/>
        <w:rPr>
          <w:rFonts w:eastAsiaTheme="minorEastAsia"/>
        </w:rPr>
      </w:pPr>
      <w:r w:rsidRPr="002A0D4F">
        <w:rPr>
          <w:rFonts w:eastAsiaTheme="minorEastAsia"/>
        </w:rPr>
        <w:t>I.22 Příspěvek k tvorbě pracovních míst ve venkovských oblastech: „Míra zaměstnanosti v regionech z kategorie převážně venkovské“ (</w:t>
      </w:r>
      <w:proofErr w:type="spellStart"/>
      <w:r w:rsidRPr="002A0D4F">
        <w:rPr>
          <w:rFonts w:eastAsiaTheme="minorEastAsia"/>
        </w:rPr>
        <w:t>Contribute</w:t>
      </w:r>
      <w:proofErr w:type="spellEnd"/>
      <w:r w:rsidRPr="002A0D4F">
        <w:rPr>
          <w:rFonts w:eastAsiaTheme="minorEastAsia"/>
        </w:rPr>
        <w:t xml:space="preserve"> to </w:t>
      </w:r>
      <w:proofErr w:type="spellStart"/>
      <w:r w:rsidRPr="002A0D4F">
        <w:rPr>
          <w:rFonts w:eastAsiaTheme="minorEastAsia"/>
        </w:rPr>
        <w:t>jobs</w:t>
      </w:r>
      <w:proofErr w:type="spellEnd"/>
      <w:r w:rsidRPr="002A0D4F">
        <w:rPr>
          <w:rFonts w:eastAsiaTheme="minorEastAsia"/>
        </w:rPr>
        <w:t xml:space="preserve"> in </w:t>
      </w:r>
      <w:proofErr w:type="spellStart"/>
      <w:r w:rsidRPr="002A0D4F">
        <w:rPr>
          <w:rFonts w:eastAsiaTheme="minorEastAsia"/>
        </w:rPr>
        <w:t>rural</w:t>
      </w:r>
      <w:proofErr w:type="spellEnd"/>
      <w:r w:rsidRPr="002A0D4F">
        <w:rPr>
          <w:rFonts w:eastAsiaTheme="minorEastAsia"/>
        </w:rPr>
        <w:t xml:space="preserve"> </w:t>
      </w:r>
      <w:proofErr w:type="spellStart"/>
      <w:r w:rsidRPr="002A0D4F">
        <w:rPr>
          <w:rFonts w:eastAsiaTheme="minorEastAsia"/>
        </w:rPr>
        <w:t>areas</w:t>
      </w:r>
      <w:proofErr w:type="spellEnd"/>
      <w:r w:rsidRPr="002A0D4F">
        <w:rPr>
          <w:rFonts w:eastAsiaTheme="minorEastAsia"/>
        </w:rPr>
        <w:t>: „</w:t>
      </w:r>
      <w:proofErr w:type="spellStart"/>
      <w:r w:rsidRPr="002A0D4F">
        <w:rPr>
          <w:rFonts w:eastAsiaTheme="minorEastAsia"/>
        </w:rPr>
        <w:t>Employment</w:t>
      </w:r>
      <w:proofErr w:type="spellEnd"/>
      <w:r w:rsidRPr="002A0D4F">
        <w:rPr>
          <w:rFonts w:eastAsiaTheme="minorEastAsia"/>
        </w:rPr>
        <w:t xml:space="preserve"> </w:t>
      </w:r>
      <w:proofErr w:type="spellStart"/>
      <w:r w:rsidRPr="002A0D4F">
        <w:rPr>
          <w:rFonts w:eastAsiaTheme="minorEastAsia"/>
        </w:rPr>
        <w:t>rate</w:t>
      </w:r>
      <w:proofErr w:type="spellEnd"/>
      <w:r w:rsidRPr="002A0D4F">
        <w:rPr>
          <w:rFonts w:eastAsiaTheme="minorEastAsia"/>
        </w:rPr>
        <w:t xml:space="preserve"> in </w:t>
      </w:r>
      <w:proofErr w:type="spellStart"/>
      <w:r w:rsidRPr="002A0D4F">
        <w:rPr>
          <w:rFonts w:eastAsiaTheme="minorEastAsia"/>
        </w:rPr>
        <w:t>predominantly</w:t>
      </w:r>
      <w:proofErr w:type="spellEnd"/>
      <w:r w:rsidRPr="002A0D4F">
        <w:rPr>
          <w:rFonts w:eastAsiaTheme="minorEastAsia"/>
        </w:rPr>
        <w:t xml:space="preserve"> </w:t>
      </w:r>
      <w:proofErr w:type="spellStart"/>
      <w:r w:rsidRPr="002A0D4F">
        <w:rPr>
          <w:rFonts w:eastAsiaTheme="minorEastAsia"/>
        </w:rPr>
        <w:t>rural</w:t>
      </w:r>
      <w:proofErr w:type="spellEnd"/>
      <w:r w:rsidRPr="002A0D4F">
        <w:rPr>
          <w:rFonts w:eastAsiaTheme="minorEastAsia"/>
        </w:rPr>
        <w:t xml:space="preserve"> </w:t>
      </w:r>
      <w:proofErr w:type="spellStart"/>
      <w:r w:rsidRPr="002A0D4F">
        <w:rPr>
          <w:rFonts w:eastAsiaTheme="minorEastAsia"/>
        </w:rPr>
        <w:t>areas</w:t>
      </w:r>
      <w:proofErr w:type="spellEnd"/>
      <w:r w:rsidRPr="002A0D4F">
        <w:rPr>
          <w:rFonts w:eastAsiaTheme="minorEastAsia"/>
        </w:rPr>
        <w:t>“)</w:t>
      </w:r>
    </w:p>
    <w:p w14:paraId="20470051" w14:textId="77777777" w:rsidR="00A14B9B" w:rsidRPr="002A0D4F" w:rsidRDefault="00A14B9B" w:rsidP="00E46286">
      <w:pPr>
        <w:pStyle w:val="UZEIOdrky"/>
        <w:numPr>
          <w:ilvl w:val="1"/>
          <w:numId w:val="2"/>
        </w:numPr>
        <w:rPr>
          <w:rFonts w:eastAsiaTheme="minorEastAsia"/>
        </w:rPr>
      </w:pPr>
      <w:r w:rsidRPr="002A0D4F">
        <w:rPr>
          <w:rFonts w:eastAsiaTheme="minorEastAsia"/>
        </w:rPr>
        <w:lastRenderedPageBreak/>
        <w:t>Podobným indikátorem je v současném PRV kontextový indikátor C5</w:t>
      </w:r>
    </w:p>
    <w:p w14:paraId="5EE3E73C" w14:textId="77777777" w:rsidR="00A14B9B" w:rsidRPr="002A0D4F" w:rsidRDefault="00A14B9B" w:rsidP="00E46286">
      <w:pPr>
        <w:pStyle w:val="UZEIOdrky"/>
        <w:rPr>
          <w:rFonts w:eastAsiaTheme="minorEastAsia"/>
        </w:rPr>
      </w:pPr>
      <w:r w:rsidRPr="002A0D4F">
        <w:rPr>
          <w:rFonts w:eastAsiaTheme="minorEastAsia"/>
        </w:rPr>
        <w:t>I.23 Příspěvek k růstu ve venkovských oblastech: „vývoj HDP na hlavu v regionech z kategorie převážně venkovské“ (</w:t>
      </w:r>
      <w:proofErr w:type="spellStart"/>
      <w:r w:rsidRPr="002A0D4F">
        <w:rPr>
          <w:rFonts w:eastAsiaTheme="minorEastAsia"/>
        </w:rPr>
        <w:t>Contribute</w:t>
      </w:r>
      <w:proofErr w:type="spellEnd"/>
      <w:r w:rsidRPr="002A0D4F">
        <w:rPr>
          <w:rFonts w:eastAsiaTheme="minorEastAsia"/>
        </w:rPr>
        <w:t xml:space="preserve"> to </w:t>
      </w:r>
      <w:proofErr w:type="spellStart"/>
      <w:r w:rsidRPr="002A0D4F">
        <w:rPr>
          <w:rFonts w:eastAsiaTheme="minorEastAsia"/>
        </w:rPr>
        <w:t>growth</w:t>
      </w:r>
      <w:proofErr w:type="spellEnd"/>
      <w:r w:rsidRPr="002A0D4F">
        <w:rPr>
          <w:rFonts w:eastAsiaTheme="minorEastAsia"/>
        </w:rPr>
        <w:t xml:space="preserve"> in </w:t>
      </w:r>
      <w:proofErr w:type="spellStart"/>
      <w:r w:rsidRPr="002A0D4F">
        <w:rPr>
          <w:rFonts w:eastAsiaTheme="minorEastAsia"/>
        </w:rPr>
        <w:t>rural</w:t>
      </w:r>
      <w:proofErr w:type="spellEnd"/>
      <w:r w:rsidRPr="002A0D4F">
        <w:rPr>
          <w:rFonts w:eastAsiaTheme="minorEastAsia"/>
        </w:rPr>
        <w:t xml:space="preserve"> </w:t>
      </w:r>
      <w:proofErr w:type="spellStart"/>
      <w:r w:rsidRPr="002A0D4F">
        <w:rPr>
          <w:rFonts w:eastAsiaTheme="minorEastAsia"/>
        </w:rPr>
        <w:t>areas</w:t>
      </w:r>
      <w:proofErr w:type="spellEnd"/>
      <w:r w:rsidRPr="002A0D4F">
        <w:rPr>
          <w:rFonts w:eastAsiaTheme="minorEastAsia"/>
        </w:rPr>
        <w:t xml:space="preserve">: „GDP per </w:t>
      </w:r>
      <w:proofErr w:type="spellStart"/>
      <w:r w:rsidRPr="002A0D4F">
        <w:rPr>
          <w:rFonts w:eastAsiaTheme="minorEastAsia"/>
        </w:rPr>
        <w:t>head</w:t>
      </w:r>
      <w:proofErr w:type="spellEnd"/>
      <w:r w:rsidRPr="002A0D4F">
        <w:rPr>
          <w:rFonts w:eastAsiaTheme="minorEastAsia"/>
        </w:rPr>
        <w:t xml:space="preserve"> in </w:t>
      </w:r>
      <w:proofErr w:type="spellStart"/>
      <w:r w:rsidRPr="002A0D4F">
        <w:rPr>
          <w:rFonts w:eastAsiaTheme="minorEastAsia"/>
        </w:rPr>
        <w:t>predominantly</w:t>
      </w:r>
      <w:proofErr w:type="spellEnd"/>
      <w:r w:rsidRPr="002A0D4F">
        <w:rPr>
          <w:rFonts w:eastAsiaTheme="minorEastAsia"/>
        </w:rPr>
        <w:t xml:space="preserve"> </w:t>
      </w:r>
      <w:proofErr w:type="spellStart"/>
      <w:r w:rsidRPr="002A0D4F">
        <w:rPr>
          <w:rFonts w:eastAsiaTheme="minorEastAsia"/>
        </w:rPr>
        <w:t>rural</w:t>
      </w:r>
      <w:proofErr w:type="spellEnd"/>
      <w:r w:rsidRPr="002A0D4F">
        <w:rPr>
          <w:rFonts w:eastAsiaTheme="minorEastAsia"/>
        </w:rPr>
        <w:t xml:space="preserve"> </w:t>
      </w:r>
      <w:proofErr w:type="spellStart"/>
      <w:r w:rsidRPr="002A0D4F">
        <w:rPr>
          <w:rFonts w:eastAsiaTheme="minorEastAsia"/>
        </w:rPr>
        <w:t>areas</w:t>
      </w:r>
      <w:proofErr w:type="spellEnd"/>
      <w:r w:rsidRPr="002A0D4F">
        <w:rPr>
          <w:rFonts w:eastAsiaTheme="minorEastAsia"/>
        </w:rPr>
        <w:t>“)</w:t>
      </w:r>
    </w:p>
    <w:p w14:paraId="682AD165" w14:textId="77777777" w:rsidR="00A14B9B" w:rsidRPr="002A0D4F" w:rsidRDefault="00A14B9B" w:rsidP="00E46286">
      <w:pPr>
        <w:pStyle w:val="UZEIOdrky"/>
        <w:numPr>
          <w:ilvl w:val="1"/>
          <w:numId w:val="2"/>
        </w:numPr>
        <w:rPr>
          <w:rFonts w:eastAsiaTheme="minorEastAsia"/>
        </w:rPr>
      </w:pPr>
      <w:r w:rsidRPr="002A0D4F">
        <w:rPr>
          <w:rFonts w:eastAsiaTheme="minorEastAsia"/>
        </w:rPr>
        <w:t>Podobným indikátorem je v současném PRV kontextový indikátor C8</w:t>
      </w:r>
    </w:p>
    <w:p w14:paraId="4DAFFF69" w14:textId="77777777" w:rsidR="00A14B9B" w:rsidRPr="002A0D4F" w:rsidRDefault="00A14B9B" w:rsidP="00E46286">
      <w:pPr>
        <w:pStyle w:val="UZEIOdrky"/>
        <w:rPr>
          <w:rFonts w:eastAsiaTheme="minorEastAsia"/>
        </w:rPr>
      </w:pPr>
      <w:r w:rsidRPr="002A0D4F">
        <w:rPr>
          <w:rFonts w:eastAsiaTheme="minorEastAsia"/>
        </w:rPr>
        <w:t xml:space="preserve"> I.24 Spravedlivější SZP: zlepšit rozdělování podpory poskytované v rámci SZP (A </w:t>
      </w:r>
      <w:proofErr w:type="spellStart"/>
      <w:r w:rsidRPr="002A0D4F">
        <w:rPr>
          <w:rFonts w:eastAsiaTheme="minorEastAsia"/>
        </w:rPr>
        <w:t>fairer</w:t>
      </w:r>
      <w:proofErr w:type="spellEnd"/>
      <w:r w:rsidRPr="002A0D4F">
        <w:rPr>
          <w:rFonts w:eastAsiaTheme="minorEastAsia"/>
        </w:rPr>
        <w:t xml:space="preserve"> CAP: </w:t>
      </w:r>
      <w:proofErr w:type="spellStart"/>
      <w:r w:rsidRPr="002A0D4F">
        <w:rPr>
          <w:rFonts w:eastAsiaTheme="minorEastAsia"/>
        </w:rPr>
        <w:t>Improve</w:t>
      </w:r>
      <w:proofErr w:type="spellEnd"/>
      <w:r w:rsidRPr="002A0D4F">
        <w:rPr>
          <w:rFonts w:eastAsiaTheme="minorEastAsia"/>
        </w:rPr>
        <w:t xml:space="preserve"> </w:t>
      </w:r>
      <w:proofErr w:type="spellStart"/>
      <w:r w:rsidRPr="002A0D4F">
        <w:rPr>
          <w:rFonts w:eastAsiaTheme="minorEastAsia"/>
        </w:rPr>
        <w:t>the</w:t>
      </w:r>
      <w:proofErr w:type="spellEnd"/>
      <w:r w:rsidRPr="002A0D4F">
        <w:rPr>
          <w:rFonts w:eastAsiaTheme="minorEastAsia"/>
        </w:rPr>
        <w:t xml:space="preserve"> </w:t>
      </w:r>
      <w:proofErr w:type="spellStart"/>
      <w:r w:rsidRPr="002A0D4F">
        <w:rPr>
          <w:rFonts w:eastAsiaTheme="minorEastAsia"/>
        </w:rPr>
        <w:t>distribution</w:t>
      </w:r>
      <w:proofErr w:type="spellEnd"/>
      <w:r w:rsidRPr="002A0D4F">
        <w:rPr>
          <w:rFonts w:eastAsiaTheme="minorEastAsia"/>
        </w:rPr>
        <w:t xml:space="preserve"> </w:t>
      </w:r>
      <w:proofErr w:type="spellStart"/>
      <w:r w:rsidRPr="002A0D4F">
        <w:rPr>
          <w:rFonts w:eastAsiaTheme="minorEastAsia"/>
        </w:rPr>
        <w:t>of</w:t>
      </w:r>
      <w:proofErr w:type="spellEnd"/>
      <w:r w:rsidRPr="002A0D4F">
        <w:rPr>
          <w:rFonts w:eastAsiaTheme="minorEastAsia"/>
        </w:rPr>
        <w:t xml:space="preserve"> CAP support)</w:t>
      </w:r>
    </w:p>
    <w:p w14:paraId="73E63250" w14:textId="77777777" w:rsidR="00A14B9B" w:rsidRPr="002A0D4F" w:rsidRDefault="00A14B9B" w:rsidP="00E46286">
      <w:pPr>
        <w:pStyle w:val="UZEIOdrky"/>
        <w:numPr>
          <w:ilvl w:val="1"/>
          <w:numId w:val="2"/>
        </w:numPr>
        <w:rPr>
          <w:rFonts w:eastAsiaTheme="minorEastAsia"/>
        </w:rPr>
      </w:pPr>
      <w:r w:rsidRPr="002A0D4F">
        <w:rPr>
          <w:rFonts w:eastAsiaTheme="minorEastAsia"/>
        </w:rPr>
        <w:t>Nemá podobný indikátor v současných kontextových indikátorech</w:t>
      </w:r>
    </w:p>
    <w:p w14:paraId="612518BA" w14:textId="77777777" w:rsidR="00A14B9B" w:rsidRPr="002A0D4F" w:rsidRDefault="00A14B9B" w:rsidP="00E46286">
      <w:pPr>
        <w:pStyle w:val="UZEIOdrky"/>
        <w:rPr>
          <w:rFonts w:eastAsiaTheme="minorEastAsia"/>
        </w:rPr>
      </w:pPr>
      <w:r w:rsidRPr="002A0D4F">
        <w:rPr>
          <w:rFonts w:eastAsiaTheme="minorEastAsia"/>
        </w:rPr>
        <w:t>I.25 Podpora začleňování venkovských oblastí: „vývoj indexu chudoby ve venkovských regionech“ (pozn.: předpokládám, že jsou tím myšleny regiony z kategorie převážně venkovské a mezilehlé) (</w:t>
      </w:r>
      <w:proofErr w:type="spellStart"/>
      <w:r w:rsidRPr="002A0D4F">
        <w:rPr>
          <w:rFonts w:eastAsiaTheme="minorEastAsia"/>
        </w:rPr>
        <w:t>Promote</w:t>
      </w:r>
      <w:proofErr w:type="spellEnd"/>
      <w:r w:rsidRPr="002A0D4F">
        <w:rPr>
          <w:rFonts w:eastAsiaTheme="minorEastAsia"/>
        </w:rPr>
        <w:t xml:space="preserve"> </w:t>
      </w:r>
      <w:proofErr w:type="spellStart"/>
      <w:r w:rsidRPr="002A0D4F">
        <w:rPr>
          <w:rFonts w:eastAsiaTheme="minorEastAsia"/>
        </w:rPr>
        <w:t>rural</w:t>
      </w:r>
      <w:proofErr w:type="spellEnd"/>
      <w:r w:rsidRPr="002A0D4F">
        <w:rPr>
          <w:rFonts w:eastAsiaTheme="minorEastAsia"/>
        </w:rPr>
        <w:t xml:space="preserve"> </w:t>
      </w:r>
      <w:proofErr w:type="spellStart"/>
      <w:r w:rsidRPr="002A0D4F">
        <w:rPr>
          <w:rFonts w:eastAsiaTheme="minorEastAsia"/>
        </w:rPr>
        <w:t>inclusion</w:t>
      </w:r>
      <w:proofErr w:type="spellEnd"/>
      <w:r w:rsidRPr="002A0D4F">
        <w:rPr>
          <w:rFonts w:eastAsiaTheme="minorEastAsia"/>
        </w:rPr>
        <w:t>: „</w:t>
      </w:r>
      <w:proofErr w:type="spellStart"/>
      <w:r w:rsidRPr="002A0D4F">
        <w:rPr>
          <w:rFonts w:eastAsiaTheme="minorEastAsia"/>
        </w:rPr>
        <w:t>Poverty</w:t>
      </w:r>
      <w:proofErr w:type="spellEnd"/>
      <w:r w:rsidRPr="002A0D4F">
        <w:rPr>
          <w:rFonts w:eastAsiaTheme="minorEastAsia"/>
        </w:rPr>
        <w:t xml:space="preserve"> index in </w:t>
      </w:r>
      <w:proofErr w:type="spellStart"/>
      <w:r w:rsidRPr="002A0D4F">
        <w:rPr>
          <w:rFonts w:eastAsiaTheme="minorEastAsia"/>
        </w:rPr>
        <w:t>rural</w:t>
      </w:r>
      <w:proofErr w:type="spellEnd"/>
      <w:r w:rsidRPr="002A0D4F">
        <w:rPr>
          <w:rFonts w:eastAsiaTheme="minorEastAsia"/>
        </w:rPr>
        <w:t xml:space="preserve"> </w:t>
      </w:r>
      <w:proofErr w:type="spellStart"/>
      <w:r w:rsidRPr="002A0D4F">
        <w:rPr>
          <w:rFonts w:eastAsiaTheme="minorEastAsia"/>
        </w:rPr>
        <w:t>areas</w:t>
      </w:r>
      <w:proofErr w:type="spellEnd"/>
      <w:r w:rsidRPr="002A0D4F">
        <w:rPr>
          <w:rFonts w:eastAsiaTheme="minorEastAsia"/>
        </w:rPr>
        <w:t>“)</w:t>
      </w:r>
    </w:p>
    <w:p w14:paraId="67328689" w14:textId="77777777" w:rsidR="00A14B9B" w:rsidRPr="002A0D4F" w:rsidRDefault="00A14B9B" w:rsidP="00E46286">
      <w:pPr>
        <w:pStyle w:val="UZEIOdrky"/>
        <w:numPr>
          <w:ilvl w:val="1"/>
          <w:numId w:val="2"/>
        </w:numPr>
        <w:rPr>
          <w:rFonts w:eastAsiaTheme="minorEastAsia"/>
        </w:rPr>
      </w:pPr>
      <w:r w:rsidRPr="002A0D4F">
        <w:rPr>
          <w:rFonts w:eastAsiaTheme="minorEastAsia"/>
        </w:rPr>
        <w:t>Podobným indikátorem je v současném PRV kontextový indikátor C9</w:t>
      </w:r>
    </w:p>
    <w:p w14:paraId="3E11C27C" w14:textId="77777777" w:rsidR="00A14B9B" w:rsidRPr="00E46286" w:rsidRDefault="00A14B9B" w:rsidP="00E46286">
      <w:pPr>
        <w:pStyle w:val="UZEINormaln"/>
        <w:rPr>
          <w:rFonts w:eastAsiaTheme="minorEastAsia"/>
          <w:b/>
          <w:bCs/>
        </w:rPr>
      </w:pPr>
      <w:r w:rsidRPr="00E46286">
        <w:rPr>
          <w:rFonts w:eastAsiaTheme="minorEastAsia"/>
          <w:b/>
          <w:bCs/>
        </w:rPr>
        <w:t>Výsledkové indikátory:</w:t>
      </w:r>
    </w:p>
    <w:p w14:paraId="4A5ED3D5" w14:textId="77777777" w:rsidR="00A14B9B" w:rsidRPr="002A0D4F" w:rsidRDefault="00A14B9B" w:rsidP="00025BCE">
      <w:pPr>
        <w:pStyle w:val="UZEIOdrky"/>
        <w:rPr>
          <w:rFonts w:eastAsiaTheme="minorEastAsia"/>
        </w:rPr>
      </w:pPr>
      <w:r w:rsidRPr="002A0D4F">
        <w:rPr>
          <w:rFonts w:eastAsiaTheme="minorEastAsia"/>
          <w:u w:val="single"/>
        </w:rPr>
        <w:t>R.31 Růst a tvorba pracovních míst ve venkovských oblastech:</w:t>
      </w:r>
      <w:r w:rsidRPr="002A0D4F">
        <w:rPr>
          <w:rFonts w:eastAsiaTheme="minorEastAsia"/>
        </w:rPr>
        <w:t xml:space="preserve"> nová pracovní místa v podporovaných projektech (</w:t>
      </w:r>
      <w:proofErr w:type="spellStart"/>
      <w:r w:rsidRPr="002A0D4F">
        <w:rPr>
          <w:rFonts w:eastAsiaTheme="minorEastAsia"/>
        </w:rPr>
        <w:t>Growth</w:t>
      </w:r>
      <w:proofErr w:type="spellEnd"/>
      <w:r w:rsidRPr="002A0D4F">
        <w:rPr>
          <w:rFonts w:eastAsiaTheme="minorEastAsia"/>
        </w:rPr>
        <w:t xml:space="preserve"> and </w:t>
      </w:r>
      <w:proofErr w:type="spellStart"/>
      <w:r w:rsidRPr="002A0D4F">
        <w:rPr>
          <w:rFonts w:eastAsiaTheme="minorEastAsia"/>
        </w:rPr>
        <w:t>jobs</w:t>
      </w:r>
      <w:proofErr w:type="spellEnd"/>
      <w:r w:rsidRPr="002A0D4F">
        <w:rPr>
          <w:rFonts w:eastAsiaTheme="minorEastAsia"/>
        </w:rPr>
        <w:t xml:space="preserve"> in </w:t>
      </w:r>
      <w:proofErr w:type="spellStart"/>
      <w:r w:rsidRPr="002A0D4F">
        <w:rPr>
          <w:rFonts w:eastAsiaTheme="minorEastAsia"/>
        </w:rPr>
        <w:t>rural</w:t>
      </w:r>
      <w:proofErr w:type="spellEnd"/>
      <w:r w:rsidRPr="002A0D4F">
        <w:rPr>
          <w:rFonts w:eastAsiaTheme="minorEastAsia"/>
        </w:rPr>
        <w:t xml:space="preserve"> </w:t>
      </w:r>
      <w:proofErr w:type="spellStart"/>
      <w:r w:rsidRPr="002A0D4F">
        <w:rPr>
          <w:rFonts w:eastAsiaTheme="minorEastAsia"/>
        </w:rPr>
        <w:t>areas</w:t>
      </w:r>
      <w:proofErr w:type="spellEnd"/>
      <w:r w:rsidRPr="002A0D4F">
        <w:rPr>
          <w:rFonts w:eastAsiaTheme="minorEastAsia"/>
        </w:rPr>
        <w:t xml:space="preserve">: New </w:t>
      </w:r>
      <w:proofErr w:type="spellStart"/>
      <w:r w:rsidRPr="002A0D4F">
        <w:rPr>
          <w:rFonts w:eastAsiaTheme="minorEastAsia"/>
        </w:rPr>
        <w:t>jobs</w:t>
      </w:r>
      <w:proofErr w:type="spellEnd"/>
      <w:r w:rsidRPr="002A0D4F">
        <w:rPr>
          <w:rFonts w:eastAsiaTheme="minorEastAsia"/>
        </w:rPr>
        <w:t xml:space="preserve"> in </w:t>
      </w:r>
      <w:proofErr w:type="spellStart"/>
      <w:r w:rsidRPr="002A0D4F">
        <w:rPr>
          <w:rFonts w:eastAsiaTheme="minorEastAsia"/>
        </w:rPr>
        <w:t>supported</w:t>
      </w:r>
      <w:proofErr w:type="spellEnd"/>
      <w:r w:rsidRPr="002A0D4F">
        <w:rPr>
          <w:rFonts w:eastAsiaTheme="minorEastAsia"/>
        </w:rPr>
        <w:t xml:space="preserve"> </w:t>
      </w:r>
      <w:proofErr w:type="spellStart"/>
      <w:r w:rsidRPr="002A0D4F">
        <w:rPr>
          <w:rFonts w:eastAsiaTheme="minorEastAsia"/>
        </w:rPr>
        <w:t>projects</w:t>
      </w:r>
      <w:proofErr w:type="spellEnd"/>
      <w:r w:rsidRPr="002A0D4F">
        <w:rPr>
          <w:rFonts w:eastAsiaTheme="minorEastAsia"/>
        </w:rPr>
        <w:t>)</w:t>
      </w:r>
    </w:p>
    <w:p w14:paraId="32F1627A" w14:textId="77777777" w:rsidR="00A14B9B" w:rsidRPr="002A0D4F" w:rsidRDefault="00A14B9B" w:rsidP="00025BCE">
      <w:pPr>
        <w:pStyle w:val="UZEIOdrky"/>
        <w:numPr>
          <w:ilvl w:val="1"/>
          <w:numId w:val="2"/>
        </w:numPr>
        <w:rPr>
          <w:rFonts w:eastAsiaTheme="minorEastAsia"/>
        </w:rPr>
      </w:pPr>
      <w:r w:rsidRPr="002A0D4F">
        <w:rPr>
          <w:rFonts w:eastAsiaTheme="minorEastAsia"/>
        </w:rPr>
        <w:t>Vzdálenějším indikátorem je v současném PRV kontextový indikátor C 22 a výsledkový indikátor R21 a R24 (R24 se vztahuje čistě k </w:t>
      </w:r>
      <w:proofErr w:type="spellStart"/>
      <w:r w:rsidRPr="002A0D4F">
        <w:rPr>
          <w:rFonts w:eastAsiaTheme="minorEastAsia"/>
        </w:rPr>
        <w:t>LEADERu</w:t>
      </w:r>
      <w:proofErr w:type="spellEnd"/>
      <w:r w:rsidRPr="002A0D4F">
        <w:rPr>
          <w:rFonts w:eastAsiaTheme="minorEastAsia"/>
        </w:rPr>
        <w:t>).</w:t>
      </w:r>
    </w:p>
    <w:p w14:paraId="715BC2D3" w14:textId="77777777" w:rsidR="00A14B9B" w:rsidRPr="002A0D4F" w:rsidRDefault="00A14B9B" w:rsidP="00025BCE">
      <w:pPr>
        <w:pStyle w:val="UZEIOdrky"/>
        <w:rPr>
          <w:rFonts w:eastAsiaTheme="minorEastAsia"/>
        </w:rPr>
      </w:pPr>
      <w:r w:rsidRPr="002A0D4F">
        <w:rPr>
          <w:rFonts w:eastAsiaTheme="minorEastAsia"/>
          <w:u w:val="single"/>
        </w:rPr>
        <w:t>R.32 Rozvoj biohospodářství na venkově:</w:t>
      </w:r>
      <w:r w:rsidRPr="002A0D4F">
        <w:rPr>
          <w:rFonts w:eastAsiaTheme="minorEastAsia"/>
        </w:rPr>
        <w:t xml:space="preserve"> počet </w:t>
      </w:r>
      <w:proofErr w:type="spellStart"/>
      <w:r w:rsidRPr="002A0D4F">
        <w:rPr>
          <w:rFonts w:eastAsiaTheme="minorEastAsia"/>
        </w:rPr>
        <w:t>biohospodářských</w:t>
      </w:r>
      <w:proofErr w:type="spellEnd"/>
      <w:r w:rsidRPr="002A0D4F">
        <w:rPr>
          <w:rFonts w:eastAsiaTheme="minorEastAsia"/>
        </w:rPr>
        <w:t xml:space="preserve"> podniků vytvořených s využitím podpory (</w:t>
      </w:r>
      <w:proofErr w:type="spellStart"/>
      <w:r w:rsidRPr="002A0D4F">
        <w:rPr>
          <w:rFonts w:eastAsiaTheme="minorEastAsia"/>
        </w:rPr>
        <w:t>Developing</w:t>
      </w:r>
      <w:proofErr w:type="spellEnd"/>
      <w:r w:rsidRPr="002A0D4F">
        <w:rPr>
          <w:rFonts w:eastAsiaTheme="minorEastAsia"/>
        </w:rPr>
        <w:t xml:space="preserve"> </w:t>
      </w:r>
      <w:proofErr w:type="spellStart"/>
      <w:r w:rsidRPr="002A0D4F">
        <w:rPr>
          <w:rFonts w:eastAsiaTheme="minorEastAsia"/>
        </w:rPr>
        <w:t>the</w:t>
      </w:r>
      <w:proofErr w:type="spellEnd"/>
      <w:r w:rsidRPr="002A0D4F">
        <w:rPr>
          <w:rFonts w:eastAsiaTheme="minorEastAsia"/>
        </w:rPr>
        <w:t xml:space="preserve"> </w:t>
      </w:r>
      <w:proofErr w:type="spellStart"/>
      <w:r w:rsidRPr="002A0D4F">
        <w:rPr>
          <w:rFonts w:eastAsiaTheme="minorEastAsia"/>
        </w:rPr>
        <w:t>rural</w:t>
      </w:r>
      <w:proofErr w:type="spellEnd"/>
      <w:r w:rsidRPr="002A0D4F">
        <w:rPr>
          <w:rFonts w:eastAsiaTheme="minorEastAsia"/>
        </w:rPr>
        <w:t xml:space="preserve"> </w:t>
      </w:r>
      <w:proofErr w:type="spellStart"/>
      <w:r w:rsidRPr="002A0D4F">
        <w:rPr>
          <w:rFonts w:eastAsiaTheme="minorEastAsia"/>
        </w:rPr>
        <w:t>bioeconomy</w:t>
      </w:r>
      <w:proofErr w:type="spellEnd"/>
      <w:r w:rsidRPr="002A0D4F">
        <w:rPr>
          <w:rFonts w:eastAsiaTheme="minorEastAsia"/>
        </w:rPr>
        <w:t xml:space="preserve">: </w:t>
      </w:r>
      <w:proofErr w:type="spellStart"/>
      <w:r w:rsidRPr="002A0D4F">
        <w:rPr>
          <w:rFonts w:eastAsiaTheme="minorEastAsia"/>
        </w:rPr>
        <w:t>Number</w:t>
      </w:r>
      <w:proofErr w:type="spellEnd"/>
      <w:r w:rsidRPr="002A0D4F">
        <w:rPr>
          <w:rFonts w:eastAsiaTheme="minorEastAsia"/>
        </w:rPr>
        <w:t xml:space="preserve"> </w:t>
      </w:r>
      <w:proofErr w:type="spellStart"/>
      <w:r w:rsidRPr="002A0D4F">
        <w:rPr>
          <w:rFonts w:eastAsiaTheme="minorEastAsia"/>
        </w:rPr>
        <w:t>of</w:t>
      </w:r>
      <w:proofErr w:type="spellEnd"/>
      <w:r w:rsidRPr="002A0D4F">
        <w:rPr>
          <w:rFonts w:eastAsiaTheme="minorEastAsia"/>
        </w:rPr>
        <w:t xml:space="preserve"> </w:t>
      </w:r>
      <w:proofErr w:type="spellStart"/>
      <w:r w:rsidRPr="002A0D4F">
        <w:rPr>
          <w:rFonts w:eastAsiaTheme="minorEastAsia"/>
        </w:rPr>
        <w:t>bioeconomy</w:t>
      </w:r>
      <w:proofErr w:type="spellEnd"/>
      <w:r w:rsidRPr="002A0D4F">
        <w:rPr>
          <w:rFonts w:eastAsiaTheme="minorEastAsia"/>
        </w:rPr>
        <w:t xml:space="preserve"> </w:t>
      </w:r>
      <w:proofErr w:type="spellStart"/>
      <w:r w:rsidRPr="002A0D4F">
        <w:rPr>
          <w:rFonts w:eastAsiaTheme="minorEastAsia"/>
        </w:rPr>
        <w:t>businesses</w:t>
      </w:r>
      <w:proofErr w:type="spellEnd"/>
      <w:r w:rsidRPr="002A0D4F">
        <w:rPr>
          <w:rFonts w:eastAsiaTheme="minorEastAsia"/>
        </w:rPr>
        <w:t xml:space="preserve"> </w:t>
      </w:r>
      <w:proofErr w:type="spellStart"/>
      <w:r w:rsidRPr="002A0D4F">
        <w:rPr>
          <w:rFonts w:eastAsiaTheme="minorEastAsia"/>
        </w:rPr>
        <w:t>developed</w:t>
      </w:r>
      <w:proofErr w:type="spellEnd"/>
      <w:r w:rsidRPr="002A0D4F">
        <w:rPr>
          <w:rFonts w:eastAsiaTheme="minorEastAsia"/>
        </w:rPr>
        <w:t xml:space="preserve"> </w:t>
      </w:r>
      <w:proofErr w:type="spellStart"/>
      <w:r w:rsidRPr="002A0D4F">
        <w:rPr>
          <w:rFonts w:eastAsiaTheme="minorEastAsia"/>
        </w:rPr>
        <w:t>with</w:t>
      </w:r>
      <w:proofErr w:type="spellEnd"/>
      <w:r w:rsidRPr="002A0D4F">
        <w:rPr>
          <w:rFonts w:eastAsiaTheme="minorEastAsia"/>
        </w:rPr>
        <w:t xml:space="preserve"> support)</w:t>
      </w:r>
    </w:p>
    <w:p w14:paraId="684E170E" w14:textId="77777777" w:rsidR="00A14B9B" w:rsidRPr="002A0D4F" w:rsidRDefault="00A14B9B" w:rsidP="00025BCE">
      <w:pPr>
        <w:pStyle w:val="UZEIOdrky"/>
        <w:numPr>
          <w:ilvl w:val="1"/>
          <w:numId w:val="2"/>
        </w:numPr>
        <w:rPr>
          <w:rFonts w:eastAsiaTheme="minorEastAsia"/>
        </w:rPr>
      </w:pPr>
      <w:r w:rsidRPr="002A0D4F">
        <w:rPr>
          <w:rFonts w:eastAsiaTheme="minorEastAsia"/>
        </w:rPr>
        <w:t>Na základě definice biohospodářství</w:t>
      </w:r>
      <w:r w:rsidRPr="002A0D4F">
        <w:rPr>
          <w:rStyle w:val="Znakapoznpodarou"/>
          <w:rFonts w:eastAsiaTheme="minorEastAsia"/>
        </w:rPr>
        <w:footnoteReference w:id="2"/>
      </w:r>
      <w:r w:rsidRPr="002A0D4F">
        <w:rPr>
          <w:rFonts w:eastAsiaTheme="minorEastAsia"/>
        </w:rPr>
        <w:t xml:space="preserve"> podle EU lze usuzovat, že by mohl ukazateli částečně odpovídat současný kontextový indikátor C43 a výsledkový indikátor R15</w:t>
      </w:r>
    </w:p>
    <w:p w14:paraId="16D75E69" w14:textId="77777777" w:rsidR="00A14B9B" w:rsidRPr="002A0D4F" w:rsidRDefault="00A14B9B" w:rsidP="00025BCE">
      <w:pPr>
        <w:pStyle w:val="UZEIOdrky"/>
        <w:rPr>
          <w:rFonts w:eastAsiaTheme="minorEastAsia"/>
        </w:rPr>
      </w:pPr>
      <w:r w:rsidRPr="002A0D4F">
        <w:rPr>
          <w:rFonts w:eastAsiaTheme="minorEastAsia"/>
          <w:u w:val="single"/>
        </w:rPr>
        <w:t>R.33 Digitalizace hospodaření venkova:</w:t>
      </w:r>
      <w:r w:rsidRPr="002A0D4F">
        <w:rPr>
          <w:rFonts w:eastAsiaTheme="minorEastAsia"/>
        </w:rPr>
        <w:t xml:space="preserve"> „Venkovské obyvatelstvo, na které se vztahuje podporovaná strategie inteligentních vesnic“ (</w:t>
      </w:r>
      <w:proofErr w:type="spellStart"/>
      <w:r w:rsidRPr="002A0D4F">
        <w:rPr>
          <w:rFonts w:eastAsiaTheme="minorEastAsia"/>
        </w:rPr>
        <w:t>Digitising</w:t>
      </w:r>
      <w:proofErr w:type="spellEnd"/>
      <w:r w:rsidRPr="002A0D4F">
        <w:rPr>
          <w:rFonts w:eastAsiaTheme="minorEastAsia"/>
        </w:rPr>
        <w:t xml:space="preserve"> </w:t>
      </w:r>
      <w:proofErr w:type="spellStart"/>
      <w:r w:rsidRPr="002A0D4F">
        <w:rPr>
          <w:rFonts w:eastAsiaTheme="minorEastAsia"/>
        </w:rPr>
        <w:t>the</w:t>
      </w:r>
      <w:proofErr w:type="spellEnd"/>
      <w:r w:rsidRPr="002A0D4F">
        <w:rPr>
          <w:rFonts w:eastAsiaTheme="minorEastAsia"/>
        </w:rPr>
        <w:t xml:space="preserve"> </w:t>
      </w:r>
      <w:proofErr w:type="spellStart"/>
      <w:r w:rsidRPr="002A0D4F">
        <w:rPr>
          <w:rFonts w:eastAsiaTheme="minorEastAsia"/>
        </w:rPr>
        <w:t>rural</w:t>
      </w:r>
      <w:proofErr w:type="spellEnd"/>
      <w:r w:rsidRPr="002A0D4F">
        <w:rPr>
          <w:rFonts w:eastAsiaTheme="minorEastAsia"/>
        </w:rPr>
        <w:t xml:space="preserve"> </w:t>
      </w:r>
      <w:proofErr w:type="spellStart"/>
      <w:r w:rsidRPr="002A0D4F">
        <w:rPr>
          <w:rFonts w:eastAsiaTheme="minorEastAsia"/>
        </w:rPr>
        <w:t>economy</w:t>
      </w:r>
      <w:proofErr w:type="spellEnd"/>
      <w:r w:rsidRPr="002A0D4F">
        <w:rPr>
          <w:rFonts w:eastAsiaTheme="minorEastAsia"/>
        </w:rPr>
        <w:t>: „</w:t>
      </w:r>
      <w:proofErr w:type="spellStart"/>
      <w:r w:rsidRPr="002A0D4F">
        <w:rPr>
          <w:rFonts w:eastAsiaTheme="minorEastAsia"/>
        </w:rPr>
        <w:t>rural</w:t>
      </w:r>
      <w:proofErr w:type="spellEnd"/>
      <w:r w:rsidRPr="002A0D4F">
        <w:rPr>
          <w:rFonts w:eastAsiaTheme="minorEastAsia"/>
        </w:rPr>
        <w:t xml:space="preserve"> </w:t>
      </w:r>
      <w:proofErr w:type="spellStart"/>
      <w:r w:rsidRPr="002A0D4F">
        <w:rPr>
          <w:rFonts w:eastAsiaTheme="minorEastAsia"/>
        </w:rPr>
        <w:t>population</w:t>
      </w:r>
      <w:proofErr w:type="spellEnd"/>
      <w:r w:rsidRPr="002A0D4F">
        <w:rPr>
          <w:rFonts w:eastAsiaTheme="minorEastAsia"/>
        </w:rPr>
        <w:t xml:space="preserve"> </w:t>
      </w:r>
      <w:proofErr w:type="spellStart"/>
      <w:r w:rsidRPr="002A0D4F">
        <w:rPr>
          <w:rFonts w:eastAsiaTheme="minorEastAsia"/>
        </w:rPr>
        <w:t>covered</w:t>
      </w:r>
      <w:proofErr w:type="spellEnd"/>
      <w:r w:rsidRPr="002A0D4F">
        <w:rPr>
          <w:rFonts w:eastAsiaTheme="minorEastAsia"/>
        </w:rPr>
        <w:t xml:space="preserve"> by a </w:t>
      </w:r>
      <w:proofErr w:type="spellStart"/>
      <w:r w:rsidRPr="002A0D4F">
        <w:rPr>
          <w:rFonts w:eastAsiaTheme="minorEastAsia"/>
        </w:rPr>
        <w:t>supported</w:t>
      </w:r>
      <w:proofErr w:type="spellEnd"/>
      <w:r w:rsidRPr="002A0D4F">
        <w:rPr>
          <w:rFonts w:eastAsiaTheme="minorEastAsia"/>
        </w:rPr>
        <w:t xml:space="preserve"> Smart </w:t>
      </w:r>
      <w:proofErr w:type="spellStart"/>
      <w:r w:rsidRPr="002A0D4F">
        <w:rPr>
          <w:rFonts w:eastAsiaTheme="minorEastAsia"/>
        </w:rPr>
        <w:t>Villages</w:t>
      </w:r>
      <w:proofErr w:type="spellEnd"/>
      <w:r w:rsidRPr="002A0D4F">
        <w:rPr>
          <w:rFonts w:eastAsiaTheme="minorEastAsia"/>
        </w:rPr>
        <w:t xml:space="preserve"> </w:t>
      </w:r>
      <w:proofErr w:type="spellStart"/>
      <w:r w:rsidRPr="002A0D4F">
        <w:rPr>
          <w:rFonts w:eastAsiaTheme="minorEastAsia"/>
        </w:rPr>
        <w:t>strategy</w:t>
      </w:r>
      <w:proofErr w:type="spellEnd"/>
      <w:r w:rsidRPr="002A0D4F">
        <w:rPr>
          <w:rFonts w:eastAsiaTheme="minorEastAsia"/>
        </w:rPr>
        <w:t>“)</w:t>
      </w:r>
    </w:p>
    <w:p w14:paraId="5F4DB251" w14:textId="77777777" w:rsidR="00A14B9B" w:rsidRPr="002A0D4F" w:rsidRDefault="00A14B9B" w:rsidP="00025BCE">
      <w:pPr>
        <w:pStyle w:val="UZEIOdrky"/>
        <w:numPr>
          <w:ilvl w:val="1"/>
          <w:numId w:val="2"/>
        </w:numPr>
        <w:rPr>
          <w:rFonts w:eastAsiaTheme="minorEastAsia"/>
        </w:rPr>
      </w:pPr>
      <w:r w:rsidRPr="002A0D4F">
        <w:rPr>
          <w:rFonts w:eastAsiaTheme="minorEastAsia"/>
        </w:rPr>
        <w:t>Vzdálenějším indikátorem je v současném PRV výsledkový indikátor R.22 a R.25</w:t>
      </w:r>
    </w:p>
    <w:p w14:paraId="42BEB4E7" w14:textId="77777777" w:rsidR="00A14B9B" w:rsidRPr="002A0D4F" w:rsidRDefault="00A14B9B" w:rsidP="00025BCE">
      <w:pPr>
        <w:pStyle w:val="UZEIOdrky"/>
        <w:rPr>
          <w:rFonts w:eastAsiaTheme="minorEastAsia"/>
        </w:rPr>
      </w:pPr>
      <w:r w:rsidRPr="002A0D4F">
        <w:rPr>
          <w:rFonts w:eastAsiaTheme="minorEastAsia"/>
          <w:u w:val="single"/>
        </w:rPr>
        <w:t>R.34 Propojení evropského venkova</w:t>
      </w:r>
      <w:r w:rsidRPr="002A0D4F">
        <w:rPr>
          <w:rFonts w:eastAsiaTheme="minorEastAsia"/>
        </w:rPr>
        <w:t xml:space="preserve"> – „podíl venkovského obyvatelstva, které využívá výhod lepšího přístupu ke službám a infrastruktuře prostřednictvím podpory poskytované v rámci SZP“ (</w:t>
      </w:r>
      <w:proofErr w:type="spellStart"/>
      <w:r w:rsidRPr="002A0D4F">
        <w:rPr>
          <w:rFonts w:eastAsiaTheme="minorEastAsia"/>
        </w:rPr>
        <w:t>Connecting</w:t>
      </w:r>
      <w:proofErr w:type="spellEnd"/>
      <w:r w:rsidRPr="002A0D4F">
        <w:rPr>
          <w:rFonts w:eastAsiaTheme="minorEastAsia"/>
        </w:rPr>
        <w:t xml:space="preserve"> </w:t>
      </w:r>
      <w:proofErr w:type="spellStart"/>
      <w:r w:rsidRPr="002A0D4F">
        <w:rPr>
          <w:rFonts w:eastAsiaTheme="minorEastAsia"/>
        </w:rPr>
        <w:t>rural</w:t>
      </w:r>
      <w:proofErr w:type="spellEnd"/>
      <w:r w:rsidRPr="002A0D4F">
        <w:rPr>
          <w:rFonts w:eastAsiaTheme="minorEastAsia"/>
        </w:rPr>
        <w:t xml:space="preserve"> </w:t>
      </w:r>
      <w:proofErr w:type="spellStart"/>
      <w:r w:rsidRPr="002A0D4F">
        <w:rPr>
          <w:rFonts w:eastAsiaTheme="minorEastAsia"/>
        </w:rPr>
        <w:t>Europe</w:t>
      </w:r>
      <w:proofErr w:type="spellEnd"/>
      <w:r w:rsidRPr="002A0D4F">
        <w:rPr>
          <w:rFonts w:eastAsiaTheme="minorEastAsia"/>
        </w:rPr>
        <w:t>: „</w:t>
      </w:r>
      <w:proofErr w:type="spellStart"/>
      <w:r w:rsidRPr="002A0D4F">
        <w:rPr>
          <w:rFonts w:eastAsiaTheme="minorEastAsia"/>
        </w:rPr>
        <w:t>share</w:t>
      </w:r>
      <w:proofErr w:type="spellEnd"/>
      <w:r w:rsidRPr="002A0D4F">
        <w:rPr>
          <w:rFonts w:eastAsiaTheme="minorEastAsia"/>
        </w:rPr>
        <w:t xml:space="preserve"> </w:t>
      </w:r>
      <w:proofErr w:type="spellStart"/>
      <w:r w:rsidRPr="002A0D4F">
        <w:rPr>
          <w:rFonts w:eastAsiaTheme="minorEastAsia"/>
        </w:rPr>
        <w:t>of</w:t>
      </w:r>
      <w:proofErr w:type="spellEnd"/>
      <w:r w:rsidRPr="002A0D4F">
        <w:rPr>
          <w:rFonts w:eastAsiaTheme="minorEastAsia"/>
        </w:rPr>
        <w:t xml:space="preserve"> </w:t>
      </w:r>
      <w:proofErr w:type="spellStart"/>
      <w:r w:rsidRPr="002A0D4F">
        <w:rPr>
          <w:rFonts w:eastAsiaTheme="minorEastAsia"/>
        </w:rPr>
        <w:t>rural</w:t>
      </w:r>
      <w:proofErr w:type="spellEnd"/>
      <w:r w:rsidRPr="002A0D4F">
        <w:rPr>
          <w:rFonts w:eastAsiaTheme="minorEastAsia"/>
        </w:rPr>
        <w:t xml:space="preserve"> </w:t>
      </w:r>
      <w:proofErr w:type="spellStart"/>
      <w:r w:rsidRPr="002A0D4F">
        <w:rPr>
          <w:rFonts w:eastAsiaTheme="minorEastAsia"/>
        </w:rPr>
        <w:t>population</w:t>
      </w:r>
      <w:proofErr w:type="spellEnd"/>
      <w:r w:rsidRPr="002A0D4F">
        <w:rPr>
          <w:rFonts w:eastAsiaTheme="minorEastAsia"/>
        </w:rPr>
        <w:t xml:space="preserve"> </w:t>
      </w:r>
      <w:proofErr w:type="spellStart"/>
      <w:r w:rsidRPr="002A0D4F">
        <w:rPr>
          <w:rFonts w:eastAsiaTheme="minorEastAsia"/>
        </w:rPr>
        <w:t>benefitting</w:t>
      </w:r>
      <w:proofErr w:type="spellEnd"/>
      <w:r w:rsidRPr="002A0D4F">
        <w:rPr>
          <w:rFonts w:eastAsiaTheme="minorEastAsia"/>
        </w:rPr>
        <w:t xml:space="preserve"> </w:t>
      </w:r>
      <w:proofErr w:type="spellStart"/>
      <w:r w:rsidRPr="002A0D4F">
        <w:rPr>
          <w:rFonts w:eastAsiaTheme="minorEastAsia"/>
        </w:rPr>
        <w:t>from</w:t>
      </w:r>
      <w:proofErr w:type="spellEnd"/>
      <w:r w:rsidRPr="002A0D4F">
        <w:rPr>
          <w:rFonts w:eastAsiaTheme="minorEastAsia"/>
        </w:rPr>
        <w:t xml:space="preserve"> </w:t>
      </w:r>
      <w:proofErr w:type="spellStart"/>
      <w:r w:rsidRPr="002A0D4F">
        <w:rPr>
          <w:rFonts w:eastAsiaTheme="minorEastAsia"/>
        </w:rPr>
        <w:t>improved</w:t>
      </w:r>
      <w:proofErr w:type="spellEnd"/>
      <w:r w:rsidRPr="002A0D4F">
        <w:rPr>
          <w:rFonts w:eastAsiaTheme="minorEastAsia"/>
        </w:rPr>
        <w:t xml:space="preserve"> </w:t>
      </w:r>
      <w:proofErr w:type="spellStart"/>
      <w:r w:rsidRPr="002A0D4F">
        <w:rPr>
          <w:rFonts w:eastAsiaTheme="minorEastAsia"/>
        </w:rPr>
        <w:t>access</w:t>
      </w:r>
      <w:proofErr w:type="spellEnd"/>
      <w:r w:rsidRPr="002A0D4F">
        <w:rPr>
          <w:rFonts w:eastAsiaTheme="minorEastAsia"/>
        </w:rPr>
        <w:t xml:space="preserve"> to </w:t>
      </w:r>
      <w:proofErr w:type="spellStart"/>
      <w:r w:rsidRPr="002A0D4F">
        <w:rPr>
          <w:rFonts w:eastAsiaTheme="minorEastAsia"/>
        </w:rPr>
        <w:t>services</w:t>
      </w:r>
      <w:proofErr w:type="spellEnd"/>
      <w:r w:rsidRPr="002A0D4F">
        <w:rPr>
          <w:rFonts w:eastAsiaTheme="minorEastAsia"/>
        </w:rPr>
        <w:t xml:space="preserve"> and </w:t>
      </w:r>
      <w:proofErr w:type="spellStart"/>
      <w:r w:rsidRPr="002A0D4F">
        <w:rPr>
          <w:rFonts w:eastAsiaTheme="minorEastAsia"/>
        </w:rPr>
        <w:t>infrastructure</w:t>
      </w:r>
      <w:proofErr w:type="spellEnd"/>
      <w:r w:rsidRPr="002A0D4F">
        <w:rPr>
          <w:rFonts w:eastAsiaTheme="minorEastAsia"/>
        </w:rPr>
        <w:t xml:space="preserve"> </w:t>
      </w:r>
      <w:proofErr w:type="spellStart"/>
      <w:r w:rsidRPr="002A0D4F">
        <w:rPr>
          <w:rFonts w:eastAsiaTheme="minorEastAsia"/>
        </w:rPr>
        <w:t>through</w:t>
      </w:r>
      <w:proofErr w:type="spellEnd"/>
      <w:r w:rsidRPr="002A0D4F">
        <w:rPr>
          <w:rFonts w:eastAsiaTheme="minorEastAsia"/>
        </w:rPr>
        <w:t xml:space="preserve"> CAP support“)</w:t>
      </w:r>
    </w:p>
    <w:p w14:paraId="292ED5D7" w14:textId="77777777" w:rsidR="00A14B9B" w:rsidRPr="002A0D4F" w:rsidRDefault="00A14B9B" w:rsidP="00025BCE">
      <w:pPr>
        <w:pStyle w:val="UZEIOdrky"/>
        <w:numPr>
          <w:ilvl w:val="1"/>
          <w:numId w:val="2"/>
        </w:numPr>
        <w:rPr>
          <w:rFonts w:eastAsiaTheme="minorEastAsia"/>
        </w:rPr>
      </w:pPr>
      <w:r w:rsidRPr="002A0D4F">
        <w:rPr>
          <w:rFonts w:eastAsiaTheme="minorEastAsia"/>
        </w:rPr>
        <w:t>Stejným indikátorem je v současném PRV výsledkový indikátor R25</w:t>
      </w:r>
    </w:p>
    <w:p w14:paraId="04CE5D5E" w14:textId="77777777" w:rsidR="00A14B9B" w:rsidRPr="002A0D4F" w:rsidRDefault="00A14B9B" w:rsidP="00025BCE">
      <w:pPr>
        <w:pStyle w:val="UZEIOdrky"/>
        <w:rPr>
          <w:rFonts w:eastAsiaTheme="minorEastAsia"/>
        </w:rPr>
      </w:pPr>
      <w:r w:rsidRPr="002A0D4F">
        <w:rPr>
          <w:rFonts w:eastAsiaTheme="minorEastAsia"/>
          <w:u w:val="single"/>
        </w:rPr>
        <w:t>R.35 Podpora sociálního začleňování:</w:t>
      </w:r>
      <w:r w:rsidRPr="002A0D4F">
        <w:rPr>
          <w:rFonts w:eastAsiaTheme="minorEastAsia"/>
        </w:rPr>
        <w:t xml:space="preserve"> počet osob z menšinových nebo ohrožených skupin, které využívají výhod podporovaných projektů sociálního začleňování </w:t>
      </w:r>
      <w:r w:rsidRPr="002A0D4F">
        <w:rPr>
          <w:rFonts w:eastAsiaTheme="minorEastAsia"/>
        </w:rPr>
        <w:lastRenderedPageBreak/>
        <w:t>(</w:t>
      </w:r>
      <w:proofErr w:type="spellStart"/>
      <w:r w:rsidRPr="002A0D4F">
        <w:rPr>
          <w:rFonts w:eastAsiaTheme="minorEastAsia"/>
        </w:rPr>
        <w:t>Promoting</w:t>
      </w:r>
      <w:proofErr w:type="spellEnd"/>
      <w:r w:rsidRPr="002A0D4F">
        <w:rPr>
          <w:rFonts w:eastAsiaTheme="minorEastAsia"/>
        </w:rPr>
        <w:t xml:space="preserve"> </w:t>
      </w:r>
      <w:proofErr w:type="spellStart"/>
      <w:r w:rsidRPr="002A0D4F">
        <w:rPr>
          <w:rFonts w:eastAsiaTheme="minorEastAsia"/>
        </w:rPr>
        <w:t>social</w:t>
      </w:r>
      <w:proofErr w:type="spellEnd"/>
      <w:r w:rsidRPr="002A0D4F">
        <w:rPr>
          <w:rFonts w:eastAsiaTheme="minorEastAsia"/>
        </w:rPr>
        <w:t xml:space="preserve"> </w:t>
      </w:r>
      <w:proofErr w:type="spellStart"/>
      <w:r w:rsidRPr="002A0D4F">
        <w:rPr>
          <w:rFonts w:eastAsiaTheme="minorEastAsia"/>
        </w:rPr>
        <w:t>inclusion</w:t>
      </w:r>
      <w:proofErr w:type="spellEnd"/>
      <w:r w:rsidRPr="002A0D4F">
        <w:rPr>
          <w:rFonts w:eastAsiaTheme="minorEastAsia"/>
        </w:rPr>
        <w:t xml:space="preserve">: </w:t>
      </w:r>
      <w:proofErr w:type="spellStart"/>
      <w:r w:rsidRPr="002A0D4F">
        <w:rPr>
          <w:rFonts w:eastAsiaTheme="minorEastAsia"/>
        </w:rPr>
        <w:t>Number</w:t>
      </w:r>
      <w:proofErr w:type="spellEnd"/>
      <w:r w:rsidRPr="002A0D4F">
        <w:rPr>
          <w:rFonts w:eastAsiaTheme="minorEastAsia"/>
        </w:rPr>
        <w:t xml:space="preserve"> </w:t>
      </w:r>
      <w:proofErr w:type="spellStart"/>
      <w:r w:rsidRPr="002A0D4F">
        <w:rPr>
          <w:rFonts w:eastAsiaTheme="minorEastAsia"/>
        </w:rPr>
        <w:t>of</w:t>
      </w:r>
      <w:proofErr w:type="spellEnd"/>
      <w:r w:rsidRPr="002A0D4F">
        <w:rPr>
          <w:rFonts w:eastAsiaTheme="minorEastAsia"/>
        </w:rPr>
        <w:t xml:space="preserve"> </w:t>
      </w:r>
      <w:proofErr w:type="spellStart"/>
      <w:r w:rsidRPr="002A0D4F">
        <w:rPr>
          <w:rFonts w:eastAsiaTheme="minorEastAsia"/>
        </w:rPr>
        <w:t>people</w:t>
      </w:r>
      <w:proofErr w:type="spellEnd"/>
      <w:r w:rsidRPr="002A0D4F">
        <w:rPr>
          <w:rFonts w:eastAsiaTheme="minorEastAsia"/>
        </w:rPr>
        <w:t xml:space="preserve"> </w:t>
      </w:r>
      <w:proofErr w:type="spellStart"/>
      <w:r w:rsidRPr="002A0D4F">
        <w:rPr>
          <w:rFonts w:eastAsiaTheme="minorEastAsia"/>
        </w:rPr>
        <w:t>from</w:t>
      </w:r>
      <w:proofErr w:type="spellEnd"/>
      <w:r w:rsidRPr="002A0D4F">
        <w:rPr>
          <w:rFonts w:eastAsiaTheme="minorEastAsia"/>
        </w:rPr>
        <w:t xml:space="preserve"> minority and/</w:t>
      </w:r>
      <w:proofErr w:type="spellStart"/>
      <w:r w:rsidRPr="002A0D4F">
        <w:rPr>
          <w:rFonts w:eastAsiaTheme="minorEastAsia"/>
        </w:rPr>
        <w:t>or</w:t>
      </w:r>
      <w:proofErr w:type="spellEnd"/>
      <w:r w:rsidRPr="002A0D4F">
        <w:rPr>
          <w:rFonts w:eastAsiaTheme="minorEastAsia"/>
        </w:rPr>
        <w:t xml:space="preserve"> </w:t>
      </w:r>
      <w:proofErr w:type="spellStart"/>
      <w:r w:rsidRPr="002A0D4F">
        <w:rPr>
          <w:rFonts w:eastAsiaTheme="minorEastAsia"/>
        </w:rPr>
        <w:t>vulnerable</w:t>
      </w:r>
      <w:proofErr w:type="spellEnd"/>
      <w:r w:rsidRPr="002A0D4F">
        <w:rPr>
          <w:rFonts w:eastAsiaTheme="minorEastAsia"/>
        </w:rPr>
        <w:t xml:space="preserve"> </w:t>
      </w:r>
      <w:proofErr w:type="spellStart"/>
      <w:r w:rsidRPr="002A0D4F">
        <w:rPr>
          <w:rFonts w:eastAsiaTheme="minorEastAsia"/>
        </w:rPr>
        <w:t>groups</w:t>
      </w:r>
      <w:proofErr w:type="spellEnd"/>
      <w:r w:rsidRPr="002A0D4F">
        <w:rPr>
          <w:rFonts w:eastAsiaTheme="minorEastAsia"/>
        </w:rPr>
        <w:t xml:space="preserve"> </w:t>
      </w:r>
      <w:proofErr w:type="spellStart"/>
      <w:r w:rsidRPr="002A0D4F">
        <w:rPr>
          <w:rFonts w:eastAsiaTheme="minorEastAsia"/>
        </w:rPr>
        <w:t>benefitting</w:t>
      </w:r>
      <w:proofErr w:type="spellEnd"/>
      <w:r w:rsidRPr="002A0D4F">
        <w:rPr>
          <w:rFonts w:eastAsiaTheme="minorEastAsia"/>
        </w:rPr>
        <w:t xml:space="preserve"> </w:t>
      </w:r>
      <w:proofErr w:type="spellStart"/>
      <w:r w:rsidRPr="002A0D4F">
        <w:rPr>
          <w:rFonts w:eastAsiaTheme="minorEastAsia"/>
        </w:rPr>
        <w:t>from</w:t>
      </w:r>
      <w:proofErr w:type="spellEnd"/>
      <w:r w:rsidRPr="002A0D4F">
        <w:rPr>
          <w:rFonts w:eastAsiaTheme="minorEastAsia"/>
        </w:rPr>
        <w:t xml:space="preserve"> </w:t>
      </w:r>
      <w:proofErr w:type="spellStart"/>
      <w:r w:rsidRPr="002A0D4F">
        <w:rPr>
          <w:rFonts w:eastAsiaTheme="minorEastAsia"/>
        </w:rPr>
        <w:t>supported</w:t>
      </w:r>
      <w:proofErr w:type="spellEnd"/>
      <w:r w:rsidRPr="002A0D4F">
        <w:rPr>
          <w:rFonts w:eastAsiaTheme="minorEastAsia"/>
        </w:rPr>
        <w:t xml:space="preserve"> </w:t>
      </w:r>
      <w:proofErr w:type="spellStart"/>
      <w:r w:rsidRPr="002A0D4F">
        <w:rPr>
          <w:rFonts w:eastAsiaTheme="minorEastAsia"/>
        </w:rPr>
        <w:t>social</w:t>
      </w:r>
      <w:proofErr w:type="spellEnd"/>
      <w:r w:rsidRPr="002A0D4F">
        <w:rPr>
          <w:rFonts w:eastAsiaTheme="minorEastAsia"/>
        </w:rPr>
        <w:t xml:space="preserve"> </w:t>
      </w:r>
      <w:proofErr w:type="spellStart"/>
      <w:r w:rsidRPr="002A0D4F">
        <w:rPr>
          <w:rFonts w:eastAsiaTheme="minorEastAsia"/>
        </w:rPr>
        <w:t>inclusion</w:t>
      </w:r>
      <w:proofErr w:type="spellEnd"/>
      <w:r w:rsidRPr="002A0D4F">
        <w:rPr>
          <w:rFonts w:eastAsiaTheme="minorEastAsia"/>
        </w:rPr>
        <w:t xml:space="preserve"> </w:t>
      </w:r>
      <w:proofErr w:type="spellStart"/>
      <w:r w:rsidRPr="002A0D4F">
        <w:rPr>
          <w:rFonts w:eastAsiaTheme="minorEastAsia"/>
        </w:rPr>
        <w:t>projects</w:t>
      </w:r>
      <w:proofErr w:type="spellEnd"/>
      <w:r w:rsidRPr="002A0D4F">
        <w:rPr>
          <w:rFonts w:eastAsiaTheme="minorEastAsia"/>
        </w:rPr>
        <w:t>)</w:t>
      </w:r>
    </w:p>
    <w:p w14:paraId="7BE0A4D4" w14:textId="77777777" w:rsidR="00A14B9B" w:rsidRPr="002A0D4F" w:rsidRDefault="00A14B9B" w:rsidP="00025BCE">
      <w:pPr>
        <w:pStyle w:val="UZEIOdrky"/>
        <w:numPr>
          <w:ilvl w:val="1"/>
          <w:numId w:val="2"/>
        </w:numPr>
        <w:rPr>
          <w:rFonts w:eastAsiaTheme="minorEastAsia"/>
        </w:rPr>
      </w:pPr>
      <w:r w:rsidRPr="002A0D4F">
        <w:rPr>
          <w:rFonts w:eastAsiaTheme="minorEastAsia"/>
        </w:rPr>
        <w:t>Nemá přibližný ekvivalent mezi současnými indikátory.</w:t>
      </w:r>
    </w:p>
    <w:p w14:paraId="7420565E" w14:textId="77777777" w:rsidR="00A14B9B" w:rsidRPr="00025BCE" w:rsidRDefault="00A14B9B" w:rsidP="00025BCE">
      <w:pPr>
        <w:pStyle w:val="UZEINormaln"/>
        <w:rPr>
          <w:rFonts w:eastAsiaTheme="minorEastAsia"/>
          <w:b/>
          <w:bCs/>
        </w:rPr>
      </w:pPr>
      <w:r w:rsidRPr="00025BCE">
        <w:rPr>
          <w:rFonts w:eastAsiaTheme="minorEastAsia"/>
          <w:b/>
          <w:bCs/>
        </w:rPr>
        <w:t>Výstupové indikátory:</w:t>
      </w:r>
    </w:p>
    <w:p w14:paraId="179E5002" w14:textId="77777777" w:rsidR="00A14B9B" w:rsidRPr="002A0D4F" w:rsidRDefault="00A14B9B" w:rsidP="00A14B9B">
      <w:pPr>
        <w:ind w:left="426" w:hanging="426"/>
        <w:contextualSpacing/>
        <w:rPr>
          <w:rFonts w:eastAsiaTheme="minorEastAsia"/>
          <w:lang w:val="cs-CZ"/>
        </w:rPr>
      </w:pPr>
      <w:r w:rsidRPr="002A0D4F">
        <w:rPr>
          <w:rFonts w:eastAsiaTheme="minorEastAsia"/>
          <w:lang w:val="cs-CZ"/>
        </w:rPr>
        <w:t>Některé z možných výstupových indikátorů:</w:t>
      </w:r>
    </w:p>
    <w:p w14:paraId="2F7019F2" w14:textId="77777777" w:rsidR="00A14B9B" w:rsidRPr="002A0D4F" w:rsidRDefault="00A14B9B" w:rsidP="00BC7B72">
      <w:pPr>
        <w:pStyle w:val="UZEIOdrky"/>
        <w:rPr>
          <w:rFonts w:eastAsiaTheme="minorEastAsia"/>
        </w:rPr>
      </w:pPr>
      <w:r w:rsidRPr="002A0D4F">
        <w:rPr>
          <w:rFonts w:eastAsiaTheme="minorEastAsia"/>
        </w:rPr>
        <w:t>O.23 Počet podnikatelů na venkově, kteří získali grant na zahájení činnosti (</w:t>
      </w:r>
      <w:proofErr w:type="spellStart"/>
      <w:r w:rsidRPr="002A0D4F">
        <w:rPr>
          <w:rFonts w:eastAsiaTheme="minorEastAsia"/>
        </w:rPr>
        <w:t>Number</w:t>
      </w:r>
      <w:proofErr w:type="spellEnd"/>
      <w:r w:rsidRPr="002A0D4F">
        <w:rPr>
          <w:rFonts w:eastAsiaTheme="minorEastAsia"/>
        </w:rPr>
        <w:t xml:space="preserve"> </w:t>
      </w:r>
      <w:proofErr w:type="spellStart"/>
      <w:r w:rsidRPr="002A0D4F">
        <w:rPr>
          <w:rFonts w:eastAsiaTheme="minorEastAsia"/>
        </w:rPr>
        <w:t>of</w:t>
      </w:r>
      <w:proofErr w:type="spellEnd"/>
      <w:r w:rsidRPr="002A0D4F">
        <w:rPr>
          <w:rFonts w:eastAsiaTheme="minorEastAsia"/>
        </w:rPr>
        <w:t xml:space="preserve"> </w:t>
      </w:r>
      <w:proofErr w:type="spellStart"/>
      <w:r w:rsidRPr="002A0D4F">
        <w:rPr>
          <w:rFonts w:eastAsiaTheme="minorEastAsia"/>
        </w:rPr>
        <w:t>rural</w:t>
      </w:r>
      <w:proofErr w:type="spellEnd"/>
      <w:r w:rsidRPr="002A0D4F">
        <w:rPr>
          <w:rFonts w:eastAsiaTheme="minorEastAsia"/>
        </w:rPr>
        <w:t xml:space="preserve"> </w:t>
      </w:r>
      <w:proofErr w:type="spellStart"/>
      <w:r w:rsidRPr="002A0D4F">
        <w:rPr>
          <w:rFonts w:eastAsiaTheme="minorEastAsia"/>
        </w:rPr>
        <w:t>entrepreneurs</w:t>
      </w:r>
      <w:proofErr w:type="spellEnd"/>
      <w:r w:rsidRPr="002A0D4F">
        <w:rPr>
          <w:rFonts w:eastAsiaTheme="minorEastAsia"/>
        </w:rPr>
        <w:t xml:space="preserve"> </w:t>
      </w:r>
      <w:proofErr w:type="spellStart"/>
      <w:r w:rsidRPr="002A0D4F">
        <w:rPr>
          <w:rFonts w:eastAsiaTheme="minorEastAsia"/>
        </w:rPr>
        <w:t>receiving</w:t>
      </w:r>
      <w:proofErr w:type="spellEnd"/>
      <w:r w:rsidRPr="002A0D4F">
        <w:rPr>
          <w:rFonts w:eastAsiaTheme="minorEastAsia"/>
        </w:rPr>
        <w:t xml:space="preserve"> </w:t>
      </w:r>
      <w:proofErr w:type="spellStart"/>
      <w:r w:rsidRPr="002A0D4F">
        <w:rPr>
          <w:rFonts w:eastAsiaTheme="minorEastAsia"/>
        </w:rPr>
        <w:t>installation</w:t>
      </w:r>
      <w:proofErr w:type="spellEnd"/>
      <w:r w:rsidRPr="002A0D4F">
        <w:rPr>
          <w:rFonts w:eastAsiaTheme="minorEastAsia"/>
        </w:rPr>
        <w:t xml:space="preserve"> </w:t>
      </w:r>
      <w:proofErr w:type="spellStart"/>
      <w:r w:rsidRPr="002A0D4F">
        <w:rPr>
          <w:rFonts w:eastAsiaTheme="minorEastAsia"/>
        </w:rPr>
        <w:t>grants</w:t>
      </w:r>
      <w:proofErr w:type="spellEnd"/>
      <w:r w:rsidRPr="002A0D4F">
        <w:rPr>
          <w:rFonts w:eastAsiaTheme="minorEastAsia"/>
        </w:rPr>
        <w:t>)</w:t>
      </w:r>
    </w:p>
    <w:p w14:paraId="7AA01BBF" w14:textId="77777777" w:rsidR="00A14B9B" w:rsidRPr="002A0D4F" w:rsidRDefault="00A14B9B" w:rsidP="00BC7B72">
      <w:pPr>
        <w:pStyle w:val="UZEIOdrky"/>
        <w:rPr>
          <w:rFonts w:eastAsiaTheme="minorEastAsia"/>
        </w:rPr>
      </w:pPr>
      <w:r w:rsidRPr="002A0D4F">
        <w:rPr>
          <w:rFonts w:eastAsiaTheme="minorEastAsia"/>
        </w:rPr>
        <w:t>O.22 Počet zemědělců, kteří získali grant na zahájení činnosti</w:t>
      </w:r>
    </w:p>
    <w:p w14:paraId="6B556F7C" w14:textId="77777777" w:rsidR="00A14B9B" w:rsidRPr="002A0D4F" w:rsidRDefault="00A14B9B" w:rsidP="00BC7B72">
      <w:pPr>
        <w:pStyle w:val="UZEIOdrky"/>
        <w:rPr>
          <w:rFonts w:eastAsiaTheme="minorEastAsia"/>
        </w:rPr>
      </w:pPr>
      <w:r w:rsidRPr="002A0D4F">
        <w:rPr>
          <w:rFonts w:eastAsiaTheme="minorEastAsia"/>
        </w:rPr>
        <w:t>O.27 Počet strategií místního rozvoje (LEADER)</w:t>
      </w:r>
    </w:p>
    <w:p w14:paraId="47A2E70D" w14:textId="77777777" w:rsidR="00A14B9B" w:rsidRPr="002A0D4F" w:rsidRDefault="00A14B9B" w:rsidP="00A14B9B">
      <w:pPr>
        <w:pStyle w:val="Odstavecseseznamem"/>
        <w:spacing w:after="160" w:line="259" w:lineRule="auto"/>
        <w:jc w:val="left"/>
      </w:pPr>
    </w:p>
    <w:p w14:paraId="0E339F60" w14:textId="77777777" w:rsidR="00BC7B72" w:rsidRDefault="00BC7B72">
      <w:pPr>
        <w:spacing w:after="160" w:line="259" w:lineRule="auto"/>
        <w:jc w:val="left"/>
        <w:rPr>
          <w:rFonts w:eastAsiaTheme="majorEastAsia" w:cs="Times New Roman"/>
          <w:b/>
          <w:bCs/>
          <w:sz w:val="28"/>
          <w:szCs w:val="32"/>
          <w:lang w:val="cs-CZ"/>
        </w:rPr>
      </w:pPr>
      <w:bookmarkStart w:id="34" w:name="_Toc519518197"/>
      <w:bookmarkStart w:id="35" w:name="_Toc519518303"/>
      <w:bookmarkStart w:id="36" w:name="_Toc519581813"/>
      <w:bookmarkStart w:id="37" w:name="_Toc525820126"/>
      <w:bookmarkStart w:id="38" w:name="_Toc530577732"/>
      <w:bookmarkStart w:id="39" w:name="_Toc12277971"/>
      <w:bookmarkStart w:id="40" w:name="_Toc12282608"/>
      <w:bookmarkStart w:id="41" w:name="_Toc12283263"/>
      <w:bookmarkStart w:id="42" w:name="_Toc15623877"/>
      <w:bookmarkStart w:id="43" w:name="_Toc15627508"/>
      <w:bookmarkStart w:id="44" w:name="_Toc25919687"/>
      <w:bookmarkStart w:id="45" w:name="_Toc25919771"/>
      <w:r>
        <w:br w:type="page"/>
      </w:r>
    </w:p>
    <w:p w14:paraId="4F86B311" w14:textId="709E9128" w:rsidR="00A14B9B" w:rsidRPr="00BC7B72" w:rsidRDefault="00A14B9B" w:rsidP="00BC7B72">
      <w:pPr>
        <w:pStyle w:val="Nadpis1"/>
      </w:pPr>
      <w:bookmarkStart w:id="46" w:name="_Toc81757375"/>
      <w:bookmarkStart w:id="47" w:name="_Toc81815662"/>
      <w:bookmarkStart w:id="48" w:name="_Toc81816199"/>
      <w:bookmarkStart w:id="49" w:name="_Toc81817294"/>
      <w:r w:rsidRPr="00BC7B72">
        <w:lastRenderedPageBreak/>
        <w:t>Stanovení skutečného problému, na který má politika reagovat?</w:t>
      </w:r>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r w:rsidRPr="00BC7B72">
        <w:tab/>
      </w:r>
    </w:p>
    <w:p w14:paraId="7D9068BE" w14:textId="77777777" w:rsidR="00A14B9B" w:rsidRPr="002A0D4F" w:rsidRDefault="00A14B9B" w:rsidP="00BC7B72">
      <w:pPr>
        <w:pStyle w:val="UZEINormaln"/>
      </w:pPr>
      <w:r w:rsidRPr="002A0D4F">
        <w:t xml:space="preserve">Kapitoly 2–10 obsahují především stručnější popis vybraných problémů, které jsou předmětem specifického cíle H. Detailnější analýzy a zdroje podpory ke tvrzením, které jsou v kapitolách 2-10 uvedeny, jsou obsahem kapitoly č. 13 Příloha. Ta se skládá z dílčích analytických podkladů k tematickým okruhům obyvatelstva a demografického vývoje na venkově; k ekonomice a podnikatelské struktuře ve vztahu k venkovu; k zaměstnanosti a příjmovému postavení venkovské populace; k ohrožení chudobou; a k vybavenosti (technické, dopravní a občanské). </w:t>
      </w:r>
    </w:p>
    <w:p w14:paraId="69048552" w14:textId="77777777" w:rsidR="00A14B9B" w:rsidRPr="005E00C1" w:rsidRDefault="00A14B9B" w:rsidP="005E00C1">
      <w:pPr>
        <w:pStyle w:val="UZEINormaln"/>
        <w:rPr>
          <w:b/>
          <w:bCs/>
        </w:rPr>
      </w:pPr>
      <w:r w:rsidRPr="005E00C1">
        <w:rPr>
          <w:b/>
          <w:bCs/>
        </w:rPr>
        <w:t>i) Nedostatek pracovních míst a pracovních příležitostí na venkově</w:t>
      </w:r>
    </w:p>
    <w:p w14:paraId="361060D3" w14:textId="76F04F1E" w:rsidR="00A14B9B" w:rsidRPr="002A0D4F" w:rsidRDefault="00A14B9B" w:rsidP="005E00C1">
      <w:pPr>
        <w:contextualSpacing/>
        <w:rPr>
          <w:lang w:val="cs-CZ"/>
        </w:rPr>
      </w:pPr>
      <w:r w:rsidRPr="00B9524A">
        <w:rPr>
          <w:rStyle w:val="UZEINormalnChar"/>
          <w:rFonts w:eastAsiaTheme="minorHAnsi"/>
        </w:rPr>
        <w:t>Venkov není v tvorbě pracovních míst soběstačný, práceschopné obyvatelstvo je do značné míry závislé na nabídce pracovních míst ve městech. Venkov vykazuje vyšší hodnoty</w:t>
      </w:r>
      <w:r w:rsidRPr="002A0D4F">
        <w:rPr>
          <w:lang w:val="cs-CZ"/>
        </w:rPr>
        <w:t xml:space="preserve"> dosažitelných uchazečů na jedno volné pracovní místo, zejména pak v obcích do 199 obyvatel.</w:t>
      </w:r>
    </w:p>
    <w:p w14:paraId="2D5F3C52" w14:textId="77777777" w:rsidR="00A14B9B" w:rsidRPr="002A0D4F" w:rsidRDefault="00A14B9B" w:rsidP="005E00C1">
      <w:pPr>
        <w:pStyle w:val="UZEINormaln"/>
        <w:rPr>
          <w:b/>
          <w:bCs/>
        </w:rPr>
      </w:pPr>
      <w:proofErr w:type="spellStart"/>
      <w:r w:rsidRPr="002A0D4F">
        <w:rPr>
          <w:b/>
          <w:bCs/>
        </w:rPr>
        <w:t>ii</w:t>
      </w:r>
      <w:proofErr w:type="spellEnd"/>
      <w:r w:rsidRPr="002A0D4F">
        <w:rPr>
          <w:b/>
          <w:bCs/>
        </w:rPr>
        <w:t>) Nízká úroveň diverzifikace zemědělských podniků</w:t>
      </w:r>
    </w:p>
    <w:p w14:paraId="3999DC13" w14:textId="77777777" w:rsidR="00A14B9B" w:rsidRPr="002A0D4F" w:rsidRDefault="00A14B9B" w:rsidP="005E00C1">
      <w:pPr>
        <w:pStyle w:val="UZEINormaln"/>
      </w:pPr>
      <w:r w:rsidRPr="002A0D4F">
        <w:t xml:space="preserve">Zemědělské podniky v ČR vykazují obecně nižší úroveň diverzifikace ve srovnání s EU-28. Výrazněji méně pak diverzifikuje skupina podniků fyzických osob, a to především v důsledku vyšší kapitálové náročnosti investic spojených s rozjezdem podnikání a dále z důvodů spojených s podnikatelskými riziky.  </w:t>
      </w:r>
    </w:p>
    <w:p w14:paraId="35F099D2" w14:textId="77777777" w:rsidR="00A14B9B" w:rsidRPr="002A0D4F" w:rsidRDefault="00A14B9B" w:rsidP="005E00C1">
      <w:pPr>
        <w:pStyle w:val="UZEINormaln"/>
        <w:rPr>
          <w:b/>
          <w:bCs/>
        </w:rPr>
      </w:pPr>
      <w:proofErr w:type="spellStart"/>
      <w:r w:rsidRPr="002A0D4F">
        <w:rPr>
          <w:b/>
          <w:bCs/>
        </w:rPr>
        <w:t>iii</w:t>
      </w:r>
      <w:proofErr w:type="spellEnd"/>
      <w:r w:rsidRPr="002A0D4F">
        <w:rPr>
          <w:b/>
          <w:bCs/>
        </w:rPr>
        <w:t>) Nižší občanská a technická vybavenost venkova</w:t>
      </w:r>
    </w:p>
    <w:p w14:paraId="6A49ECD2" w14:textId="77777777" w:rsidR="00A14B9B" w:rsidRPr="005E00C1" w:rsidRDefault="00A14B9B" w:rsidP="005E00C1">
      <w:pPr>
        <w:pStyle w:val="UZEIOdrky"/>
      </w:pPr>
      <w:r w:rsidRPr="005E00C1">
        <w:t>dopravní infrastruktura – chybějící chodníky a horší stav místních a účelových komunikací, nižší úroveň kvality sítě polních cest, úsporné veřejné osvětlení</w:t>
      </w:r>
    </w:p>
    <w:p w14:paraId="310F24D5" w14:textId="77777777" w:rsidR="00A14B9B" w:rsidRPr="005E00C1" w:rsidRDefault="00A14B9B" w:rsidP="005E00C1">
      <w:pPr>
        <w:pStyle w:val="UZEIOdrky"/>
      </w:pPr>
      <w:r w:rsidRPr="005E00C1">
        <w:t>technická infrastruktura – chybějící ČOV, veřejné kanalizace</w:t>
      </w:r>
    </w:p>
    <w:p w14:paraId="2D04D27A" w14:textId="77777777" w:rsidR="00A14B9B" w:rsidRPr="005E00C1" w:rsidRDefault="00A14B9B" w:rsidP="005E00C1">
      <w:pPr>
        <w:pStyle w:val="UZEIOdrky"/>
      </w:pPr>
      <w:r w:rsidRPr="005E00C1">
        <w:t>horší pokrytí vysokorychlostním internetem na venkově</w:t>
      </w:r>
    </w:p>
    <w:p w14:paraId="2D0B56A8" w14:textId="77777777" w:rsidR="00A14B9B" w:rsidRPr="005E00C1" w:rsidRDefault="00A14B9B" w:rsidP="005E00C1">
      <w:pPr>
        <w:pStyle w:val="UZEIOdrky"/>
      </w:pPr>
      <w:r w:rsidRPr="005E00C1">
        <w:t>horší dopravní dostupnost malých obcí</w:t>
      </w:r>
    </w:p>
    <w:p w14:paraId="270837AF" w14:textId="77777777" w:rsidR="00A14B9B" w:rsidRPr="005E00C1" w:rsidRDefault="00A14B9B" w:rsidP="005E00C1">
      <w:pPr>
        <w:pStyle w:val="UZEIOdrky"/>
      </w:pPr>
      <w:r w:rsidRPr="005E00C1">
        <w:t xml:space="preserve">omezená vybavenost obcí obchodem, poštou, komunitním centrem, dále školskými, sociálními a zdravotními zařízeními </w:t>
      </w:r>
    </w:p>
    <w:p w14:paraId="014D0773" w14:textId="77777777" w:rsidR="00A14B9B" w:rsidRPr="005E00C1" w:rsidRDefault="00A14B9B" w:rsidP="005E00C1">
      <w:pPr>
        <w:pStyle w:val="UZEIOdrky"/>
      </w:pPr>
      <w:r w:rsidRPr="005E00C1">
        <w:t>veřejná prostranství, ozelenění obcí</w:t>
      </w:r>
    </w:p>
    <w:p w14:paraId="03237636" w14:textId="77777777" w:rsidR="00A14B9B" w:rsidRPr="005E00C1" w:rsidRDefault="00A14B9B" w:rsidP="005E00C1">
      <w:pPr>
        <w:pStyle w:val="UZEIOdrky"/>
      </w:pPr>
      <w:r w:rsidRPr="005E00C1">
        <w:t>nevyvážená zájmová a spolková vybavenost</w:t>
      </w:r>
    </w:p>
    <w:p w14:paraId="027AA846" w14:textId="77777777" w:rsidR="00A14B9B" w:rsidRPr="005E00C1" w:rsidRDefault="00A14B9B" w:rsidP="005E00C1">
      <w:pPr>
        <w:pStyle w:val="UZEIOdrky"/>
      </w:pPr>
      <w:r w:rsidRPr="005E00C1">
        <w:t>nevyužité opuštěné nemovitosti (lokality typu brownfield)</w:t>
      </w:r>
    </w:p>
    <w:p w14:paraId="3C94A113" w14:textId="77777777" w:rsidR="00A14B9B" w:rsidRPr="002A0D4F" w:rsidRDefault="00A14B9B" w:rsidP="005E00C1">
      <w:pPr>
        <w:pStyle w:val="UZEINormaln"/>
        <w:rPr>
          <w:b/>
          <w:bCs/>
        </w:rPr>
      </w:pPr>
      <w:proofErr w:type="spellStart"/>
      <w:r w:rsidRPr="002A0D4F">
        <w:rPr>
          <w:b/>
          <w:bCs/>
        </w:rPr>
        <w:t>iv</w:t>
      </w:r>
      <w:proofErr w:type="spellEnd"/>
      <w:r w:rsidRPr="002A0D4F">
        <w:rPr>
          <w:b/>
          <w:bCs/>
        </w:rPr>
        <w:t>) Výskyt chudoby a sociálního vyloučení ve venkovských lokalitách</w:t>
      </w:r>
    </w:p>
    <w:p w14:paraId="2CF438BC" w14:textId="77777777" w:rsidR="00A14B9B" w:rsidRPr="002A0D4F" w:rsidRDefault="00A14B9B" w:rsidP="00B9524A">
      <w:pPr>
        <w:pStyle w:val="UZEIOdrky"/>
      </w:pPr>
      <w:r w:rsidRPr="002A0D4F">
        <w:t>koncentrace ekonomicky či sociálně slabších/znevýhodněných obyvatel v určitých lokalitách</w:t>
      </w:r>
    </w:p>
    <w:p w14:paraId="30314E2D" w14:textId="77777777" w:rsidR="00A14B9B" w:rsidRPr="002A0D4F" w:rsidRDefault="00A14B9B" w:rsidP="00B9524A">
      <w:pPr>
        <w:pStyle w:val="UZEIOdrky"/>
      </w:pPr>
      <w:r w:rsidRPr="002A0D4F">
        <w:t>nerovnoměrné rozložení chudoby v rámci společnosti (větší ohrožení některých skupin)</w:t>
      </w:r>
    </w:p>
    <w:p w14:paraId="6E90F1EE" w14:textId="77777777" w:rsidR="00A14B9B" w:rsidRPr="002A0D4F" w:rsidRDefault="00A14B9B" w:rsidP="00B9524A">
      <w:pPr>
        <w:pStyle w:val="UZEIOdrky"/>
      </w:pPr>
      <w:bookmarkStart w:id="50" w:name="_Hlk525645955"/>
      <w:r w:rsidRPr="002A0D4F">
        <w:t>chybějící nebo nízká úroveň sociálních služeb a jejich provázanost na venkově.</w:t>
      </w:r>
      <w:bookmarkEnd w:id="50"/>
    </w:p>
    <w:p w14:paraId="499E32A5" w14:textId="77777777" w:rsidR="00A14B9B" w:rsidRPr="002A0D4F" w:rsidRDefault="00A14B9B" w:rsidP="00A14B9B">
      <w:pPr>
        <w:ind w:left="426"/>
        <w:contextualSpacing/>
        <w:rPr>
          <w:lang w:val="cs-CZ"/>
        </w:rPr>
      </w:pPr>
    </w:p>
    <w:p w14:paraId="5509AF18" w14:textId="77777777" w:rsidR="00A14B9B" w:rsidRPr="002A0D4F" w:rsidRDefault="00A14B9B" w:rsidP="00A14B9B">
      <w:pPr>
        <w:spacing w:after="160" w:line="259" w:lineRule="auto"/>
        <w:jc w:val="left"/>
        <w:rPr>
          <w:lang w:val="cs-CZ" w:eastAsia="x-none"/>
        </w:rPr>
      </w:pPr>
      <w:r w:rsidRPr="002A0D4F">
        <w:rPr>
          <w:lang w:val="cs-CZ" w:eastAsia="x-none"/>
        </w:rPr>
        <w:br w:type="page"/>
      </w:r>
    </w:p>
    <w:p w14:paraId="6F8F0CAC" w14:textId="77777777" w:rsidR="00A14B9B" w:rsidRPr="002A0D4F" w:rsidRDefault="00A14B9B" w:rsidP="005E00C1">
      <w:pPr>
        <w:pStyle w:val="Nadpis1"/>
      </w:pPr>
      <w:bookmarkStart w:id="51" w:name="_Toc519518198"/>
      <w:bookmarkStart w:id="52" w:name="_Toc519518304"/>
      <w:bookmarkStart w:id="53" w:name="_Toc519581814"/>
      <w:bookmarkStart w:id="54" w:name="_Toc525820127"/>
      <w:bookmarkStart w:id="55" w:name="_Toc530577733"/>
      <w:bookmarkStart w:id="56" w:name="_Toc12277972"/>
      <w:bookmarkStart w:id="57" w:name="_Toc12282609"/>
      <w:bookmarkStart w:id="58" w:name="_Toc12283264"/>
      <w:bookmarkStart w:id="59" w:name="_Toc15623878"/>
      <w:bookmarkStart w:id="60" w:name="_Toc15627509"/>
      <w:bookmarkStart w:id="61" w:name="_Toc25919688"/>
      <w:bookmarkStart w:id="62" w:name="_Toc25919772"/>
      <w:bookmarkStart w:id="63" w:name="_Toc81757376"/>
      <w:bookmarkStart w:id="64" w:name="_Toc81815663"/>
      <w:bookmarkStart w:id="65" w:name="_Toc81816200"/>
      <w:bookmarkStart w:id="66" w:name="_Toc81817295"/>
      <w:r w:rsidRPr="00B9524A">
        <w:lastRenderedPageBreak/>
        <w:t>Mechanismus a příčiny problému</w:t>
      </w:r>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r w:rsidRPr="002A0D4F">
        <w:t xml:space="preserve"> </w:t>
      </w:r>
    </w:p>
    <w:p w14:paraId="5DE62455" w14:textId="77777777" w:rsidR="00A14B9B" w:rsidRPr="002A0D4F" w:rsidRDefault="00A14B9B" w:rsidP="005E00C1">
      <w:pPr>
        <w:pStyle w:val="UZEINormaln"/>
        <w:rPr>
          <w:b/>
          <w:bCs/>
        </w:rPr>
      </w:pPr>
      <w:r w:rsidRPr="002A0D4F">
        <w:rPr>
          <w:b/>
          <w:bCs/>
        </w:rPr>
        <w:t>i) Nedostatek pracovních míst a pracovních příležitostí na venkově</w:t>
      </w:r>
    </w:p>
    <w:p w14:paraId="610CC8D6" w14:textId="77777777" w:rsidR="00A14B9B" w:rsidRPr="002A0D4F" w:rsidRDefault="00A14B9B" w:rsidP="00B9524A">
      <w:pPr>
        <w:pStyle w:val="UZEINormaln"/>
      </w:pPr>
      <w:r w:rsidRPr="002A0D4F">
        <w:t xml:space="preserve">V oblasti zaměstnanosti přetrvává na venkově jako hlavní problém nedostatek pracovních míst, venkov není v tvorbě pracovních míst soběstačný a jeho obyvatelé jsou do značné míry závislí na pracovních příležitostech ve městech. Podíl volných pracovních míst nabízených ve venkovských obcích je nižší než podíl venkovské populace na obyvatelstvu ČR celkem. </w:t>
      </w:r>
    </w:p>
    <w:p w14:paraId="4281B287" w14:textId="77777777" w:rsidR="00A14B9B" w:rsidRPr="002A0D4F" w:rsidRDefault="00A14B9B" w:rsidP="00B9524A">
      <w:pPr>
        <w:pStyle w:val="UZEINormaln"/>
      </w:pPr>
      <w:r w:rsidRPr="002A0D4F">
        <w:t>Problém nelze omezit pouze na nejmenší a výrazně odlehlé obce nebo venkov ve strukturálně postižených regionech (tj. obecně venkovské obce s vyšší nezaměstnaností), je vnímán i představiteli obcí příměstských (omezená možnost dojíždění určitých skupin obyvatelstva, dopad na nabídku služeb pro občany apod.).</w:t>
      </w:r>
    </w:p>
    <w:p w14:paraId="04AAB765" w14:textId="77777777" w:rsidR="00A14B9B" w:rsidRPr="002A0D4F" w:rsidRDefault="00A14B9B" w:rsidP="00B9524A">
      <w:pPr>
        <w:pStyle w:val="UZEINormaln"/>
      </w:pPr>
      <w:r w:rsidRPr="002A0D4F">
        <w:t xml:space="preserve">Nižší nabídka pracovních míst na venkově přirozeně vychází z nižší koncentrace obyvatel ve venkovském prostoru a centralizace řady výrob a služeb ve městech. </w:t>
      </w:r>
    </w:p>
    <w:p w14:paraId="244A42B5" w14:textId="77777777" w:rsidR="00A14B9B" w:rsidRPr="002A0D4F" w:rsidRDefault="00A14B9B" w:rsidP="00B9524A">
      <w:pPr>
        <w:pStyle w:val="UZEINormaln"/>
      </w:pPr>
      <w:r w:rsidRPr="002A0D4F">
        <w:t xml:space="preserve">Agrární sektor coby dřívější významný poskytovatel pracovních příležitostí v současnosti zaměstnává pouze cca 5 % venkovského obyvatelstva. Jeho možnosti absorbovat venkovské pracovní síly byly v minulém období velkou měrou vyčerpány mimo jiné i vlivem využívání výkonné mechanizace a automatizace celé řady pracovních procesů, v současnosti se otevírá prostor pro pracovní uplatnění venkovského obyvatelstva mj. v souvislosti s nutnou generační obměnou pracovníků v zemědělství (vysoké počty pracovníků důchodového a předdůchodového věku). Zaměstnanost a rozvoj podnikatelských aktivit v zemědělství lze přitom významně ovlivňovat nastavením nástrojů zemědělské politiky (podpora pěstování pracovně náročnějších plodin a živočišné výroby, podpora zahájení činnosti mladých zemědělských podnikatelů, diverzifikace zemědělských činností apod.). Potenciál tvorby nových pracovních míst má agrární sektor zejména v malých obcích. Mzdy v zemědělství dlouhodobě setrvávají pod úrovní mezd v průmyslu a NH, a to ve všech krajích ČR (Obrázky 4.11–4.16). </w:t>
      </w:r>
    </w:p>
    <w:p w14:paraId="4FEDE941" w14:textId="77777777" w:rsidR="00A14B9B" w:rsidRPr="002A0D4F" w:rsidRDefault="00A14B9B" w:rsidP="00B9524A">
      <w:pPr>
        <w:pStyle w:val="UZEINormaln"/>
      </w:pPr>
      <w:r w:rsidRPr="002A0D4F">
        <w:t>Lesnictví se potýká s nedostatkem pracovníků, chybí především dělníci a absolventi lesnických učilišť. Příčinou je především nižší atraktivita práce v lese, která souvisí i s vyšší fyzickou náročností a v neposlední řadě s nižším finančním ohodnocením. Průměrná mzda fyzických osob v lesnictví zaostává za průměrnou mzdou v průmyslu o zhruba 3 tis. Kč a za průměrnou mzdou celkem o cca 2 tis. Kč (</w:t>
      </w:r>
      <w:proofErr w:type="spellStart"/>
      <w:r w:rsidRPr="002A0D4F">
        <w:t>MZe</w:t>
      </w:r>
      <w:proofErr w:type="spellEnd"/>
      <w:r w:rsidRPr="002A0D4F">
        <w:t xml:space="preserve">, </w:t>
      </w:r>
      <w:proofErr w:type="gramStart"/>
      <w:r w:rsidRPr="002A0D4F">
        <w:t>2019b</w:t>
      </w:r>
      <w:proofErr w:type="gramEnd"/>
      <w:r w:rsidRPr="002A0D4F">
        <w:t>).</w:t>
      </w:r>
    </w:p>
    <w:p w14:paraId="08F2F24F" w14:textId="45FC64D0" w:rsidR="00A14B9B" w:rsidRPr="004F3665" w:rsidRDefault="00A14B9B" w:rsidP="00B9524A">
      <w:pPr>
        <w:pStyle w:val="UZEINormaln"/>
      </w:pPr>
      <w:r w:rsidRPr="002A0D4F">
        <w:t>Možnosti tvorby pracovních míst v nezemědělských odvětvích, zejména ve službách, rostou přímo úměrně s populační velikostí obce (dáno rozsahem lokální nabídky a poptávky), v nejmenších obcích jsou značně omezeny a limitovány mj. vzdělanostní a věkovou strukturou tamější populace</w:t>
      </w:r>
      <w:r w:rsidRPr="002A0D4F">
        <w:rPr>
          <w:i/>
          <w:iCs/>
        </w:rPr>
        <w:t>.</w:t>
      </w:r>
    </w:p>
    <w:p w14:paraId="6B4681A9" w14:textId="77777777" w:rsidR="00A14B9B" w:rsidRPr="002A0D4F" w:rsidRDefault="00A14B9B" w:rsidP="005E00C1">
      <w:pPr>
        <w:pStyle w:val="UZEINormaln"/>
        <w:rPr>
          <w:b/>
          <w:bCs/>
        </w:rPr>
      </w:pPr>
      <w:proofErr w:type="spellStart"/>
      <w:r w:rsidRPr="002A0D4F">
        <w:rPr>
          <w:b/>
          <w:bCs/>
        </w:rPr>
        <w:t>ii</w:t>
      </w:r>
      <w:proofErr w:type="spellEnd"/>
      <w:r w:rsidRPr="002A0D4F">
        <w:rPr>
          <w:b/>
          <w:bCs/>
        </w:rPr>
        <w:t>) Relativně nízká úroveň diverzifikace zemědělských podniků</w:t>
      </w:r>
    </w:p>
    <w:p w14:paraId="0AE91CBF" w14:textId="77777777" w:rsidR="00A14B9B" w:rsidRPr="002A0D4F" w:rsidRDefault="00A14B9B" w:rsidP="005E00C1">
      <w:pPr>
        <w:pStyle w:val="UZEINormaln"/>
        <w:rPr>
          <w:rFonts w:eastAsiaTheme="minorEastAsia"/>
        </w:rPr>
      </w:pPr>
      <w:r w:rsidRPr="002A0D4F">
        <w:rPr>
          <w:rFonts w:eastAsiaTheme="minorEastAsia"/>
        </w:rPr>
        <w:t>Diverzifikace byla podpořena v PRV 2007-2013 i v současném PRV 2014-2020. V ex post hodnocení minulého PRV 2007-2013 hodnotitelé považují opatření diverzifikace za efektivní a účinný nástroj, jak podpořit zaměstnanost, příjem a rozšíření aktivit zemědělských podniků ve venkovském prostoru (zejména pak podpora BPS, ale i cestovní ruch ve venkovských oblastech). Obecný trend diverzifikovat je rostoucí, nicméně ČR je stále pod úrovní průměru EU. Za hlavní překážky v diverzifikaci lze považovat nároky na vstupní kapitál s rozjezdem dalšího podnikání, obava z neznámého (nové podnikání, se kterým nemá zemědělec zkušenosti, konkurence na trhu), nedokončená infrastruktura potřebná k podnikání (technická, občanská).</w:t>
      </w:r>
    </w:p>
    <w:p w14:paraId="2C0071AD" w14:textId="77777777" w:rsidR="00A14B9B" w:rsidRPr="002A0D4F" w:rsidRDefault="00A14B9B" w:rsidP="005E00C1">
      <w:pPr>
        <w:pStyle w:val="UZEINormaln"/>
        <w:rPr>
          <w:rFonts w:eastAsiaTheme="minorEastAsia"/>
        </w:rPr>
      </w:pPr>
      <w:r w:rsidRPr="002A0D4F">
        <w:rPr>
          <w:rFonts w:eastAsiaTheme="minorEastAsia"/>
        </w:rPr>
        <w:t xml:space="preserve">Z průběžného hodnocení současného PRV vyplývá, že je postup implementace v oblasti diverzifikace pomalejší, žádosti podaly především malé a střední podniky. Dle zprávy </w:t>
      </w:r>
      <w:r w:rsidRPr="002A0D4F">
        <w:rPr>
          <w:rFonts w:eastAsiaTheme="minorEastAsia"/>
        </w:rPr>
        <w:lastRenderedPageBreak/>
        <w:t xml:space="preserve">z průběžného hodnocení PRV 2014-2020 by měl být kladen důraz na osvětu a zatraktivnění opatření. </w:t>
      </w:r>
    </w:p>
    <w:p w14:paraId="675B84A2" w14:textId="77777777" w:rsidR="00A14B9B" w:rsidRPr="002A0D4F" w:rsidRDefault="00A14B9B" w:rsidP="005E00C1">
      <w:pPr>
        <w:pStyle w:val="UZEINormaln"/>
        <w:rPr>
          <w:b/>
          <w:bCs/>
        </w:rPr>
      </w:pPr>
      <w:proofErr w:type="spellStart"/>
      <w:r w:rsidRPr="002A0D4F">
        <w:rPr>
          <w:b/>
          <w:bCs/>
        </w:rPr>
        <w:t>iii</w:t>
      </w:r>
      <w:proofErr w:type="spellEnd"/>
      <w:r w:rsidRPr="002A0D4F">
        <w:rPr>
          <w:b/>
          <w:bCs/>
        </w:rPr>
        <w:t>) Nižší občanská a technická vybavenost venkova</w:t>
      </w:r>
    </w:p>
    <w:p w14:paraId="3CFC3A3B" w14:textId="77777777" w:rsidR="00A14B9B" w:rsidRPr="002A0D4F" w:rsidRDefault="00A14B9B" w:rsidP="005E00C1">
      <w:pPr>
        <w:pStyle w:val="UZEINormaln"/>
      </w:pPr>
      <w:r w:rsidRPr="002A0D4F">
        <w:t>V případě vybavenosti venkovských obcí jsou tyto příčiny společné pro všechny výše uvedené problémy:</w:t>
      </w:r>
    </w:p>
    <w:p w14:paraId="3352BB2E" w14:textId="77777777" w:rsidR="00A14B9B" w:rsidRPr="002A0D4F" w:rsidRDefault="00A14B9B" w:rsidP="005E00C1">
      <w:pPr>
        <w:pStyle w:val="UZEIOdrky"/>
      </w:pPr>
      <w:r w:rsidRPr="002A0D4F">
        <w:t>Závislost na dotacích u malých obcí – u nákladných projektů (např. výstavba ČOV, infrastruktury)</w:t>
      </w:r>
    </w:p>
    <w:p w14:paraId="07E3B413" w14:textId="77777777" w:rsidR="00A14B9B" w:rsidRPr="002A0D4F" w:rsidRDefault="00A14B9B" w:rsidP="005E00C1">
      <w:pPr>
        <w:pStyle w:val="UZEIOdrky"/>
      </w:pPr>
      <w:r w:rsidRPr="002A0D4F">
        <w:t xml:space="preserve">Nízké příjmy malých obcí (nedostatečná daňová výtěžnost malých obcí vzhledem k rozvojovým potřebám) – souvisí s klesajícím počtem obyvatel v obci, dalšími faktory jsou hustota zalidnění, věková struktura (školy – počet dětí v obci), u menších obcí jsou vyšší náklady na obyvatele (např. na budování sítí a infrastruktury), nejsou levnější a alternativní možnosti nebo není v silách starosty je hledat (např. z důvodů omezených časových možností neuvolněných starostů, především u menších obcí) </w:t>
      </w:r>
    </w:p>
    <w:p w14:paraId="457FE0A5" w14:textId="77777777" w:rsidR="00A14B9B" w:rsidRPr="002A0D4F" w:rsidRDefault="00A14B9B" w:rsidP="005E00C1">
      <w:pPr>
        <w:pStyle w:val="UZEIOdrky"/>
      </w:pPr>
      <w:r w:rsidRPr="002A0D4F">
        <w:t>Rozdrobenost malých obcí (specifikum ČR), vysoký podíl velmi malých obcí, obce s vyšším počtem obyvatel jsou územně oddělená venkovská sídla</w:t>
      </w:r>
    </w:p>
    <w:p w14:paraId="235C08FF" w14:textId="77777777" w:rsidR="00A14B9B" w:rsidRPr="002A0D4F" w:rsidRDefault="00A14B9B" w:rsidP="005E00C1">
      <w:pPr>
        <w:pStyle w:val="UZEINormaln"/>
      </w:pPr>
      <w:proofErr w:type="spellStart"/>
      <w:r w:rsidRPr="002A0D4F">
        <w:rPr>
          <w:b/>
          <w:bCs/>
        </w:rPr>
        <w:t>iv</w:t>
      </w:r>
      <w:proofErr w:type="spellEnd"/>
      <w:r w:rsidRPr="002A0D4F">
        <w:rPr>
          <w:b/>
          <w:bCs/>
        </w:rPr>
        <w:t>) Výskyt chudoby ve venkovských lokalitách</w:t>
      </w:r>
      <w:r w:rsidRPr="002A0D4F">
        <w:tab/>
      </w:r>
    </w:p>
    <w:p w14:paraId="1CD1EAEB" w14:textId="77777777" w:rsidR="00A14B9B" w:rsidRPr="002A0D4F" w:rsidRDefault="00A14B9B" w:rsidP="005E00C1">
      <w:pPr>
        <w:pStyle w:val="UZEINormaln"/>
      </w:pPr>
      <w:r w:rsidRPr="002A0D4F">
        <w:t>Problém chudoby souvisí zejména s celospolečenskou situací, jedná se o komplexní problém, který závisí na více faktorech. Příčiny těchto problémů pravděpodobně leží nejen v rovině individuálních faktorů (rodinná situace, zdravotní stav, vzdělání), skladby obyvatelstva v daném regionu, ale také v rovině strukturálních faktorů (zaměstnanosti, respektive nezaměstnanosti, struktury trhu práce, pracovního uplatnění a výše příjmů, dostupnosti a ceny bydlení). Míra ohrožení příjmovou chudobou se liší podle typu domácnosti, nejvíce ohroženy jsou domácnosti s jedním dospělým a alespoň jedním závislým dítětem, jednotlivci z toho více ženy než muži a lidé nad 65 let. Skupiny, které mají nižší příjmy, jsou zároveň ohroženy zadlužením.</w:t>
      </w:r>
    </w:p>
    <w:p w14:paraId="3C2DE967" w14:textId="2DD1A3D0" w:rsidR="00A14B9B" w:rsidRPr="002A0D4F" w:rsidRDefault="00A14B9B" w:rsidP="005A0F1C">
      <w:pPr>
        <w:pStyle w:val="UZEINormaln"/>
      </w:pPr>
      <w:r w:rsidRPr="005A0F1C">
        <w:t>Z průzkumu potřeb v sociální oblasti ve venkovském prostředí (NS MAS ČR, 9/2018) vyplývá, že na venkově přetrvává nedostatek nabízených služeb pro některé skupiny obyvatel. Nedostatek volnočasových aktivit pro děti a mládež a sociálních služeb pro rodiny v nepříznivé sociální situaci. Pro seniory na venkově chybí nejen možnosti dalšího vzdělávání, ale také možnosti vykonávání zájmových činností a aktivit. Stejně tak je problémem i nedostačující kapacita v pobytových zařízeních a nízká podpora osob pečujících o seniory. Chybějí komunitní centra a místa pro společné setkávání obyvatel a sdílení informací.  NS MAS (2018) spatřuje problémy v nepropojování informací, byrokracii, náročné administrativě při získávání grantů či v tom, že se zainteresované subjekty pravidelně nesetkávají</w:t>
      </w:r>
      <w:r w:rsidRPr="002A0D4F">
        <w:t>.</w:t>
      </w:r>
    </w:p>
    <w:p w14:paraId="6957C4C2" w14:textId="77777777" w:rsidR="004F3665" w:rsidRDefault="004F3665">
      <w:pPr>
        <w:spacing w:after="160" w:line="259" w:lineRule="auto"/>
        <w:jc w:val="left"/>
        <w:rPr>
          <w:rFonts w:eastAsiaTheme="majorEastAsia" w:cs="Times New Roman"/>
          <w:b/>
          <w:bCs/>
          <w:sz w:val="28"/>
          <w:szCs w:val="32"/>
          <w:lang w:val="cs-CZ"/>
        </w:rPr>
      </w:pPr>
      <w:bookmarkStart w:id="67" w:name="_Toc519518199"/>
      <w:bookmarkStart w:id="68" w:name="_Toc519518305"/>
      <w:bookmarkStart w:id="69" w:name="_Toc519581815"/>
      <w:bookmarkStart w:id="70" w:name="_Toc525820128"/>
      <w:bookmarkStart w:id="71" w:name="_Toc530577734"/>
      <w:bookmarkStart w:id="72" w:name="_Toc12277973"/>
      <w:bookmarkStart w:id="73" w:name="_Toc12282610"/>
      <w:bookmarkStart w:id="74" w:name="_Toc12283265"/>
      <w:bookmarkStart w:id="75" w:name="_Toc15623879"/>
      <w:bookmarkStart w:id="76" w:name="_Toc15627510"/>
      <w:bookmarkStart w:id="77" w:name="_Toc25919689"/>
      <w:bookmarkStart w:id="78" w:name="_Toc25919773"/>
      <w:r>
        <w:br w:type="page"/>
      </w:r>
    </w:p>
    <w:p w14:paraId="2F40FA83" w14:textId="7EB46370" w:rsidR="00A14B9B" w:rsidRPr="005A0F1C" w:rsidRDefault="00A14B9B" w:rsidP="005A0F1C">
      <w:pPr>
        <w:pStyle w:val="Nadpis1"/>
      </w:pPr>
      <w:bookmarkStart w:id="79" w:name="_Toc81757377"/>
      <w:bookmarkStart w:id="80" w:name="_Toc81815664"/>
      <w:bookmarkStart w:id="81" w:name="_Toc81816201"/>
      <w:bookmarkStart w:id="82" w:name="_Toc81817296"/>
      <w:r w:rsidRPr="005A0F1C">
        <w:lastRenderedPageBreak/>
        <w:t>Jaký je rozsah a vývojový trend daného problému</w:t>
      </w:r>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r w:rsidRPr="005A0F1C">
        <w:t xml:space="preserve"> </w:t>
      </w:r>
    </w:p>
    <w:p w14:paraId="6AD747E2" w14:textId="77777777" w:rsidR="00A14B9B" w:rsidRPr="002A0D4F" w:rsidRDefault="00A14B9B" w:rsidP="005A0F1C">
      <w:pPr>
        <w:pStyle w:val="UZEINormaln"/>
        <w:rPr>
          <w:b/>
          <w:bCs/>
        </w:rPr>
      </w:pPr>
      <w:r w:rsidRPr="002A0D4F">
        <w:rPr>
          <w:b/>
          <w:bCs/>
        </w:rPr>
        <w:t>i) Nedostatek pracovních míst a pracovních příležitostí na venkově</w:t>
      </w:r>
    </w:p>
    <w:p w14:paraId="5FED9034" w14:textId="4F93B2B8" w:rsidR="00A14B9B" w:rsidRPr="002A0D4F" w:rsidRDefault="00A14B9B" w:rsidP="005A0F1C">
      <w:pPr>
        <w:pStyle w:val="UZEINormaln"/>
      </w:pPr>
      <w:r w:rsidRPr="002A0D4F">
        <w:t xml:space="preserve">V posledních letech docházelo k tvorbě nových pracovních míst ve městech i na venkově, nezaměstnanost vyjádřená PNO v posledních letech postupně klesala a venkovské obce jako celek již od roku 2014 vykazují nižší nezaměstnanost než </w:t>
      </w:r>
      <w:r w:rsidRPr="002A0D4F">
        <w:rPr>
          <w:color w:val="000000" w:themeColor="text1"/>
        </w:rPr>
        <w:t>města (viz obr. 4.4)</w:t>
      </w:r>
      <w:r w:rsidR="00D00596">
        <w:rPr>
          <w:color w:val="000000" w:themeColor="text1"/>
        </w:rPr>
        <w:t xml:space="preserve"> </w:t>
      </w:r>
      <w:r w:rsidR="00D00596" w:rsidRPr="00D00596">
        <w:rPr>
          <w:color w:val="000000" w:themeColor="text1"/>
        </w:rPr>
        <w:t>a venkovské oblasti v ČR dle EUROSTATU vykazují vyšší míru zaměstnanosti než je průměr EU – 27</w:t>
      </w:r>
      <w:r w:rsidRPr="00D00596">
        <w:rPr>
          <w:color w:val="000000" w:themeColor="text1"/>
        </w:rPr>
        <w:t>. Ve</w:t>
      </w:r>
      <w:r w:rsidRPr="00D00596">
        <w:t>dle celkově příznivého hospodářského vývoje v posledních letech mají na rel</w:t>
      </w:r>
      <w:r w:rsidRPr="002A0D4F">
        <w:t xml:space="preserve">ativně nižší nezaměstnanost na venkově vliv i změny migračních proudů – trendem posledních let je stěhování obyvatel z větších center do přilehlých </w:t>
      </w:r>
      <w:proofErr w:type="spellStart"/>
      <w:r w:rsidRPr="002A0D4F">
        <w:t>suburbií</w:t>
      </w:r>
      <w:proofErr w:type="spellEnd"/>
      <w:r w:rsidRPr="002A0D4F">
        <w:t xml:space="preserve">, jež obecně vykazují nižší hodnoty nezaměstnanosti. V důsledku nižší nabídky volných pracovních míst na venkově jsou však celkově pro venkov příznačné vyšší hodnoty dosažitelných uchazečů na 1 volné pracovní místo a situace pro venkovské uchazeče o zaměstnání je tedy nadále ve srovnání s uchazeči z měst nepříznivější (viz obrázek 4.5). Přestože – paralelně se zlepšující situací na trhu práce celkem – se rozdíl proti městům snižoval, za velmi nepříznivou lze považovat situaci zejména v populačně malých obcích (do 199 obyvatel – viz obrázek 4.8). Mzdové ohodnocení pracovních míst v převážně venkovských regionech je nižší než v regionech převážně městských (Obrázky 4.9-4.10). </w:t>
      </w:r>
    </w:p>
    <w:p w14:paraId="37C1F255" w14:textId="77777777" w:rsidR="00A14B9B" w:rsidRPr="002A0D4F" w:rsidRDefault="00A14B9B" w:rsidP="005A0F1C">
      <w:pPr>
        <w:pStyle w:val="UZEINormaln"/>
        <w:rPr>
          <w:sz w:val="22"/>
        </w:rPr>
      </w:pPr>
      <w:r w:rsidRPr="002A0D4F">
        <w:t>Vývoj pracovních míst v lesnictví vykazoval v období 1989-2013 sestupnou tendenci, od roku 2016 jejich počet mírně roste. Lesnictví ale vykazuje především nedostatek pracovníků dělnických profesí. V období 2015-2018 se prohloubil rozdíl v průměrné mzdě v lesnictví a průměrné mzdě v národním hospodářství (</w:t>
      </w:r>
      <w:proofErr w:type="spellStart"/>
      <w:r w:rsidRPr="002A0D4F">
        <w:t>MZe</w:t>
      </w:r>
      <w:proofErr w:type="spellEnd"/>
      <w:r w:rsidRPr="002A0D4F">
        <w:t xml:space="preserve">, </w:t>
      </w:r>
      <w:proofErr w:type="gramStart"/>
      <w:r w:rsidRPr="002A0D4F">
        <w:t>2019b</w:t>
      </w:r>
      <w:proofErr w:type="gramEnd"/>
      <w:r w:rsidRPr="002A0D4F">
        <w:t>)</w:t>
      </w:r>
    </w:p>
    <w:p w14:paraId="44838632" w14:textId="77777777" w:rsidR="00A14B9B" w:rsidRPr="002A0D4F" w:rsidRDefault="00A14B9B" w:rsidP="005A0F1C">
      <w:pPr>
        <w:pStyle w:val="UZEINormaln"/>
        <w:rPr>
          <w:b/>
          <w:bCs/>
        </w:rPr>
      </w:pPr>
      <w:proofErr w:type="spellStart"/>
      <w:r w:rsidRPr="002A0D4F">
        <w:rPr>
          <w:b/>
          <w:bCs/>
        </w:rPr>
        <w:t>ii</w:t>
      </w:r>
      <w:proofErr w:type="spellEnd"/>
      <w:r w:rsidRPr="002A0D4F">
        <w:rPr>
          <w:b/>
          <w:bCs/>
        </w:rPr>
        <w:t>) Relativně nízká úroveň diverzifikace zemědělských podniků</w:t>
      </w:r>
    </w:p>
    <w:p w14:paraId="04C014C5" w14:textId="77777777" w:rsidR="00A14B9B" w:rsidRPr="002A0D4F" w:rsidRDefault="00A14B9B" w:rsidP="005A0F1C">
      <w:pPr>
        <w:pStyle w:val="UZEINormaln"/>
        <w:rPr>
          <w:rFonts w:eastAsiaTheme="minorEastAsia"/>
          <w:color w:val="000000" w:themeColor="text1"/>
        </w:rPr>
      </w:pPr>
      <w:r w:rsidRPr="002A0D4F">
        <w:t xml:space="preserve">V roce 2013 diverzifikovalo svou činnost průměrně 15,6 % zemědělských podniků v EU (Obrázek 3.8). Situace je v jednotlivých členských státech velmi rozdílná: v Portugalsku, Lotyšsku, Rumunsku, Polsku, </w:t>
      </w:r>
      <w:r w:rsidRPr="002A0D4F">
        <w:rPr>
          <w:color w:val="000000" w:themeColor="text1"/>
        </w:rPr>
        <w:t xml:space="preserve">Řecku, Španělsku, Bulharsku, Litvě, Kypru a na Maltě je tento podíl nižší než 5 %, v Dánsku dosahuje až 60,1 %, v Rakousku 51,7 %, ve Švédsku 37, 3 %, v Německu 33 % a Lucembursku 30,3 %. </w:t>
      </w:r>
      <w:r w:rsidRPr="002A0D4F">
        <w:rPr>
          <w:rFonts w:eastAsiaTheme="minorEastAsia"/>
          <w:color w:val="000000" w:themeColor="text1"/>
        </w:rPr>
        <w:t>Podíl ostatní produkce na celkové zemědělské produkci, jakožto ukazateli stupně diverzifikace, se u podniků FADN CZ pohybuje v letech 2015-2017 zhruba mezi 11-13 %, celkově výraznějším tempem roste úroveň u právnických osob (</w:t>
      </w:r>
      <w:r w:rsidRPr="002A0D4F">
        <w:rPr>
          <w:color w:val="000000" w:themeColor="text1"/>
        </w:rPr>
        <w:t>Obrázek 3.9</w:t>
      </w:r>
      <w:r w:rsidRPr="002A0D4F">
        <w:rPr>
          <w:rFonts w:eastAsiaTheme="minorEastAsia"/>
          <w:color w:val="000000" w:themeColor="text1"/>
        </w:rPr>
        <w:t xml:space="preserve">). Hodnota ostatní produkce narostla v roce 2017 na 4754 Kč/ha, od r. 2014 o zhruba o 600 Kč/ha. Nejvýraznější podíl na ostatní produkci má prodej zemědělských služeb (zhruba 29 %), agroturistika zhruba 4 %, OZE zhruba 12 %. Rozdílnosti panují mezi jednotlivými kategoriemi podniku (podle velikosti, větší podniky provozující více OZE, menší podniky se zaměřením více na agroturistiku, ale i podle lokalizace podniku v méně příznivých oblastech pro hospodaření, viz. </w:t>
      </w:r>
      <w:r w:rsidRPr="002A0D4F">
        <w:rPr>
          <w:color w:val="000000" w:themeColor="text1"/>
        </w:rPr>
        <w:t>Obrázky 3.10–3.15</w:t>
      </w:r>
      <w:r w:rsidRPr="002A0D4F">
        <w:rPr>
          <w:rFonts w:eastAsiaTheme="minorEastAsia"/>
          <w:color w:val="000000" w:themeColor="text1"/>
        </w:rPr>
        <w:t>).</w:t>
      </w:r>
    </w:p>
    <w:p w14:paraId="35E95835" w14:textId="77777777" w:rsidR="00A14B9B" w:rsidRPr="002A0D4F" w:rsidRDefault="00A14B9B" w:rsidP="005A0F1C">
      <w:pPr>
        <w:pStyle w:val="UZEINormaln"/>
        <w:rPr>
          <w:b/>
          <w:bCs/>
        </w:rPr>
      </w:pPr>
      <w:proofErr w:type="spellStart"/>
      <w:r w:rsidRPr="002A0D4F">
        <w:rPr>
          <w:b/>
          <w:bCs/>
        </w:rPr>
        <w:t>iii</w:t>
      </w:r>
      <w:proofErr w:type="spellEnd"/>
      <w:r w:rsidRPr="002A0D4F">
        <w:rPr>
          <w:b/>
          <w:bCs/>
        </w:rPr>
        <w:t>) Nižší občanská a technická vybavenost venkova</w:t>
      </w:r>
    </w:p>
    <w:p w14:paraId="53E9BC80" w14:textId="77777777" w:rsidR="00A14B9B" w:rsidRPr="002A0D4F" w:rsidRDefault="00A14B9B" w:rsidP="005A0F1C">
      <w:pPr>
        <w:pStyle w:val="UZEINormaln"/>
      </w:pPr>
      <w:r w:rsidRPr="002A0D4F">
        <w:t xml:space="preserve">U malých obcí je prakticky nereálné, aby splnily podmínky ekonomické efektivnosti pro získání dotace z národních zdrojů (pro technické a jiné vybavení obce). </w:t>
      </w:r>
    </w:p>
    <w:p w14:paraId="6C1B0C56" w14:textId="77777777" w:rsidR="00A14B9B" w:rsidRPr="002A0D4F" w:rsidRDefault="00A14B9B" w:rsidP="005A0F1C">
      <w:pPr>
        <w:pStyle w:val="UZEINormaln"/>
      </w:pPr>
      <w:r w:rsidRPr="002A0D4F">
        <w:t>Problém chybějících chodníků a místních komunikací uvedlo jako palčivý nejvíce obcí a dalo mu nejvyšší stupeň důležitosti v analýze potřeb obcí a měst tvořené Svazem měst a obcí v roce 2018.</w:t>
      </w:r>
    </w:p>
    <w:p w14:paraId="64B53939" w14:textId="77777777" w:rsidR="00A14B9B" w:rsidRPr="002A0D4F" w:rsidRDefault="00A14B9B" w:rsidP="005A0F1C">
      <w:pPr>
        <w:pStyle w:val="UZEINormaln"/>
      </w:pPr>
      <w:r w:rsidRPr="002A0D4F">
        <w:t xml:space="preserve">Problém s nakládáním s odpady v malých obcích a připojení na kanalizaci, případně vybavenost obcí ČOV ohodnotily obce známkou 3,4, přičemž 5 je nejvyšší potřeba problém řešit (SMO, 2018). Podíl odděleně sbíraných složek, jako je papír, sklo či plasty, činil v převážně venkovských oblastech v průměru 17 %, což je o 0,7 p. b. více, než v oblastech převážně městských a zároveň o 0,6 p. b. více, než je republikový průměr (16,4 %). Od roku </w:t>
      </w:r>
      <w:r w:rsidRPr="002A0D4F">
        <w:lastRenderedPageBreak/>
        <w:t>2009 dochází v ČR k postupnému mírnému poklesu podílu komunálních odpadů odstraněných skládkováním, a to z 64 % v roce 2009 na 45,9 % v roce 2019.</w:t>
      </w:r>
      <w:r w:rsidRPr="002A0D4F">
        <w:rPr>
          <w:rStyle w:val="Znakapoznpodarou"/>
        </w:rPr>
        <w:footnoteReference w:id="3"/>
      </w:r>
      <w:r w:rsidRPr="002A0D4F">
        <w:t xml:space="preserve"> K roku 2020 by měl tento podíl klesnout na 30 %. Chybějící kanalizace a veřejné vodovody jsou problémem u nejmenších obcí (do 500 obyv.), případně obcí, kde v posledních dekádách došlo k výraznému nárůstu počtu obyvatel, avšak infrastruktura je původní, tedy není odpovídající zaznamenanému nárůstu počtu obyvatel.  Voda ze studní nemusí kvalitou odpovídat parametrům pitné vody, dotýká se jí problém sucha, v zemědělských oblastech se do vody dostávají pesticidy. V České republice je na kanalizaci napojeno 75 % obcí do 2 tis. obyv. Venkovských obcí vybavených kanalizací s napojením na ČOV je 48 %. Možnost připojení k veřejnému vodovodu mají domy v 87 % obcí s obyvateli do 2 tis. a na plyn je připojeno necelých 60 % těchto obcí.</w:t>
      </w:r>
    </w:p>
    <w:p w14:paraId="176134D3" w14:textId="77777777" w:rsidR="00A14B9B" w:rsidRPr="002A0D4F" w:rsidRDefault="00A14B9B" w:rsidP="005A0F1C">
      <w:pPr>
        <w:pStyle w:val="UZEINormaln"/>
      </w:pPr>
      <w:r w:rsidRPr="002A0D4F">
        <w:t>Připojení k vysokorychlostnímu internetu je problémem v nejmenších obcích a na periferiích. Obce ho v analýze potřeb označily taktéž známkou 3,4 z 5 jako potřebu, která je potřeba řešit (SMO, 2018). V převážně venkovských a smíšených venkovských oblastech je nižší penetrace NGA přípojkami (umožňujících poskytovaní služeb vysokorychlostního internetu – o rychlosti 30 Mbit/s a více) než v oblastech městských (cca 74 % v oblastech venkovských a smíšených; 84,9 % v oblastech městských), viz Obr. 5.4. I v případě mobilních sítí jsou na tom venkovské a smíšené regiony hůře, než regiony městské (pokrytí LTE internetem všemi třemi operátory je v regionech venkovských a smíšených cca 94 %, zatímco v regionech městských až cca 99 % – viz Obr. 5.3).</w:t>
      </w:r>
    </w:p>
    <w:p w14:paraId="07343276" w14:textId="77777777" w:rsidR="00A14B9B" w:rsidRPr="002A0D4F" w:rsidRDefault="00A14B9B" w:rsidP="005A0F1C">
      <w:pPr>
        <w:pStyle w:val="UZEINormaln"/>
      </w:pPr>
      <w:r w:rsidRPr="002A0D4F">
        <w:t>Téměř polovina obcí do 3 tis. obyvatel není o víkendech obsluhována veřejnou dopravou. V Karlovarském, Libereckém a Jihočeském kraji v některých lokalitách chybí železnice (především hlavní tahy) a neexistují silniční alternativy (MD ČR 2017 – SRR problémová analýza). Nejhůře s veřejnou dopravou je na tom Plzeňský kraj, Jihočeský kraj a kraj Vysočina. S nedostupností obce často souvisí další problémy týkající se chybějící vybavenosti obcí, kvůli ní dochází k omezování dopravy (není důvod do těchto obcí jezdit), s tím souvisí rušení linek, snižování počtu spojů.  Řada obcí má potenciál v rozvoji cestovního ruchu, který je ovšem zpomalován špatnou dopravní dostupností, zejména pak o víkendech a státních svátcích.</w:t>
      </w:r>
    </w:p>
    <w:p w14:paraId="788087FE" w14:textId="7F5A340D" w:rsidR="00A14B9B" w:rsidRPr="002A0D4F" w:rsidRDefault="00A14B9B" w:rsidP="005A0F1C">
      <w:pPr>
        <w:pStyle w:val="UZEINormaln"/>
        <w:rPr>
          <w:spacing w:val="6"/>
        </w:rPr>
      </w:pPr>
      <w:r w:rsidRPr="003677AE">
        <w:rPr>
          <w:rStyle w:val="Hypertextovodkaz"/>
          <w:color w:val="auto"/>
        </w:rPr>
        <w:t xml:space="preserve">V roce 2007 podle vyhledávací studie pro lokalizace </w:t>
      </w:r>
      <w:proofErr w:type="spellStart"/>
      <w:r w:rsidRPr="003677AE">
        <w:rPr>
          <w:rStyle w:val="Hypertextovodkaz"/>
          <w:color w:val="auto"/>
        </w:rPr>
        <w:t>brownfields</w:t>
      </w:r>
      <w:proofErr w:type="spellEnd"/>
      <w:r w:rsidRPr="003677AE">
        <w:rPr>
          <w:rStyle w:val="Hypertextovodkaz"/>
          <w:color w:val="auto"/>
        </w:rPr>
        <w:t xml:space="preserve"> bylo identifikováno 2355 lokalit s plochou větší než 1 ha, z toho 34,9 % zemědělského původu.</w:t>
      </w:r>
      <w:r w:rsidR="003677AE" w:rsidRPr="003677AE">
        <w:rPr>
          <w:rStyle w:val="Hypertextovodkaz"/>
          <w:color w:val="auto"/>
          <w:u w:val="none"/>
        </w:rPr>
        <w:t xml:space="preserve"> </w:t>
      </w:r>
      <w:r w:rsidRPr="002A0D4F">
        <w:t>Dle agentury CzechInvest (2007) ležela téměř polovina (48,6 %) všech zaznamenaných lokalit v obcích do 2 000 obyvatel (Skála a kol, 2012).</w:t>
      </w:r>
      <w:r w:rsidRPr="002A0D4F">
        <w:rPr>
          <w:rStyle w:val="Znakapoznpodarou"/>
        </w:rPr>
        <w:footnoteReference w:id="4"/>
      </w:r>
      <w:r w:rsidRPr="002A0D4F">
        <w:t xml:space="preserve"> </w:t>
      </w:r>
      <w:r w:rsidRPr="002A0D4F">
        <w:rPr>
          <w:spacing w:val="6"/>
        </w:rPr>
        <w:t>Národní databáze brownfieldů evidovala v roce 2018 na 3 500 lokalit, z nichž bylo více než 450 nabízeno investorům.</w:t>
      </w:r>
      <w:r w:rsidRPr="002A0D4F">
        <w:rPr>
          <w:rStyle w:val="Znakapoznpodarou"/>
          <w:spacing w:val="6"/>
        </w:rPr>
        <w:footnoteReference w:id="5"/>
      </w:r>
      <w:r w:rsidRPr="002A0D4F">
        <w:rPr>
          <w:spacing w:val="6"/>
        </w:rPr>
        <w:t xml:space="preserve"> K říjnu 2020 poklesl počet evidovaných brownfieldů na 3330 a z těchto lokalit je nabízeno k dalšímu využití 517.</w:t>
      </w:r>
      <w:r w:rsidRPr="002A0D4F">
        <w:rPr>
          <w:rStyle w:val="Znakapoznpodarou"/>
          <w:spacing w:val="6"/>
        </w:rPr>
        <w:footnoteReference w:id="6"/>
      </w:r>
      <w:r w:rsidRPr="002A0D4F">
        <w:rPr>
          <w:spacing w:val="6"/>
        </w:rPr>
        <w:t xml:space="preserve">V rámci inventarizační studie bylo identifikováno 1925 lokalit zemědělského původu s předpoklady velmi pravděpodobné existence brownfieldu (VUMOP, 2018). Za posledních 15 let došlo k poklesu výměry zemědělského půdního fondu o cca 60 tis. ha (ČUZK, 2018), Revitalizace brownfieldů je jednou z cest, jak alespoň částečně zábor zemědělské půdy (např. pro stavbu provozoven) eliminovat. </w:t>
      </w:r>
    </w:p>
    <w:p w14:paraId="75EE2523" w14:textId="031E9A4F" w:rsidR="00CE4CF4" w:rsidRDefault="00A14B9B" w:rsidP="005A0F1C">
      <w:pPr>
        <w:pStyle w:val="UZEINormaln"/>
        <w:rPr>
          <w:spacing w:val="6"/>
        </w:rPr>
      </w:pPr>
      <w:r w:rsidRPr="002A0D4F">
        <w:rPr>
          <w:spacing w:val="6"/>
        </w:rPr>
        <w:t>V rámci analýzy sítě polních cest bylo zjištěno, že přes 20 tis. km cest bylo v letech 1994-2019 navrženo, nicméně nerealizováno. Jsou to cesty, které jsou uvedeny v plánu společných zařízení pozemkových úpravy. Tyto cesty je možno považovat (resp. alespoň větší část z nich) za infrastrukturu, o kterou obce i další majitelé pozemků jim přilehlých stojí.</w:t>
      </w:r>
    </w:p>
    <w:p w14:paraId="76ED27D9" w14:textId="77777777" w:rsidR="00A14B9B" w:rsidRPr="002A0D4F" w:rsidRDefault="00A14B9B" w:rsidP="005A0F1C">
      <w:pPr>
        <w:pStyle w:val="UZEINormaln"/>
        <w:rPr>
          <w:spacing w:val="6"/>
        </w:rPr>
      </w:pPr>
    </w:p>
    <w:p w14:paraId="4C13B84F" w14:textId="77777777" w:rsidR="00A14B9B" w:rsidRPr="002A0D4F" w:rsidRDefault="00A14B9B" w:rsidP="00CE4CF4">
      <w:pPr>
        <w:pStyle w:val="UZEINormaln"/>
        <w:rPr>
          <w:b/>
          <w:bCs/>
        </w:rPr>
      </w:pPr>
      <w:proofErr w:type="spellStart"/>
      <w:r w:rsidRPr="002A0D4F">
        <w:rPr>
          <w:b/>
          <w:bCs/>
        </w:rPr>
        <w:t>iv</w:t>
      </w:r>
      <w:proofErr w:type="spellEnd"/>
      <w:r w:rsidRPr="002A0D4F">
        <w:rPr>
          <w:b/>
          <w:bCs/>
        </w:rPr>
        <w:t>) Výskyt chudoby a sociálního vyloučení ve venkovských lokalitách</w:t>
      </w:r>
    </w:p>
    <w:p w14:paraId="2B928DA3" w14:textId="77777777" w:rsidR="00A14B9B" w:rsidRPr="002A0D4F" w:rsidRDefault="00A14B9B" w:rsidP="0001314E">
      <w:pPr>
        <w:pStyle w:val="UZEINormaln"/>
      </w:pPr>
      <w:r w:rsidRPr="002A0D4F">
        <w:t>Podle souhrnných indikátorů podíl lidí ohrožených chudobou dlouhodobě klesá. Přesto je zde problém určitých oblastí, kde je mnohem více chudých nebo sociálně vyloučených obyvatel než v jiných regionech. Analýza sociálně vyloučených lokalit z roku 2015</w:t>
      </w:r>
      <w:r w:rsidRPr="002A0D4F">
        <w:rPr>
          <w:rStyle w:val="Znakapoznpodarou"/>
        </w:rPr>
        <w:footnoteReference w:id="7"/>
      </w:r>
      <w:r w:rsidRPr="002A0D4F">
        <w:t xml:space="preserve"> odhaduje počet sociálně vyloučených obyvatel na 95 000 až 115 000 osob. Sociálně vyloučené lokality</w:t>
      </w:r>
      <w:r w:rsidRPr="002A0D4F">
        <w:rPr>
          <w:rStyle w:val="Znakapoznpodarou"/>
        </w:rPr>
        <w:footnoteReference w:id="8"/>
      </w:r>
      <w:r w:rsidRPr="002A0D4F">
        <w:t>, kterých bylo zjištěno 606, se nacházejí ve všech krajích, nejvíce však v Karlovarském a Moravskoslezském kraji. Analýza sociálně vyloučených lokalit ČR (2015) rovněž poukazuje na to, že obecně roste počet vyloučených lokalit, ale snižuje se průměrný počet obyvatel žijících v každé z nich. V sociálně vyloučených lokalitách přibývá seniorů a zároveň narůstá počet lokalit, kde většinu obyvatel netvoří Romové. Nejčastěji v nich bydlí chudí a často nezaměstnaní lidé (průměrně 80–85 %) s nízkým vzděláním (většina obyvatel pouze se základním vzděláním). Nezaměstnanost je vyšší v etnicky jednolitých lokalitách a na venkově, kde je nedostatek pracovních míst. Sociálně vyloučené lokality se přesouvají do menších obcí s počtem obyvatel do 500, a přestože tyto obce tvoří téměř polovinu ze všech obcí, ve kterých se sociálně vyloučené lokality vyskytují, počet sociálně vyloučených obyvatel v nich činí pouze 13 % ze všech sociálně vyloučených obyvatel. Většina se soustřeďuje ve větších sídlech s více jak 20 001 obyvateli.</w:t>
      </w:r>
    </w:p>
    <w:p w14:paraId="30505F03" w14:textId="77777777" w:rsidR="00A14B9B" w:rsidRPr="002A0D4F" w:rsidRDefault="00A14B9B" w:rsidP="0001314E">
      <w:pPr>
        <w:pStyle w:val="UZEINormaln"/>
      </w:pPr>
      <w:r w:rsidRPr="002A0D4F">
        <w:t>Tyto skupiny obyvatel patří dlouhodobě mezi nejvíce ohroženy chudobou (viz bod 3).</w:t>
      </w:r>
    </w:p>
    <w:p w14:paraId="73626DC8" w14:textId="77777777" w:rsidR="004F3665" w:rsidRDefault="004F3665">
      <w:pPr>
        <w:spacing w:after="160" w:line="259" w:lineRule="auto"/>
        <w:jc w:val="left"/>
        <w:rPr>
          <w:rStyle w:val="Nadpis1Char"/>
        </w:rPr>
      </w:pPr>
      <w:bookmarkStart w:id="83" w:name="_Toc12282611"/>
      <w:bookmarkStart w:id="84" w:name="_Toc12283266"/>
      <w:bookmarkStart w:id="85" w:name="_Toc15623880"/>
      <w:bookmarkStart w:id="86" w:name="_Toc15627511"/>
      <w:bookmarkStart w:id="87" w:name="_Toc25919690"/>
      <w:bookmarkStart w:id="88" w:name="_Toc25919774"/>
      <w:r>
        <w:rPr>
          <w:rStyle w:val="Nadpis1Char"/>
          <w:b w:val="0"/>
          <w:bCs w:val="0"/>
        </w:rPr>
        <w:br w:type="page"/>
      </w:r>
    </w:p>
    <w:p w14:paraId="0CB90416" w14:textId="67243717" w:rsidR="00A14B9B" w:rsidRPr="0001314E" w:rsidRDefault="00A14B9B" w:rsidP="0001314E">
      <w:pPr>
        <w:pStyle w:val="Nadpis1"/>
      </w:pPr>
      <w:bookmarkStart w:id="89" w:name="_Toc81757378"/>
      <w:bookmarkStart w:id="90" w:name="_Toc81815665"/>
      <w:bookmarkStart w:id="91" w:name="_Toc81816202"/>
      <w:bookmarkStart w:id="92" w:name="_Toc81817297"/>
      <w:r w:rsidRPr="0001314E">
        <w:rPr>
          <w:rStyle w:val="Nadpis1Char"/>
          <w:b/>
          <w:bCs/>
        </w:rPr>
        <w:lastRenderedPageBreak/>
        <w:t>Jak závažný je tento problém?</w:t>
      </w:r>
      <w:bookmarkEnd w:id="83"/>
      <w:bookmarkEnd w:id="84"/>
      <w:bookmarkEnd w:id="85"/>
      <w:bookmarkEnd w:id="86"/>
      <w:bookmarkEnd w:id="87"/>
      <w:bookmarkEnd w:id="88"/>
      <w:bookmarkEnd w:id="89"/>
      <w:bookmarkEnd w:id="90"/>
      <w:bookmarkEnd w:id="91"/>
      <w:bookmarkEnd w:id="92"/>
    </w:p>
    <w:p w14:paraId="30DE8274" w14:textId="77777777" w:rsidR="00A14B9B" w:rsidRPr="002A0D4F" w:rsidRDefault="00A14B9B" w:rsidP="004F3665">
      <w:pPr>
        <w:pStyle w:val="UZEINormaln"/>
        <w:rPr>
          <w:b/>
          <w:bCs/>
        </w:rPr>
      </w:pPr>
      <w:r w:rsidRPr="002A0D4F">
        <w:rPr>
          <w:b/>
          <w:bCs/>
        </w:rPr>
        <w:t>i) Nedostatek pracovních míst a pracovních příležitostí na venkově</w:t>
      </w:r>
    </w:p>
    <w:p w14:paraId="633F7A66" w14:textId="77777777" w:rsidR="00A14B9B" w:rsidRPr="002A0D4F" w:rsidRDefault="00A14B9B" w:rsidP="004F3665">
      <w:pPr>
        <w:pStyle w:val="UZEINormaln"/>
      </w:pPr>
      <w:r w:rsidRPr="002A0D4F">
        <w:t xml:space="preserve">Nedostatek pracovních příležitostí ve venkovském prostoru má přímý dopad na celou venkovskou populaci, nejen na její produktivní složku.  </w:t>
      </w:r>
    </w:p>
    <w:p w14:paraId="1547883A" w14:textId="77777777" w:rsidR="00A14B9B" w:rsidRPr="002A0D4F" w:rsidRDefault="00A14B9B" w:rsidP="004F3665">
      <w:pPr>
        <w:pStyle w:val="UZEINormaln"/>
      </w:pPr>
      <w:r w:rsidRPr="002A0D4F">
        <w:t>Ekonomicky aktivní obyvatelstvo na venkově je z velké části závislé na pracovních nabídkách z měst, samotný venkov není schopen vygenerovat dostatečný počet pracovních míst pro vlastní obyvatelstvo. Z hlediska soběstačnosti vychází nejlépe pro venkov pracovní místa v zemědělství, lesnictví a rybolovu.</w:t>
      </w:r>
    </w:p>
    <w:p w14:paraId="7441E57F" w14:textId="77777777" w:rsidR="00A14B9B" w:rsidRPr="002A0D4F" w:rsidRDefault="00A14B9B" w:rsidP="004F3665">
      <w:pPr>
        <w:pStyle w:val="UZEINormaln"/>
      </w:pPr>
      <w:r w:rsidRPr="002A0D4F">
        <w:t>Za soběstačné v generování pracovních míst lze považovat až obce s 10 tis. a více obyvateli (počet pracovních míst zde převažuje nad počtem pracujících obyvatel zde sídlících – v menších obcích je tomu naopak).</w:t>
      </w:r>
    </w:p>
    <w:p w14:paraId="1F0E1D78" w14:textId="77777777" w:rsidR="00A14B9B" w:rsidRPr="002A0D4F" w:rsidRDefault="00A14B9B" w:rsidP="004F3665">
      <w:pPr>
        <w:pStyle w:val="UZEINormaln"/>
      </w:pPr>
      <w:r w:rsidRPr="002A0D4F">
        <w:t>Za velmi nepříznivou lze z hlediska uplatnění na trhu práce stále považovat situaci zejména v malých obcích (do 199 obyvatel) a v obcích vzdálených od velkých center (odlehlé obce). Vznik nových pracovních míst, příp. rozšíření podnikatelských aktivit zde mohou být komplikovány horší věkovou a vzdělanostní strukturou tamějšího obyvatelstva.</w:t>
      </w:r>
    </w:p>
    <w:p w14:paraId="7B8D4075" w14:textId="77777777" w:rsidR="00A14B9B" w:rsidRPr="002A0D4F" w:rsidRDefault="00A14B9B" w:rsidP="004F3665">
      <w:pPr>
        <w:pStyle w:val="UZEINormaln"/>
      </w:pPr>
      <w:r w:rsidRPr="002A0D4F">
        <w:t>Nedostatek pracovních míst generovaných přímo ve venkovském prostoru může být problematický z hlediska udržení mladých lidí na venkově (úbytek obyvatel zejm. odlehlých obcí), má také výrazný dopad na celkovou zaměstnanost a příjmovou, resp. životní úroveň venkovského obyvatelstva. Nedostatek pracovních míst sekundárně může podmiňovat neudržitelnou vybavenost obcí (obchod, MŠ, ZŠ), omezenější nabídku služeb a kupní sílu obyvatel a samozřejmě též příjmy obcí.</w:t>
      </w:r>
    </w:p>
    <w:p w14:paraId="085730EA" w14:textId="77777777" w:rsidR="00A14B9B" w:rsidRPr="002A0D4F" w:rsidRDefault="00A14B9B" w:rsidP="004F3665">
      <w:pPr>
        <w:pStyle w:val="UZEINormaln"/>
        <w:rPr>
          <w:b/>
          <w:bCs/>
        </w:rPr>
      </w:pPr>
      <w:proofErr w:type="spellStart"/>
      <w:r w:rsidRPr="002A0D4F">
        <w:rPr>
          <w:b/>
          <w:bCs/>
        </w:rPr>
        <w:t>ii</w:t>
      </w:r>
      <w:proofErr w:type="spellEnd"/>
      <w:r w:rsidRPr="002A0D4F">
        <w:rPr>
          <w:b/>
          <w:bCs/>
        </w:rPr>
        <w:t>) Relativně nízká úroveň diverzifikace zemědělských podniků</w:t>
      </w:r>
    </w:p>
    <w:p w14:paraId="13FC3A7B" w14:textId="77777777" w:rsidR="00A14B9B" w:rsidRPr="002A0D4F" w:rsidRDefault="00A14B9B" w:rsidP="001E0C81">
      <w:pPr>
        <w:pStyle w:val="UZEINormaln"/>
      </w:pPr>
      <w:r w:rsidRPr="002A0D4F">
        <w:t>Diverzifikační aktivity zvyšují portfolio aktivit podniků a s tím i podporu příjmu z různých zdrojů. To snižuje riziko ohrožení podniků pro případy, kdy by jeden z příjmů vypadl. U českých podniků je diverzifikace stále na nižší úrovni ve srovnání s průměrem EU a ohrožení podniků pro případ výpadku příjmu je tak stále relativně vysoké.</w:t>
      </w:r>
    </w:p>
    <w:p w14:paraId="4E5C405F" w14:textId="77777777" w:rsidR="00A14B9B" w:rsidRPr="002A0D4F" w:rsidRDefault="00A14B9B" w:rsidP="001E0C81">
      <w:pPr>
        <w:pStyle w:val="UZEINormaln"/>
      </w:pPr>
      <w:r w:rsidRPr="002A0D4F">
        <w:t xml:space="preserve">S tím souvisí relativně vysoká závislost zemědělských podniků na důchodových podporách (např. přímé platby, LFA či dnes ANC platby), a to zvláště u některých skupin podniků (malé farmy, farmy hospodařící v horských ANC apod.). U těchto farem by byla čistá přidaná hodnota bez těchto důchodových podpor záporná. </w:t>
      </w:r>
    </w:p>
    <w:p w14:paraId="5D28323E" w14:textId="77777777" w:rsidR="00A14B9B" w:rsidRPr="002A0D4F" w:rsidRDefault="00A14B9B" w:rsidP="004F3665">
      <w:pPr>
        <w:pStyle w:val="UZEINormaln"/>
        <w:rPr>
          <w:b/>
          <w:bCs/>
        </w:rPr>
      </w:pPr>
      <w:proofErr w:type="spellStart"/>
      <w:r w:rsidRPr="002A0D4F">
        <w:rPr>
          <w:b/>
          <w:bCs/>
        </w:rPr>
        <w:t>iii</w:t>
      </w:r>
      <w:proofErr w:type="spellEnd"/>
      <w:r w:rsidRPr="002A0D4F">
        <w:rPr>
          <w:b/>
          <w:bCs/>
        </w:rPr>
        <w:t>) Nižší občanská a technická vybavenost venkova</w:t>
      </w:r>
    </w:p>
    <w:p w14:paraId="6A1C5973" w14:textId="77777777" w:rsidR="00A14B9B" w:rsidRPr="002A0D4F" w:rsidRDefault="00A14B9B" w:rsidP="001E0C81">
      <w:pPr>
        <w:pStyle w:val="UZEINormaln"/>
      </w:pPr>
      <w:r w:rsidRPr="002A0D4F">
        <w:t xml:space="preserve">Více v bodu </w:t>
      </w:r>
      <w:proofErr w:type="spellStart"/>
      <w:r w:rsidRPr="002A0D4F">
        <w:t>iii</w:t>
      </w:r>
      <w:proofErr w:type="spellEnd"/>
      <w:r w:rsidRPr="002A0D4F">
        <w:t>, kap. 4.</w:t>
      </w:r>
    </w:p>
    <w:p w14:paraId="1500F4B7" w14:textId="77777777" w:rsidR="00A14B9B" w:rsidRPr="002A0D4F" w:rsidRDefault="00A14B9B" w:rsidP="004F3665">
      <w:pPr>
        <w:pStyle w:val="UZEINormaln"/>
        <w:rPr>
          <w:b/>
          <w:bCs/>
        </w:rPr>
      </w:pPr>
      <w:proofErr w:type="spellStart"/>
      <w:r w:rsidRPr="002A0D4F">
        <w:rPr>
          <w:b/>
          <w:bCs/>
        </w:rPr>
        <w:t>iv</w:t>
      </w:r>
      <w:proofErr w:type="spellEnd"/>
      <w:r w:rsidRPr="002A0D4F">
        <w:rPr>
          <w:b/>
          <w:bCs/>
        </w:rPr>
        <w:t>) Výskyt chudoby a sociálního vyloučení ve venkovských lokalitách</w:t>
      </w:r>
    </w:p>
    <w:p w14:paraId="60B8C96D" w14:textId="77777777" w:rsidR="00A14B9B" w:rsidRPr="002A0D4F" w:rsidRDefault="00A14B9B" w:rsidP="001E0C81">
      <w:pPr>
        <w:pStyle w:val="UZEINormaln"/>
      </w:pPr>
      <w:r w:rsidRPr="002A0D4F">
        <w:t xml:space="preserve">Více v bodu </w:t>
      </w:r>
      <w:proofErr w:type="spellStart"/>
      <w:r w:rsidRPr="002A0D4F">
        <w:t>iv</w:t>
      </w:r>
      <w:proofErr w:type="spellEnd"/>
      <w:r w:rsidRPr="002A0D4F">
        <w:t>, kap. 4.</w:t>
      </w:r>
    </w:p>
    <w:p w14:paraId="2C14363D" w14:textId="77777777" w:rsidR="00A14B9B" w:rsidRPr="002A0D4F" w:rsidRDefault="00A14B9B" w:rsidP="00A14B9B">
      <w:pPr>
        <w:spacing w:beforeLines="60" w:before="144"/>
        <w:contextualSpacing/>
        <w:rPr>
          <w:b/>
          <w:bCs/>
          <w:lang w:val="cs-CZ"/>
        </w:rPr>
      </w:pPr>
    </w:p>
    <w:p w14:paraId="11028605" w14:textId="77777777" w:rsidR="001E0C81" w:rsidRDefault="001E0C81">
      <w:pPr>
        <w:spacing w:after="160" w:line="259" w:lineRule="auto"/>
        <w:jc w:val="left"/>
        <w:rPr>
          <w:rFonts w:eastAsiaTheme="majorEastAsia" w:cs="Times New Roman"/>
          <w:b/>
          <w:bCs/>
          <w:sz w:val="28"/>
          <w:szCs w:val="32"/>
          <w:lang w:val="cs-CZ"/>
        </w:rPr>
      </w:pPr>
      <w:bookmarkStart w:id="93" w:name="_Toc519518201"/>
      <w:bookmarkStart w:id="94" w:name="_Toc519518307"/>
      <w:bookmarkStart w:id="95" w:name="_Toc519581817"/>
      <w:bookmarkStart w:id="96" w:name="_Toc525820130"/>
      <w:bookmarkStart w:id="97" w:name="_Toc530577736"/>
      <w:bookmarkStart w:id="98" w:name="_Toc12277975"/>
      <w:bookmarkStart w:id="99" w:name="_Toc12282612"/>
      <w:bookmarkStart w:id="100" w:name="_Toc12283267"/>
      <w:bookmarkStart w:id="101" w:name="_Toc15623881"/>
      <w:bookmarkStart w:id="102" w:name="_Toc15627512"/>
      <w:bookmarkStart w:id="103" w:name="_Toc25919691"/>
      <w:bookmarkStart w:id="104" w:name="_Toc25919775"/>
      <w:r>
        <w:br w:type="page"/>
      </w:r>
    </w:p>
    <w:p w14:paraId="1E717B42" w14:textId="5BCE3635" w:rsidR="00A14B9B" w:rsidRPr="001E0C81" w:rsidRDefault="00A14B9B" w:rsidP="001E0C81">
      <w:pPr>
        <w:pStyle w:val="Nadpis1"/>
      </w:pPr>
      <w:bookmarkStart w:id="105" w:name="_Toc81757379"/>
      <w:bookmarkStart w:id="106" w:name="_Toc81815666"/>
      <w:bookmarkStart w:id="107" w:name="_Toc81816203"/>
      <w:bookmarkStart w:id="108" w:name="_Toc81817298"/>
      <w:r w:rsidRPr="001E0C81">
        <w:lastRenderedPageBreak/>
        <w:t>Je tento problém efektivně řešitelný v rámci nástrojů SZP?</w:t>
      </w:r>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p>
    <w:p w14:paraId="02925631" w14:textId="77777777" w:rsidR="00A14B9B" w:rsidRPr="00880738" w:rsidRDefault="00A14B9B" w:rsidP="00880738">
      <w:pPr>
        <w:pStyle w:val="UZEINormaln"/>
        <w:rPr>
          <w:b/>
          <w:bCs/>
        </w:rPr>
      </w:pPr>
      <w:r w:rsidRPr="00880738">
        <w:rPr>
          <w:b/>
          <w:bCs/>
        </w:rPr>
        <w:t>i) Nedostatek pracovních míst a pracovních příležitostí na venkově</w:t>
      </w:r>
    </w:p>
    <w:p w14:paraId="430146A7" w14:textId="77777777" w:rsidR="00A14B9B" w:rsidRPr="002A0D4F" w:rsidRDefault="00A14B9B" w:rsidP="00880738">
      <w:pPr>
        <w:pStyle w:val="UZEINormaln"/>
      </w:pPr>
      <w:r w:rsidRPr="002A0D4F">
        <w:t>Nedostatek pracovních míst je řešen vícero opatřeními SZP. Z ex post analýzy PRV 2007-2013 vyplývá, že řada opatření (zejména osa III a IV) přispěla k nárůstu počtu pracovních míst na venkově.</w:t>
      </w:r>
    </w:p>
    <w:p w14:paraId="23005EFF" w14:textId="77777777" w:rsidR="00A14B9B" w:rsidRPr="002A0D4F" w:rsidRDefault="00A14B9B" w:rsidP="00880738">
      <w:pPr>
        <w:pStyle w:val="UZEINormaln"/>
      </w:pPr>
      <w:r w:rsidRPr="002A0D4F">
        <w:t>MAS vytváří prostřednictvím koncových žadatelů i jejich projektů pracovní místa na venkově. Základním cílem MAS je zlepšování kvality života a životního prostředí ve venkovských oblastech. Pro programové období 2014–2020 bylo schváleno 178 strategií komunitně vedeného místního rozvoje na území MAS (tzv. SCLLD</w:t>
      </w:r>
      <w:r w:rsidRPr="002A0D4F">
        <w:rPr>
          <w:rStyle w:val="Znakapoznpodarou"/>
        </w:rPr>
        <w:footnoteReference w:id="9"/>
      </w:r>
      <w:r w:rsidRPr="002A0D4F">
        <w:t>), schvalování strategií proběhlo v letech 2016 a 2017. 178 schválených Strategií aktuálně pokrývá přes 6 mil. obyvatel – tedy 92,5 % z celkové venkovské populace ČR (NAVIGA 4, EACE, 2020).</w:t>
      </w:r>
    </w:p>
    <w:p w14:paraId="60491D73" w14:textId="77777777" w:rsidR="00A14B9B" w:rsidRPr="002A0D4F" w:rsidRDefault="00A14B9B" w:rsidP="00880738">
      <w:pPr>
        <w:pStyle w:val="UZEINormaln"/>
        <w:rPr>
          <w:bCs/>
        </w:rPr>
      </w:pPr>
      <w:r w:rsidRPr="002A0D4F">
        <w:rPr>
          <w:bCs/>
        </w:rPr>
        <w:t xml:space="preserve">Střednědobé hodnocení PRV 2019 uvádí, že na základě operace 19.2.1 (Podpora místního rozvoje na základě iniciativy LEADER (komunitně vedený místní rozvoj)), která primárně přispívá k naplňování prioritní oblasti </w:t>
      </w:r>
      <w:proofErr w:type="gramStart"/>
      <w:r w:rsidRPr="002A0D4F">
        <w:rPr>
          <w:bCs/>
        </w:rPr>
        <w:t>6B</w:t>
      </w:r>
      <w:proofErr w:type="gramEnd"/>
      <w:r w:rsidRPr="002A0D4F">
        <w:rPr>
          <w:bCs/>
        </w:rPr>
        <w:t xml:space="preserve"> (Podpora místního rozvoje ve venkovských oblastech), bylo k 31. 12. 2018 vytvořeno 454,79 pracovních míst – z cílové hodnoty 750. Míra naplnění je tedy 61 %. </w:t>
      </w:r>
    </w:p>
    <w:p w14:paraId="6FFBA32F" w14:textId="77777777" w:rsidR="00A14B9B" w:rsidRPr="002A0D4F" w:rsidRDefault="00A14B9B" w:rsidP="00880738">
      <w:pPr>
        <w:pStyle w:val="UZEINormaln"/>
      </w:pPr>
      <w:r w:rsidRPr="002A0D4F">
        <w:rPr>
          <w:bCs/>
        </w:rPr>
        <w:t>Většina úspěšných žadatelů je fyzickými osobami (1090 z celkového počtu 1724 proplacených žádostí k 30. 9. 2019), z právnických osob nejčastěji žádaly společnosti s ručeným omezeným (372 proplacených žádostí), dále obce (89), akciové společnosti (84) a družstva (68).  Žádostí, u kterých byla uvedena alespoň nějaká výměra lesních pozemků, bylo proplaceno 143. Největší podíl proplacených žádostí byl realizován dle článku 17.1.a „Investice do zemědělských podniků“ (56,15 %), a dále pak dle článku 19.1.b „Podpora investic na založení nebo rozvoj nezemědělských činností“. Články 25, 26 a 17.1.c, které se týkají rozvoje v lesním hospodářství (neproduktivní investice v lesích, investice do lesnických technologií a zpracování lesnických produktů, jejich mobilizace a uvádění na trh a lesnická infrastruktura), zaujímaly 8,58 % proplacených žádostí.</w:t>
      </w:r>
    </w:p>
    <w:p w14:paraId="23B03D2F" w14:textId="77777777" w:rsidR="00A14B9B" w:rsidRPr="002A0D4F" w:rsidRDefault="00A14B9B" w:rsidP="00880738">
      <w:pPr>
        <w:pStyle w:val="UZEINormaln"/>
      </w:pPr>
      <w:r w:rsidRPr="002A0D4F">
        <w:t xml:space="preserve">Prioritní oblast </w:t>
      </w:r>
      <w:proofErr w:type="gramStart"/>
      <w:r w:rsidRPr="002A0D4F">
        <w:t>6B</w:t>
      </w:r>
      <w:proofErr w:type="gramEnd"/>
      <w:r w:rsidRPr="002A0D4F">
        <w:t xml:space="preserve"> s názvem Podpora místního rozvoje ve venkovských oblastech směřuje k iniciativě LEADER a nabízí díky metodě implementace místní rozvojové strategie „zdola-nahoru“ řadu příspěvků k prioritním oblastem rozvoje venkova. Znalost místního prostředí a využití potenciálu dané lokality povede k realizaci akcí, které budou nejlépe reagovat na konkrétní místní problémy a podpora PRV tak může být efektivnější než při plošném centrálním řízení.</w:t>
      </w:r>
    </w:p>
    <w:p w14:paraId="3B27F856" w14:textId="77777777" w:rsidR="00A14B9B" w:rsidRPr="002A0D4F" w:rsidRDefault="00A14B9B" w:rsidP="00880738">
      <w:pPr>
        <w:pStyle w:val="UZEINormaln"/>
      </w:pPr>
      <w:r w:rsidRPr="002A0D4F">
        <w:t xml:space="preserve">V roce 2019 byla Ministerstvem zemědělství ČR schválena koncepce biohospodářství v ČR (MZE, </w:t>
      </w:r>
      <w:proofErr w:type="gramStart"/>
      <w:r w:rsidRPr="002A0D4F">
        <w:t>2019a</w:t>
      </w:r>
      <w:proofErr w:type="gramEnd"/>
      <w:r w:rsidRPr="002A0D4F">
        <w:t xml:space="preserve">), kde je za klíčový faktor považována stimulace podnikání, které povede k podpoře místního rozvoje. Předpokládá se, že bude v rámci víceletého finančního rámce a činností plánovaných v rámci EU podporováno vzdělávání v oblasti podnikových dovedností (např. nové obchodní přístupy, prezentace podnikatelských postupů, příklady pozitivních synergií s místními komunitami, zásady biohospodářství atp.). Koncepce nebyla prozatím implementována v takové úrovni, aby bylo možno posoudit její dopad. Nicméně její uvedení v život dává předpoklad k efektivnějšímu zavádění (cílení) některých konceptů </w:t>
      </w:r>
      <w:proofErr w:type="spellStart"/>
      <w:r w:rsidRPr="002A0D4F">
        <w:t>bioekonomiky</w:t>
      </w:r>
      <w:proofErr w:type="spellEnd"/>
      <w:r w:rsidRPr="002A0D4F">
        <w:t xml:space="preserve">; poskytuje zároveň rámec pro možné uplatnění v budoucí SZP. Co se udržení a tvorby pracovních míst na venkově týče, koncepce doporučuje zejména se zaměřit na udržitelný cestovní ruch a zelený turismus (agroturistiku) nebo udržitelný rozvoj biohospodářství ve venkovských oblastech jako pozitivní faktor pro řešení depopulace vytvářeních pracovních </w:t>
      </w:r>
      <w:r w:rsidRPr="002A0D4F">
        <w:lastRenderedPageBreak/>
        <w:t xml:space="preserve">míst a obchodních příležitostí založených a moderních digitálních technologiích a inovativních obchodních praktikách. </w:t>
      </w:r>
    </w:p>
    <w:p w14:paraId="076EC0EE" w14:textId="77777777" w:rsidR="00A14B9B" w:rsidRPr="002A0D4F" w:rsidRDefault="00A14B9B" w:rsidP="00880738">
      <w:pPr>
        <w:pStyle w:val="UZEINormaln"/>
        <w:rPr>
          <w:b/>
          <w:bCs/>
        </w:rPr>
      </w:pPr>
      <w:proofErr w:type="spellStart"/>
      <w:r w:rsidRPr="002A0D4F">
        <w:rPr>
          <w:b/>
          <w:bCs/>
        </w:rPr>
        <w:t>ii</w:t>
      </w:r>
      <w:proofErr w:type="spellEnd"/>
      <w:r w:rsidRPr="002A0D4F">
        <w:rPr>
          <w:b/>
          <w:bCs/>
        </w:rPr>
        <w:t>) Relativně nízká úroveň diverzifikace zemědělských podniků</w:t>
      </w:r>
    </w:p>
    <w:p w14:paraId="3EEC1B17" w14:textId="77777777" w:rsidR="00A14B9B" w:rsidRPr="002A0D4F" w:rsidRDefault="00A14B9B" w:rsidP="00880738">
      <w:pPr>
        <w:pStyle w:val="UZEINormaln"/>
      </w:pPr>
      <w:r w:rsidRPr="002A0D4F">
        <w:t xml:space="preserve">Problém je efektivně řešitelný v rámci nástrojů SZP, v současnosti je tento problém řešen v rámci PRV 2014-2020 především prioritní oblasti </w:t>
      </w:r>
      <w:proofErr w:type="gramStart"/>
      <w:r w:rsidRPr="002A0D4F">
        <w:t>6A</w:t>
      </w:r>
      <w:proofErr w:type="gramEnd"/>
      <w:r w:rsidRPr="002A0D4F">
        <w:t xml:space="preserve">. Ve zprávě ze střednědobého hodnocení (NAVIGA 4, EVALUATION ADVISORY CE, 2019) se uvádí, že v rámci 6. výzvy PRV došlo k registraci vyššího počtu projektů v operacích 6.4.1 a 6.4.2 než v předchozím období, nicméně je prozatím nízký implementační pokrok v počtu vytvořených pracovních míst. Z ex post analýzy PRV 2007-2013 vyplývá, že opatření podporující diverzifikaci a rozvoj podnikání na venkově bylo efektivní. V minulém PRV 2007-2013 byly na diverzifikaci a rozvoj podnikání zaměřeny především tyto tři opatření: </w:t>
      </w:r>
      <w:r w:rsidRPr="002A0D4F">
        <w:rPr>
          <w:rFonts w:eastAsiaTheme="minorEastAsia"/>
        </w:rPr>
        <w:t>III.1.1 Diverzifikace činností nezemědělské povahy; opatření III.1.2 Podpora zakládání podniků a jejich rozvoje; opatření III.1.3 Podpora cestovního ruchu</w:t>
      </w:r>
      <w:r w:rsidRPr="002A0D4F">
        <w:t>. Podpora diverzifikace byla též v rámci operace 19.2.1 „Podpora provádění operací v rámci komunitně vedeného místního rozvoje“. Do článku 19.1.b, jehož účelem je podpora investic na založení nebo rozvoj nezemědělských činností, směřovala více jak čtvrtina proplacených žádostí.</w:t>
      </w:r>
    </w:p>
    <w:p w14:paraId="02D816C7" w14:textId="77777777" w:rsidR="00A14B9B" w:rsidRPr="002A0D4F" w:rsidRDefault="00A14B9B" w:rsidP="00880738">
      <w:pPr>
        <w:pStyle w:val="UZEINormaln"/>
      </w:pPr>
      <w:r w:rsidRPr="002A0D4F">
        <w:t>Obdobně jako u podpory pracovních míst na venkově (bod i) i zde bude možné do budoucna uplatnit koncepci biohospodářství, kterou v roce 2019 schválilo Ministerstvo zemědělství ČR (</w:t>
      </w:r>
      <w:proofErr w:type="spellStart"/>
      <w:r w:rsidRPr="002A0D4F">
        <w:t>MZe</w:t>
      </w:r>
      <w:proofErr w:type="spellEnd"/>
      <w:r w:rsidRPr="002A0D4F">
        <w:t xml:space="preserve">, </w:t>
      </w:r>
      <w:proofErr w:type="gramStart"/>
      <w:r w:rsidRPr="002A0D4F">
        <w:t>2019a</w:t>
      </w:r>
      <w:proofErr w:type="gramEnd"/>
      <w:r w:rsidRPr="002A0D4F">
        <w:t xml:space="preserve">). Z koncepce vycházejí doporučení, která bude možné využít při plánování podpory diverzifikace zemědělských podniků, jedná se zejména udržitelný cestovní a zelený cestovní ruch, udržitelné hodnotové řetězce venkova v oborech, jako je průmysl založený na biotechnologiích a bioenergii nebo udržitelný rozvoj biohospodářství ve venkovských oblastech, zavedení inovativních klíčových technologií (nanotechnologie, biotechnologie atp.) do tradičních oborů (např. potravinářství, dřevařství). </w:t>
      </w:r>
    </w:p>
    <w:p w14:paraId="77A96995" w14:textId="77777777" w:rsidR="00A14B9B" w:rsidRPr="002A0D4F" w:rsidRDefault="00A14B9B" w:rsidP="00880738">
      <w:pPr>
        <w:pStyle w:val="UZEINormaln"/>
        <w:rPr>
          <w:b/>
          <w:bCs/>
        </w:rPr>
      </w:pPr>
      <w:proofErr w:type="spellStart"/>
      <w:r w:rsidRPr="002A0D4F">
        <w:rPr>
          <w:b/>
          <w:bCs/>
        </w:rPr>
        <w:t>iii</w:t>
      </w:r>
      <w:proofErr w:type="spellEnd"/>
      <w:r w:rsidRPr="002A0D4F">
        <w:rPr>
          <w:b/>
          <w:bCs/>
        </w:rPr>
        <w:t>) Nižší občanská a technická vybavenost venkova</w:t>
      </w:r>
    </w:p>
    <w:p w14:paraId="39446E9E" w14:textId="77777777" w:rsidR="00A14B9B" w:rsidRPr="002A0D4F" w:rsidRDefault="00A14B9B" w:rsidP="00880738">
      <w:pPr>
        <w:pStyle w:val="UZEINormaln"/>
      </w:pPr>
      <w:r w:rsidRPr="002A0D4F">
        <w:t>Ze závěru ex post analýzy PRV 2007–2013 vyplývá, že v rámci opatření pro podporu technické a vodohospodářské vybavenosti obcí byly plánované cíle splněny ve všech stanovených výstupových i výsledkových indikátorech. Ve většině případů došlo k výraznému převýšení plánovaných cílových hodnot. Projekty týkající se občanské vybavenosti měly zásadní vliv v podpořených obcích na zvýšení spokojenosti obyvatel a vedly k rozvoji zcela nových společenských aktivit. Cílová hodnota nebyla naplněna pouze u podpory připojení venkovského obyvatelstva k internetu, nicméně podpořené obce vykazovaly vyšší dynamiku při zavádění internetu v porovnání s nepodpořenými obcemi.</w:t>
      </w:r>
    </w:p>
    <w:p w14:paraId="1154760C" w14:textId="77777777" w:rsidR="00A14B9B" w:rsidRPr="002A0D4F" w:rsidRDefault="00A14B9B" w:rsidP="00880738">
      <w:pPr>
        <w:pStyle w:val="UZEINormaln"/>
      </w:pPr>
      <w:r w:rsidRPr="002A0D4F">
        <w:t>Díky tomuto výsledku lze zhodnotit dosažení výstupů jako efektivní.</w:t>
      </w:r>
    </w:p>
    <w:p w14:paraId="70416B3F" w14:textId="77777777" w:rsidR="00A14B9B" w:rsidRPr="002A0D4F" w:rsidRDefault="00A14B9B" w:rsidP="00880738">
      <w:pPr>
        <w:pStyle w:val="UZEINormaln"/>
      </w:pPr>
      <w:r w:rsidRPr="002A0D4F">
        <w:t>Konkrétně bylo v </w:t>
      </w:r>
      <w:proofErr w:type="spellStart"/>
      <w:r w:rsidRPr="002A0D4F">
        <w:t>podopatření</w:t>
      </w:r>
      <w:proofErr w:type="spellEnd"/>
      <w:r w:rsidRPr="002A0D4F">
        <w:t xml:space="preserve"> III.2.1.1. Obnova a rozvoj vesnic podáno 2891 žádostí, z nichž bylo schváleno 1120 projektů a celková alokace na opatření 194 334 tis. EUR byla vyčerpána v celkové výši (100 %). Bylo podpořeno 983 obcí. Cílová hodnota byla překročena o více než 40 %.</w:t>
      </w:r>
    </w:p>
    <w:p w14:paraId="18BC3544" w14:textId="77777777" w:rsidR="00A14B9B" w:rsidRPr="002A0D4F" w:rsidRDefault="00A14B9B" w:rsidP="00880738">
      <w:pPr>
        <w:pStyle w:val="UZEINormaln"/>
      </w:pPr>
      <w:r w:rsidRPr="002A0D4F">
        <w:t>Nedostatečná občanská vybavenost je dílem řešitelná pomocí MAS, zejména menší projekty, jako je zázemí pro turistiku, komunitní školy, sportoviště a služby občanům. Co se týče realizace polních cest, pokrok je relativně pomalý, většina naplánovaných cest v rámci plánu společných zařízení ještě realizována nebyla.</w:t>
      </w:r>
    </w:p>
    <w:p w14:paraId="07544268" w14:textId="77777777" w:rsidR="00A14B9B" w:rsidRPr="002A0D4F" w:rsidRDefault="00A14B9B" w:rsidP="00880738">
      <w:pPr>
        <w:pStyle w:val="UZEINormaln"/>
      </w:pPr>
      <w:r w:rsidRPr="002A0D4F">
        <w:t xml:space="preserve">V rámci PRV 2014-2020 byla v roce 2019 vypsána první výzva MAS dle článku 20 „Základní služby a obnova vesnic ve venkovských oblastech“. Úspěšnost zatím není známa a bude ji možno posoudit až s odstupem času, nicméně lze predikovat velký zájem. </w:t>
      </w:r>
    </w:p>
    <w:p w14:paraId="468434F2" w14:textId="77777777" w:rsidR="00A14B9B" w:rsidRPr="002A0D4F" w:rsidRDefault="00A14B9B" w:rsidP="00A14B9B">
      <w:pPr>
        <w:contextualSpacing/>
        <w:rPr>
          <w:lang w:val="cs-CZ"/>
        </w:rPr>
      </w:pPr>
    </w:p>
    <w:p w14:paraId="58F00559" w14:textId="77777777" w:rsidR="00A14B9B" w:rsidRPr="002A0D4F" w:rsidRDefault="00A14B9B" w:rsidP="00880738">
      <w:pPr>
        <w:pStyle w:val="UZEINormaln"/>
        <w:rPr>
          <w:b/>
          <w:bCs/>
        </w:rPr>
      </w:pPr>
      <w:proofErr w:type="spellStart"/>
      <w:r w:rsidRPr="002A0D4F">
        <w:rPr>
          <w:b/>
          <w:bCs/>
        </w:rPr>
        <w:lastRenderedPageBreak/>
        <w:t>iv</w:t>
      </w:r>
      <w:proofErr w:type="spellEnd"/>
      <w:r w:rsidRPr="002A0D4F">
        <w:rPr>
          <w:b/>
          <w:bCs/>
        </w:rPr>
        <w:t>) Výskyt chudoby a sociálního vyloučení ve venkovských lokalitách</w:t>
      </w:r>
    </w:p>
    <w:p w14:paraId="0B0A1495" w14:textId="77777777" w:rsidR="00A14B9B" w:rsidRPr="002A0D4F" w:rsidRDefault="00A14B9B" w:rsidP="00880738">
      <w:pPr>
        <w:pStyle w:val="UZEINormaln"/>
      </w:pPr>
      <w:r w:rsidRPr="002A0D4F">
        <w:t>Tento problém není efektivně řešitelný pomoci SZP, ale je řešen v rámci kohezní politiky, respektive promítá se v nastavení karet tematických podoblastí Národní koncepce realizace politiky soudržnosti v ČR po roce 2020.</w:t>
      </w:r>
    </w:p>
    <w:p w14:paraId="1CC4452A" w14:textId="77777777" w:rsidR="00A14B9B" w:rsidRPr="002A0D4F" w:rsidRDefault="00A14B9B" w:rsidP="00880738">
      <w:pPr>
        <w:pStyle w:val="UZEINormaln"/>
      </w:pPr>
      <w:r w:rsidRPr="002A0D4F">
        <w:t xml:space="preserve">Hlavním cílem SZP není snižování chudoby, nicméně realizací některých opatření může SZP přispívat v přenesené rovině i k tomuto cíli. Zejména tím, že je podporován hospodářský rozvoj regionů – je podporována produkce v méně konkurenceschopných oblastech, zachování a vytváření pracovních míst a nových pracovních příležitostí i pro méně kvalifikované pracovní síly, posílení ekonomického potenciálu regionů, tím přispívá i k zachování a rozvoji služeb na venkově a stabilizaci venkovských oblastí, čímž působí i na snížení ohrožení chudobou v těchto oblastech. </w:t>
      </w:r>
    </w:p>
    <w:p w14:paraId="309E161B" w14:textId="1FE73847" w:rsidR="00A14B9B" w:rsidRPr="002A0D4F" w:rsidRDefault="00A14B9B" w:rsidP="00880738">
      <w:pPr>
        <w:pStyle w:val="UZEINormaln"/>
      </w:pPr>
      <w:r w:rsidRPr="002A0D4F">
        <w:t xml:space="preserve">Současnou politikou lze ovlivnit podmínky pro zachování a podporu hospodářského rozvoje (včetně vzdělávání a šíření informací mezi aktéry venkova). Nelze však ovlivnit zapojení jednotlivců a využití možností plynoucí z těchto podpor. </w:t>
      </w:r>
    </w:p>
    <w:p w14:paraId="3BC2C5FA" w14:textId="0466B711" w:rsidR="00A14B9B" w:rsidRPr="002A0D4F" w:rsidRDefault="00A14B9B" w:rsidP="00880738">
      <w:pPr>
        <w:pStyle w:val="UZEINormaln"/>
      </w:pPr>
      <w:r w:rsidRPr="002A0D4F">
        <w:t xml:space="preserve">Výskyt chudoby ve venkovských oblastech byl a je vhodným tématem pro strategie MAS, zejména pro vyloučené skupiny obyvatel, staré lidi a mládež. Často je však toto téma v současné době spíše financováno ze zdrojů OPZ nebo IROP. </w:t>
      </w:r>
    </w:p>
    <w:p w14:paraId="25D90B82" w14:textId="77777777" w:rsidR="00A14B9B" w:rsidRPr="002A0D4F" w:rsidRDefault="00A14B9B" w:rsidP="00880738">
      <w:pPr>
        <w:pStyle w:val="UZEINormaln"/>
      </w:pPr>
      <w:r w:rsidRPr="002A0D4F">
        <w:t xml:space="preserve">Řada problémů venkova je efektivně řešena místními akčními skupinami (MAS) prostřednictvím integrované strategie SCLLD. </w:t>
      </w:r>
      <w:r w:rsidRPr="002A0D4F">
        <w:rPr>
          <w:bCs/>
        </w:rPr>
        <w:t xml:space="preserve">MAS </w:t>
      </w:r>
      <w:r w:rsidRPr="002A0D4F">
        <w:t>je na politickém rozhodování nezávislým společenstvím občanů, neziskových organizací, soukromé podnikatelské sféry a veřejné správy (obcí, svazků obcí a institucí veřejné moci), které spolupracuje na rozvoji venkova, zemědělství a získávání finanční podpory z EU a z národních programů pro svůj region, metodou LEADER. MAS jsou základním článkem komunitně vedeného místního rozvoje v České republice.</w:t>
      </w:r>
    </w:p>
    <w:p w14:paraId="129B4D8D" w14:textId="77777777" w:rsidR="00A14B9B" w:rsidRPr="002A0D4F" w:rsidRDefault="00A14B9B" w:rsidP="00880738">
      <w:pPr>
        <w:pStyle w:val="UZEINormaln"/>
      </w:pPr>
      <w:r w:rsidRPr="002A0D4F">
        <w:t xml:space="preserve">Výsledkové indikátory R 22 Podíl venkovské populace pokryté strategiemi místního rozvoje a R 24 Pracovní místa vytvořená v rámci podpořených projektů (LEADER) a podíl výdajů na celkových výdajích (M19) jsou uvedeny níže v tabulce. </w:t>
      </w:r>
    </w:p>
    <w:p w14:paraId="329B1EBC" w14:textId="797A2BE0" w:rsidR="00A14B9B" w:rsidRPr="00880738" w:rsidRDefault="00A14B9B" w:rsidP="00880738">
      <w:pPr>
        <w:pStyle w:val="UZEITaB"/>
      </w:pPr>
      <w:bookmarkStart w:id="109" w:name="_Toc81757322"/>
      <w:bookmarkStart w:id="110" w:name="_Toc81815318"/>
      <w:bookmarkStart w:id="111" w:name="_Toc81816996"/>
      <w:bookmarkStart w:id="112" w:name="_Toc81817509"/>
      <w:r w:rsidRPr="00880738">
        <w:t>Výsledkové indikátory R 22/T21, R 24/T23 a podíl výdajů na celkových výdajích (M19)</w:t>
      </w:r>
      <w:bookmarkEnd w:id="109"/>
      <w:bookmarkEnd w:id="110"/>
      <w:bookmarkEnd w:id="111"/>
      <w:bookmarkEnd w:id="112"/>
    </w:p>
    <w:tbl>
      <w:tblPr>
        <w:tblW w:w="4999" w:type="pct"/>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372"/>
        <w:gridCol w:w="1693"/>
        <w:gridCol w:w="1269"/>
        <w:gridCol w:w="1680"/>
      </w:tblGrid>
      <w:tr w:rsidR="001344FD" w:rsidRPr="00880738" w14:paraId="1C0D3C3B" w14:textId="77777777" w:rsidTr="00DB1D1D">
        <w:trPr>
          <w:trHeight w:val="450"/>
          <w:tblHeader/>
        </w:trPr>
        <w:tc>
          <w:tcPr>
            <w:tcW w:w="2425" w:type="pct"/>
            <w:shd w:val="clear" w:color="auto" w:fill="FFE49E"/>
            <w:vAlign w:val="center"/>
            <w:hideMark/>
          </w:tcPr>
          <w:p w14:paraId="03F6E672" w14:textId="77777777" w:rsidR="00A14B9B" w:rsidRPr="00880738" w:rsidRDefault="00A14B9B" w:rsidP="00DB1D1D">
            <w:pPr>
              <w:pStyle w:val="textvtabulce"/>
              <w:spacing w:before="0" w:after="0"/>
              <w:jc w:val="center"/>
              <w:rPr>
                <w:rFonts w:ascii="Times New Roman" w:hAnsi="Times New Roman" w:cs="Times New Roman"/>
                <w:b/>
                <w:sz w:val="22"/>
                <w:lang w:val="cs-CZ" w:eastAsia="cs-CZ"/>
              </w:rPr>
            </w:pPr>
            <w:r w:rsidRPr="00880738">
              <w:rPr>
                <w:rFonts w:ascii="Times New Roman" w:hAnsi="Times New Roman" w:cs="Times New Roman"/>
                <w:b/>
                <w:sz w:val="22"/>
                <w:lang w:val="cs-CZ" w:eastAsia="cs-CZ"/>
              </w:rPr>
              <w:t>Indikátor</w:t>
            </w:r>
          </w:p>
        </w:tc>
        <w:tc>
          <w:tcPr>
            <w:tcW w:w="939" w:type="pct"/>
            <w:shd w:val="clear" w:color="auto" w:fill="FFE49E"/>
            <w:vAlign w:val="center"/>
            <w:hideMark/>
          </w:tcPr>
          <w:p w14:paraId="31F35637" w14:textId="77777777" w:rsidR="00A14B9B" w:rsidRPr="00880738" w:rsidRDefault="00A14B9B" w:rsidP="00DB1D1D">
            <w:pPr>
              <w:pStyle w:val="textvtabulce"/>
              <w:spacing w:before="0" w:after="0"/>
              <w:jc w:val="center"/>
              <w:rPr>
                <w:rFonts w:ascii="Times New Roman" w:hAnsi="Times New Roman" w:cs="Times New Roman"/>
                <w:b/>
                <w:sz w:val="22"/>
                <w:lang w:val="cs-CZ" w:eastAsia="cs-CZ"/>
              </w:rPr>
            </w:pPr>
            <w:r w:rsidRPr="00880738">
              <w:rPr>
                <w:rFonts w:ascii="Times New Roman" w:hAnsi="Times New Roman" w:cs="Times New Roman"/>
                <w:b/>
                <w:sz w:val="22"/>
                <w:lang w:val="cs-CZ" w:eastAsia="cs-CZ"/>
              </w:rPr>
              <w:t>Hodnota k 31. 12. 2019 (a)</w:t>
            </w:r>
          </w:p>
        </w:tc>
        <w:tc>
          <w:tcPr>
            <w:tcW w:w="704" w:type="pct"/>
            <w:shd w:val="clear" w:color="auto" w:fill="FFE49E"/>
            <w:vAlign w:val="center"/>
            <w:hideMark/>
          </w:tcPr>
          <w:p w14:paraId="5F3F5BAA" w14:textId="77777777" w:rsidR="00A14B9B" w:rsidRPr="00880738" w:rsidRDefault="00A14B9B" w:rsidP="00DB1D1D">
            <w:pPr>
              <w:pStyle w:val="textvtabulce"/>
              <w:spacing w:before="0" w:after="0"/>
              <w:jc w:val="center"/>
              <w:rPr>
                <w:rFonts w:ascii="Times New Roman" w:hAnsi="Times New Roman" w:cs="Times New Roman"/>
                <w:b/>
                <w:sz w:val="22"/>
                <w:lang w:val="cs-CZ" w:eastAsia="cs-CZ"/>
              </w:rPr>
            </w:pPr>
            <w:r w:rsidRPr="00880738">
              <w:rPr>
                <w:rFonts w:ascii="Times New Roman" w:hAnsi="Times New Roman" w:cs="Times New Roman"/>
                <w:b/>
                <w:sz w:val="22"/>
                <w:lang w:val="cs-CZ" w:eastAsia="cs-CZ"/>
              </w:rPr>
              <w:t>Cílová hodnota (b)</w:t>
            </w:r>
          </w:p>
        </w:tc>
        <w:tc>
          <w:tcPr>
            <w:tcW w:w="932" w:type="pct"/>
            <w:shd w:val="clear" w:color="auto" w:fill="FFE49E"/>
            <w:vAlign w:val="center"/>
            <w:hideMark/>
          </w:tcPr>
          <w:p w14:paraId="1CAC60E0" w14:textId="77777777" w:rsidR="00A14B9B" w:rsidRPr="00880738" w:rsidRDefault="00A14B9B" w:rsidP="00DB1D1D">
            <w:pPr>
              <w:pStyle w:val="textvtabulce"/>
              <w:spacing w:before="0" w:after="0"/>
              <w:jc w:val="center"/>
              <w:rPr>
                <w:rFonts w:ascii="Times New Roman" w:hAnsi="Times New Roman" w:cs="Times New Roman"/>
                <w:b/>
                <w:sz w:val="22"/>
                <w:lang w:val="cs-CZ" w:eastAsia="cs-CZ"/>
              </w:rPr>
            </w:pPr>
            <w:r w:rsidRPr="00880738">
              <w:rPr>
                <w:rFonts w:ascii="Times New Roman" w:hAnsi="Times New Roman" w:cs="Times New Roman"/>
                <w:b/>
                <w:sz w:val="22"/>
                <w:lang w:val="cs-CZ" w:eastAsia="cs-CZ"/>
              </w:rPr>
              <w:t>Míra naplnění (a/b)</w:t>
            </w:r>
          </w:p>
        </w:tc>
      </w:tr>
      <w:tr w:rsidR="00A14B9B" w:rsidRPr="00880738" w14:paraId="1F64B5A3" w14:textId="77777777" w:rsidTr="00DB1D1D">
        <w:trPr>
          <w:trHeight w:val="690"/>
        </w:trPr>
        <w:tc>
          <w:tcPr>
            <w:tcW w:w="2425" w:type="pct"/>
            <w:vAlign w:val="center"/>
            <w:hideMark/>
          </w:tcPr>
          <w:p w14:paraId="42CC6885" w14:textId="77777777" w:rsidR="00A14B9B" w:rsidRPr="00880738" w:rsidRDefault="00A14B9B" w:rsidP="00DB1D1D">
            <w:pPr>
              <w:pStyle w:val="textvtabulce"/>
              <w:spacing w:before="0" w:after="0"/>
              <w:rPr>
                <w:rFonts w:ascii="Times New Roman" w:hAnsi="Times New Roman" w:cs="Times New Roman"/>
                <w:sz w:val="22"/>
                <w:lang w:val="cs-CZ" w:eastAsia="cs-CZ"/>
              </w:rPr>
            </w:pPr>
            <w:r w:rsidRPr="00880738">
              <w:rPr>
                <w:rFonts w:ascii="Times New Roman" w:hAnsi="Times New Roman" w:cs="Times New Roman"/>
                <w:sz w:val="22"/>
                <w:lang w:val="cs-CZ"/>
              </w:rPr>
              <w:t>R 22/T21 (93510) Podíl venkovské populace pokryté strategiemi místního rozvoje (19.2)</w:t>
            </w:r>
          </w:p>
        </w:tc>
        <w:tc>
          <w:tcPr>
            <w:tcW w:w="939" w:type="pct"/>
            <w:vAlign w:val="center"/>
          </w:tcPr>
          <w:p w14:paraId="36D27BED" w14:textId="77777777" w:rsidR="00A14B9B" w:rsidRPr="00880738" w:rsidRDefault="00A14B9B" w:rsidP="00DB1D1D">
            <w:pPr>
              <w:pStyle w:val="textvtabulce"/>
              <w:spacing w:before="0" w:after="0"/>
              <w:jc w:val="right"/>
              <w:rPr>
                <w:rFonts w:ascii="Times New Roman" w:hAnsi="Times New Roman" w:cs="Times New Roman"/>
                <w:sz w:val="22"/>
                <w:lang w:val="cs-CZ" w:eastAsia="cs-CZ"/>
              </w:rPr>
            </w:pPr>
            <w:r w:rsidRPr="00880738">
              <w:rPr>
                <w:rFonts w:ascii="Times New Roman" w:hAnsi="Times New Roman" w:cs="Times New Roman"/>
                <w:sz w:val="22"/>
                <w:lang w:val="cs-CZ" w:eastAsia="cs-CZ"/>
              </w:rPr>
              <w:t>92,5 %</w:t>
            </w:r>
          </w:p>
        </w:tc>
        <w:tc>
          <w:tcPr>
            <w:tcW w:w="704" w:type="pct"/>
            <w:vAlign w:val="center"/>
            <w:hideMark/>
          </w:tcPr>
          <w:p w14:paraId="43E9031F" w14:textId="77777777" w:rsidR="00A14B9B" w:rsidRPr="00880738" w:rsidRDefault="00A14B9B" w:rsidP="00DB1D1D">
            <w:pPr>
              <w:pStyle w:val="textvtabulce"/>
              <w:spacing w:before="0" w:after="0"/>
              <w:jc w:val="right"/>
              <w:rPr>
                <w:rFonts w:ascii="Times New Roman" w:hAnsi="Times New Roman" w:cs="Times New Roman"/>
                <w:sz w:val="22"/>
                <w:lang w:val="cs-CZ" w:eastAsia="cs-CZ"/>
              </w:rPr>
            </w:pPr>
            <w:r w:rsidRPr="00880738">
              <w:rPr>
                <w:rFonts w:ascii="Times New Roman" w:hAnsi="Times New Roman" w:cs="Times New Roman"/>
                <w:sz w:val="22"/>
                <w:lang w:val="cs-CZ"/>
              </w:rPr>
              <w:t>66 %</w:t>
            </w:r>
          </w:p>
        </w:tc>
        <w:tc>
          <w:tcPr>
            <w:tcW w:w="932" w:type="pct"/>
            <w:vAlign w:val="center"/>
          </w:tcPr>
          <w:p w14:paraId="5D2995CD" w14:textId="77777777" w:rsidR="00A14B9B" w:rsidRPr="00880738" w:rsidRDefault="00A14B9B" w:rsidP="00DB1D1D">
            <w:pPr>
              <w:pStyle w:val="textvtabulce"/>
              <w:spacing w:before="0" w:after="0"/>
              <w:jc w:val="right"/>
              <w:rPr>
                <w:rFonts w:ascii="Times New Roman" w:hAnsi="Times New Roman" w:cs="Times New Roman"/>
                <w:sz w:val="22"/>
                <w:lang w:val="cs-CZ" w:eastAsia="cs-CZ"/>
              </w:rPr>
            </w:pPr>
            <w:r w:rsidRPr="00880738">
              <w:rPr>
                <w:rFonts w:ascii="Times New Roman" w:hAnsi="Times New Roman" w:cs="Times New Roman"/>
                <w:sz w:val="22"/>
                <w:lang w:val="cs-CZ" w:eastAsia="cs-CZ"/>
              </w:rPr>
              <w:t>140 %</w:t>
            </w:r>
          </w:p>
        </w:tc>
      </w:tr>
      <w:tr w:rsidR="00A14B9B" w:rsidRPr="00880738" w14:paraId="5606D02A" w14:textId="77777777" w:rsidTr="00DB1D1D">
        <w:trPr>
          <w:trHeight w:val="623"/>
        </w:trPr>
        <w:tc>
          <w:tcPr>
            <w:tcW w:w="2425" w:type="pct"/>
            <w:vAlign w:val="center"/>
            <w:hideMark/>
          </w:tcPr>
          <w:p w14:paraId="7598F1B9" w14:textId="77777777" w:rsidR="00A14B9B" w:rsidRPr="00880738" w:rsidRDefault="00A14B9B" w:rsidP="00DB1D1D">
            <w:pPr>
              <w:pStyle w:val="textvtabulce"/>
              <w:spacing w:before="0" w:after="0"/>
              <w:rPr>
                <w:rFonts w:ascii="Times New Roman" w:hAnsi="Times New Roman" w:cs="Times New Roman"/>
                <w:sz w:val="22"/>
                <w:lang w:val="cs-CZ" w:eastAsia="cs-CZ"/>
              </w:rPr>
            </w:pPr>
            <w:r w:rsidRPr="00880738">
              <w:rPr>
                <w:rFonts w:ascii="Times New Roman" w:hAnsi="Times New Roman" w:cs="Times New Roman"/>
                <w:sz w:val="22"/>
                <w:lang w:val="cs-CZ"/>
              </w:rPr>
              <w:t>R 24/T23 (94800) Pracovní místa vytvořená v rámci podpořených projektů (LEADER) (19.2)</w:t>
            </w:r>
          </w:p>
        </w:tc>
        <w:tc>
          <w:tcPr>
            <w:tcW w:w="939" w:type="pct"/>
            <w:vAlign w:val="center"/>
          </w:tcPr>
          <w:p w14:paraId="077E394D" w14:textId="77777777" w:rsidR="00A14B9B" w:rsidRPr="00880738" w:rsidRDefault="00A14B9B" w:rsidP="00DB1D1D">
            <w:pPr>
              <w:pStyle w:val="textvtabulce"/>
              <w:spacing w:before="0" w:after="0"/>
              <w:jc w:val="right"/>
              <w:rPr>
                <w:rFonts w:ascii="Times New Roman" w:hAnsi="Times New Roman" w:cs="Times New Roman"/>
                <w:sz w:val="22"/>
                <w:lang w:val="cs-CZ" w:eastAsia="cs-CZ"/>
              </w:rPr>
            </w:pPr>
            <w:r w:rsidRPr="00880738">
              <w:rPr>
                <w:rFonts w:ascii="Times New Roman" w:hAnsi="Times New Roman" w:cs="Times New Roman"/>
                <w:sz w:val="22"/>
                <w:lang w:val="cs-CZ" w:eastAsia="cs-CZ"/>
              </w:rPr>
              <w:t xml:space="preserve">454,79 </w:t>
            </w:r>
          </w:p>
        </w:tc>
        <w:tc>
          <w:tcPr>
            <w:tcW w:w="704" w:type="pct"/>
            <w:vAlign w:val="center"/>
            <w:hideMark/>
          </w:tcPr>
          <w:p w14:paraId="1068F274" w14:textId="77777777" w:rsidR="00A14B9B" w:rsidRPr="00880738" w:rsidRDefault="00A14B9B" w:rsidP="00DB1D1D">
            <w:pPr>
              <w:pStyle w:val="textvtabulce"/>
              <w:spacing w:before="0" w:after="0"/>
              <w:jc w:val="right"/>
              <w:rPr>
                <w:rFonts w:ascii="Times New Roman" w:hAnsi="Times New Roman" w:cs="Times New Roman"/>
                <w:sz w:val="22"/>
                <w:lang w:val="cs-CZ" w:eastAsia="cs-CZ"/>
              </w:rPr>
            </w:pPr>
            <w:r w:rsidRPr="00880738">
              <w:rPr>
                <w:rFonts w:ascii="Times New Roman" w:hAnsi="Times New Roman" w:cs="Times New Roman"/>
                <w:sz w:val="22"/>
                <w:lang w:val="cs-CZ"/>
              </w:rPr>
              <w:t>750</w:t>
            </w:r>
          </w:p>
        </w:tc>
        <w:tc>
          <w:tcPr>
            <w:tcW w:w="932" w:type="pct"/>
            <w:vAlign w:val="center"/>
          </w:tcPr>
          <w:p w14:paraId="2529F773" w14:textId="77777777" w:rsidR="00A14B9B" w:rsidRPr="00880738" w:rsidRDefault="00A14B9B" w:rsidP="00DB1D1D">
            <w:pPr>
              <w:pStyle w:val="textvtabulce"/>
              <w:spacing w:before="0" w:after="0"/>
              <w:jc w:val="right"/>
              <w:rPr>
                <w:rFonts w:ascii="Times New Roman" w:hAnsi="Times New Roman" w:cs="Times New Roman"/>
                <w:sz w:val="22"/>
                <w:lang w:val="cs-CZ" w:eastAsia="cs-CZ"/>
              </w:rPr>
            </w:pPr>
            <w:r w:rsidRPr="00880738">
              <w:rPr>
                <w:rFonts w:ascii="Times New Roman" w:hAnsi="Times New Roman" w:cs="Times New Roman"/>
                <w:sz w:val="22"/>
                <w:lang w:val="cs-CZ" w:eastAsia="cs-CZ"/>
              </w:rPr>
              <w:t>61 %</w:t>
            </w:r>
          </w:p>
        </w:tc>
      </w:tr>
      <w:tr w:rsidR="00A14B9B" w:rsidRPr="00880738" w14:paraId="39DD8DD7" w14:textId="77777777" w:rsidTr="00DB1D1D">
        <w:trPr>
          <w:trHeight w:val="623"/>
        </w:trPr>
        <w:tc>
          <w:tcPr>
            <w:tcW w:w="2425" w:type="pct"/>
            <w:vAlign w:val="center"/>
          </w:tcPr>
          <w:p w14:paraId="5E6CCFD8" w14:textId="77777777" w:rsidR="00A14B9B" w:rsidRPr="00880738" w:rsidRDefault="00A14B9B" w:rsidP="00DB1D1D">
            <w:pPr>
              <w:pStyle w:val="textvtabulce"/>
              <w:spacing w:before="0" w:after="0"/>
              <w:rPr>
                <w:rFonts w:ascii="Times New Roman" w:hAnsi="Times New Roman" w:cs="Times New Roman"/>
                <w:sz w:val="22"/>
                <w:lang w:val="cs-CZ"/>
              </w:rPr>
            </w:pPr>
            <w:r w:rsidRPr="00880738">
              <w:rPr>
                <w:rFonts w:ascii="Times New Roman" w:hAnsi="Times New Roman" w:cs="Times New Roman"/>
                <w:sz w:val="22"/>
                <w:lang w:val="cs-CZ"/>
              </w:rPr>
              <w:t>Podíl výdajů LEADER na celkových výdajích PRV (M19)</w:t>
            </w:r>
          </w:p>
        </w:tc>
        <w:tc>
          <w:tcPr>
            <w:tcW w:w="939" w:type="pct"/>
            <w:vAlign w:val="center"/>
          </w:tcPr>
          <w:p w14:paraId="0F6E8396" w14:textId="77777777" w:rsidR="00A14B9B" w:rsidRPr="00880738" w:rsidRDefault="00A14B9B" w:rsidP="00DB1D1D">
            <w:pPr>
              <w:pStyle w:val="textvtabulce"/>
              <w:spacing w:before="0" w:after="0"/>
              <w:jc w:val="right"/>
              <w:rPr>
                <w:rFonts w:ascii="Times New Roman" w:hAnsi="Times New Roman" w:cs="Times New Roman"/>
                <w:sz w:val="22"/>
                <w:lang w:val="cs-CZ" w:eastAsia="cs-CZ"/>
              </w:rPr>
            </w:pPr>
            <w:r w:rsidRPr="00880738">
              <w:rPr>
                <w:rFonts w:ascii="Times New Roman" w:hAnsi="Times New Roman" w:cs="Times New Roman"/>
                <w:sz w:val="22"/>
                <w:lang w:val="cs-CZ" w:eastAsia="cs-CZ"/>
              </w:rPr>
              <w:t>1,64 %</w:t>
            </w:r>
          </w:p>
        </w:tc>
        <w:tc>
          <w:tcPr>
            <w:tcW w:w="704" w:type="pct"/>
            <w:vAlign w:val="center"/>
          </w:tcPr>
          <w:p w14:paraId="1DBADD79" w14:textId="77777777" w:rsidR="00A14B9B" w:rsidRPr="00880738" w:rsidRDefault="00A14B9B" w:rsidP="00DB1D1D">
            <w:pPr>
              <w:pStyle w:val="textvtabulce"/>
              <w:spacing w:before="0" w:after="0"/>
              <w:jc w:val="right"/>
              <w:rPr>
                <w:rFonts w:ascii="Times New Roman" w:hAnsi="Times New Roman" w:cs="Times New Roman"/>
                <w:sz w:val="22"/>
                <w:lang w:val="cs-CZ"/>
              </w:rPr>
            </w:pPr>
            <w:r w:rsidRPr="00880738">
              <w:rPr>
                <w:rFonts w:ascii="Times New Roman" w:hAnsi="Times New Roman" w:cs="Times New Roman"/>
                <w:sz w:val="22"/>
                <w:lang w:val="cs-CZ"/>
              </w:rPr>
              <w:t>NS</w:t>
            </w:r>
          </w:p>
        </w:tc>
        <w:tc>
          <w:tcPr>
            <w:tcW w:w="932" w:type="pct"/>
            <w:vAlign w:val="center"/>
          </w:tcPr>
          <w:p w14:paraId="24CF257A" w14:textId="77777777" w:rsidR="00A14B9B" w:rsidRPr="00880738" w:rsidRDefault="00A14B9B" w:rsidP="00DB1D1D">
            <w:pPr>
              <w:pStyle w:val="textvtabulce"/>
              <w:spacing w:before="0" w:after="0"/>
              <w:jc w:val="right"/>
              <w:rPr>
                <w:rFonts w:ascii="Times New Roman" w:hAnsi="Times New Roman" w:cs="Times New Roman"/>
                <w:sz w:val="22"/>
                <w:lang w:val="cs-CZ" w:eastAsia="cs-CZ"/>
              </w:rPr>
            </w:pPr>
            <w:r w:rsidRPr="00880738">
              <w:rPr>
                <w:rFonts w:ascii="Times New Roman" w:hAnsi="Times New Roman" w:cs="Times New Roman"/>
                <w:sz w:val="22"/>
                <w:lang w:val="cs-CZ"/>
              </w:rPr>
              <w:t>NS</w:t>
            </w:r>
          </w:p>
        </w:tc>
      </w:tr>
    </w:tbl>
    <w:p w14:paraId="039746C1" w14:textId="77777777" w:rsidR="00A14B9B" w:rsidRPr="002A0D4F" w:rsidRDefault="00A14B9B" w:rsidP="00880738">
      <w:pPr>
        <w:pStyle w:val="UZEIZdroj"/>
        <w:rPr>
          <w:rFonts w:asciiTheme="majorHAnsi" w:hAnsiTheme="majorHAnsi" w:cstheme="majorHAnsi"/>
          <w:i w:val="0"/>
          <w:sz w:val="18"/>
          <w:szCs w:val="18"/>
        </w:rPr>
      </w:pPr>
      <w:r w:rsidRPr="002A0D4F">
        <w:t>Zdroj: Střednědobé hodnocení PRV 2019</w:t>
      </w:r>
    </w:p>
    <w:p w14:paraId="5D81FED4" w14:textId="77777777" w:rsidR="00A14B9B" w:rsidRPr="002A0D4F" w:rsidRDefault="00A14B9B" w:rsidP="00880738">
      <w:pPr>
        <w:pStyle w:val="UZEINormaln"/>
      </w:pPr>
      <w:r w:rsidRPr="002A0D4F">
        <w:t xml:space="preserve">V České republice bylo k 14. 6. 2019 evidováno celkem 179 MAS, které územně zahrnují 94 % obcí ČR dle dat ČSÚ.  Zároveň všechny tyto MAS prošly úspěšně tzv. procesem Standardizace (Metodika pro standardizaci místních akčních skupin v programovém období let 2014-2020), jehož výsledkem je nejen obdržení Osvědčení o standardizaci, umožňující realizovat SCLLD na vymezeném územní působnosti MAS. </w:t>
      </w:r>
    </w:p>
    <w:p w14:paraId="5F19E501" w14:textId="77777777" w:rsidR="00A14B9B" w:rsidRPr="002A0D4F" w:rsidRDefault="00A14B9B" w:rsidP="00880738">
      <w:pPr>
        <w:pStyle w:val="UZEINormaln"/>
      </w:pPr>
      <w:r w:rsidRPr="002A0D4F">
        <w:t>Podíl venkovské populace pokryté strategiemi místního rozvoje je naplněn na 142 % z plánované hodnoty. Schválené strategie pokrývají přes 6 mil. obyvatel – tedy více než tři čtvrtiny celkové venkovské populace ČR.</w:t>
      </w:r>
    </w:p>
    <w:p w14:paraId="0210BF9C" w14:textId="77777777" w:rsidR="00A14B9B" w:rsidRPr="002A0D4F" w:rsidRDefault="00A14B9B" w:rsidP="00880738">
      <w:pPr>
        <w:pStyle w:val="UZEINormaln"/>
      </w:pPr>
      <w:r w:rsidRPr="002A0D4F">
        <w:lastRenderedPageBreak/>
        <w:t>Vysoké pokrytí MAS na území ČR je vyjádřena graficky na mapě níže:</w:t>
      </w:r>
    </w:p>
    <w:p w14:paraId="3575C687" w14:textId="77777777" w:rsidR="005315B7" w:rsidRDefault="00A14B9B" w:rsidP="007C5873">
      <w:pPr>
        <w:pStyle w:val="UZEIObr"/>
      </w:pPr>
      <w:bookmarkStart w:id="113" w:name="_Toc81815382"/>
      <w:bookmarkStart w:id="114" w:name="_Toc81817587"/>
      <w:r w:rsidRPr="00880738">
        <w:t>Místní akční skupiny – pokrytí ČR k 1. 4. 2018</w:t>
      </w:r>
      <w:bookmarkEnd w:id="113"/>
      <w:bookmarkEnd w:id="114"/>
    </w:p>
    <w:p w14:paraId="4DB0D11A" w14:textId="47A58F43" w:rsidR="00A14B9B" w:rsidRPr="00880738" w:rsidRDefault="00A14B9B" w:rsidP="00880738">
      <w:pPr>
        <w:pStyle w:val="UZEIZdroj"/>
        <w:rPr>
          <w:rFonts w:asciiTheme="majorHAnsi" w:hAnsiTheme="majorHAnsi" w:cstheme="majorHAnsi"/>
          <w:b/>
          <w:i w:val="0"/>
          <w:sz w:val="22"/>
          <w:szCs w:val="22"/>
        </w:rPr>
      </w:pPr>
      <w:r w:rsidRPr="002A0D4F">
        <w:rPr>
          <w:noProof/>
          <w:lang w:eastAsia="cs-CZ"/>
        </w:rPr>
        <w:drawing>
          <wp:inline distT="0" distB="0" distL="0" distR="0" wp14:anchorId="25BF9746" wp14:editId="421B1892">
            <wp:extent cx="5542860" cy="3924300"/>
            <wp:effectExtent l="0" t="0" r="1270" b="0"/>
            <wp:docPr id="78536662" name="Obrázek 1737972133" descr="MAS_4_2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737972133"/>
                    <pic:cNvPicPr/>
                  </pic:nvPicPr>
                  <pic:blipFill>
                    <a:blip r:embed="rId9">
                      <a:extLst>
                        <a:ext uri="{28A0092B-C50C-407E-A947-70E740481C1C}">
                          <a14:useLocalDpi xmlns:a14="http://schemas.microsoft.com/office/drawing/2010/main" val="0"/>
                        </a:ext>
                      </a:extLst>
                    </a:blip>
                    <a:stretch>
                      <a:fillRect/>
                    </a:stretch>
                  </pic:blipFill>
                  <pic:spPr>
                    <a:xfrm>
                      <a:off x="0" y="0"/>
                      <a:ext cx="5542860" cy="3924300"/>
                    </a:xfrm>
                    <a:prstGeom prst="rect">
                      <a:avLst/>
                    </a:prstGeom>
                  </pic:spPr>
                </pic:pic>
              </a:graphicData>
            </a:graphic>
          </wp:inline>
        </w:drawing>
      </w:r>
      <w:r w:rsidRPr="002A0D4F">
        <w:br/>
      </w:r>
      <w:r w:rsidRPr="00880738">
        <w:t xml:space="preserve"> Zdroj: nsmascr.cz</w:t>
      </w:r>
    </w:p>
    <w:p w14:paraId="0060B606" w14:textId="77777777" w:rsidR="00A14B9B" w:rsidRPr="002A0D4F" w:rsidRDefault="00A14B9B" w:rsidP="00880738">
      <w:pPr>
        <w:pStyle w:val="UZEINormaln"/>
      </w:pPr>
      <w:r w:rsidRPr="002A0D4F">
        <w:t xml:space="preserve">Na základě Metodického pokynu MMR je prováděna </w:t>
      </w:r>
      <w:proofErr w:type="spellStart"/>
      <w:r w:rsidRPr="002A0D4F">
        <w:t>mid</w:t>
      </w:r>
      <w:proofErr w:type="spellEnd"/>
      <w:r w:rsidRPr="002A0D4F">
        <w:t xml:space="preserve">-term evaluace realizace a plnění integrovaných SCLLD s údaji platnými k 31. 12. 2018. Tuto evaluaci zpracovala každá MAS v 1. pol. roku 2019 se zaměřením na konkrétní strategii, resp. MAS/území MAS. </w:t>
      </w:r>
    </w:p>
    <w:p w14:paraId="1933B6E9" w14:textId="77777777" w:rsidR="00A14B9B" w:rsidRPr="002A0D4F" w:rsidRDefault="00A14B9B" w:rsidP="00880738">
      <w:pPr>
        <w:pStyle w:val="UZEINormaln"/>
      </w:pPr>
      <w:r w:rsidRPr="002A0D4F">
        <w:t xml:space="preserve">NS MAS projednala s </w:t>
      </w:r>
      <w:proofErr w:type="spellStart"/>
      <w:r w:rsidRPr="002A0D4F">
        <w:t>MZe</w:t>
      </w:r>
      <w:proofErr w:type="spellEnd"/>
      <w:r w:rsidRPr="002A0D4F">
        <w:t xml:space="preserve"> přípravu zařazení vybraných aktivit tzv. čl. 20 Základní služby a obnova vesnic ve venkovských oblastech do modifikace programového dokumentu PRV. Jedná se o aktivity dle oblastí uvedené v Pravidlech. </w:t>
      </w:r>
    </w:p>
    <w:p w14:paraId="6FFCBAFF" w14:textId="77777777" w:rsidR="00A14B9B" w:rsidRPr="002A0D4F" w:rsidRDefault="00A14B9B" w:rsidP="00880738">
      <w:pPr>
        <w:pStyle w:val="UZEINormaln"/>
      </w:pPr>
      <w:r w:rsidRPr="002A0D4F">
        <w:t xml:space="preserve">Byly vyspecifikovány jednotlivé oblasti podpory, i s ohledem na možné překryvy s ostatními dotačními programy a riziko veřejné podpory. Nové aktivity je možné do Strategií CLLD přidat až v návaznosti na závěry střednědobé evaluace, tj. v průběhu roku 2019. </w:t>
      </w:r>
    </w:p>
    <w:p w14:paraId="4D9EB33E" w14:textId="77777777" w:rsidR="00A14B9B" w:rsidRPr="002A0D4F" w:rsidRDefault="00A14B9B" w:rsidP="00880738">
      <w:pPr>
        <w:pStyle w:val="UZEINormaln"/>
      </w:pPr>
      <w:r w:rsidRPr="002A0D4F">
        <w:t xml:space="preserve">Mezi hlavní témata řešená CLLD v rámci PRV patří podpora investic do zemědělství a potravinářství, řešení nezaměstnanosti ve venkovských oblastech, podpora podnikatelských příležitostí, podpora zakládání nových a rozvoj stávajících podnikatelských subjektů, realizace opatření v lesích, aj. </w:t>
      </w:r>
    </w:p>
    <w:p w14:paraId="6F07DEB9" w14:textId="77777777" w:rsidR="00880738" w:rsidRDefault="00880738">
      <w:pPr>
        <w:spacing w:after="160" w:line="259" w:lineRule="auto"/>
        <w:jc w:val="left"/>
        <w:rPr>
          <w:rFonts w:eastAsiaTheme="majorEastAsia" w:cs="Times New Roman"/>
          <w:b/>
          <w:bCs/>
          <w:sz w:val="28"/>
          <w:szCs w:val="32"/>
          <w:lang w:val="cs-CZ"/>
        </w:rPr>
      </w:pPr>
      <w:bookmarkStart w:id="115" w:name="_Toc519518202"/>
      <w:bookmarkStart w:id="116" w:name="_Toc519518308"/>
      <w:bookmarkStart w:id="117" w:name="_Toc519581818"/>
      <w:bookmarkStart w:id="118" w:name="_Toc525820131"/>
      <w:bookmarkStart w:id="119" w:name="_Toc530577737"/>
      <w:bookmarkStart w:id="120" w:name="_Toc12277976"/>
      <w:bookmarkStart w:id="121" w:name="_Toc12282613"/>
      <w:bookmarkStart w:id="122" w:name="_Toc12283268"/>
      <w:bookmarkStart w:id="123" w:name="_Toc15623882"/>
      <w:bookmarkStart w:id="124" w:name="_Toc15627513"/>
      <w:bookmarkStart w:id="125" w:name="_Toc25919692"/>
      <w:bookmarkStart w:id="126" w:name="_Toc25919776"/>
      <w:r>
        <w:br w:type="page"/>
      </w:r>
    </w:p>
    <w:p w14:paraId="5C4F1F13" w14:textId="76C7EE24" w:rsidR="00A14B9B" w:rsidRPr="00880738" w:rsidRDefault="00A14B9B" w:rsidP="00880738">
      <w:pPr>
        <w:pStyle w:val="Nadpis1"/>
      </w:pPr>
      <w:bookmarkStart w:id="127" w:name="_Toc81757380"/>
      <w:bookmarkStart w:id="128" w:name="_Toc81815667"/>
      <w:bookmarkStart w:id="129" w:name="_Toc81816204"/>
      <w:bookmarkStart w:id="130" w:name="_Toc81817299"/>
      <w:r w:rsidRPr="00880738">
        <w:lastRenderedPageBreak/>
        <w:t>Míra stávajícího řešení problému</w:t>
      </w:r>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r w:rsidRPr="00880738">
        <w:tab/>
      </w:r>
    </w:p>
    <w:p w14:paraId="49486BD3" w14:textId="77777777" w:rsidR="00A14B9B" w:rsidRPr="00880738" w:rsidRDefault="00A14B9B" w:rsidP="00880738">
      <w:pPr>
        <w:pStyle w:val="Nadpis2"/>
      </w:pPr>
      <w:bookmarkStart w:id="131" w:name="_Toc519518203"/>
      <w:bookmarkStart w:id="132" w:name="_Toc519518309"/>
      <w:bookmarkStart w:id="133" w:name="_Toc519581819"/>
      <w:bookmarkStart w:id="134" w:name="_Toc525820132"/>
      <w:bookmarkStart w:id="135" w:name="_Toc530577738"/>
      <w:bookmarkStart w:id="136" w:name="_Toc12277977"/>
      <w:bookmarkStart w:id="137" w:name="_Toc12282614"/>
      <w:bookmarkStart w:id="138" w:name="_Toc12283269"/>
      <w:bookmarkStart w:id="139" w:name="_Toc15623883"/>
      <w:bookmarkStart w:id="140" w:name="_Toc15627514"/>
      <w:bookmarkStart w:id="141" w:name="_Toc25919693"/>
      <w:bookmarkStart w:id="142" w:name="_Toc25919777"/>
      <w:bookmarkStart w:id="143" w:name="_Toc81757381"/>
      <w:bookmarkStart w:id="144" w:name="_Toc81815668"/>
      <w:bookmarkStart w:id="145" w:name="_Toc81816205"/>
      <w:bookmarkStart w:id="146" w:name="_Toc81817300"/>
      <w:r w:rsidRPr="00880738">
        <w:t>Míra řešení ve stávající SZP (úspěšnost/neúspěšnost).</w:t>
      </w:r>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r w:rsidRPr="00880738">
        <w:t xml:space="preserve"> </w:t>
      </w:r>
    </w:p>
    <w:p w14:paraId="7A5D5B29" w14:textId="77777777" w:rsidR="00A14B9B" w:rsidRPr="00880738" w:rsidRDefault="00A14B9B" w:rsidP="00880738">
      <w:pPr>
        <w:pStyle w:val="UZEINormaln"/>
        <w:rPr>
          <w:b/>
          <w:bCs/>
        </w:rPr>
      </w:pPr>
      <w:r w:rsidRPr="00880738">
        <w:rPr>
          <w:b/>
          <w:bCs/>
        </w:rPr>
        <w:t>i) Nedostatek pracovních míst a pracovních příležitostí na venkově</w:t>
      </w:r>
    </w:p>
    <w:p w14:paraId="6A7F281B" w14:textId="77777777" w:rsidR="00A14B9B" w:rsidRPr="002A0D4F" w:rsidRDefault="00A14B9B" w:rsidP="00880738">
      <w:pPr>
        <w:pStyle w:val="UZEINormaln"/>
        <w:rPr>
          <w:rFonts w:eastAsia="Calibri"/>
        </w:rPr>
      </w:pPr>
      <w:r w:rsidRPr="002A0D4F">
        <w:t>Podpora pracovních míst na venkově je ať už přímo nebo nepřímo řešena různými opatřeními současné SZP. V rámci PRV 2014-2020 jsou na rozvoj pracovních míst navázána</w:t>
      </w:r>
      <w:r w:rsidRPr="002A0D4F">
        <w:rPr>
          <w:rFonts w:ascii="Calibri" w:eastAsia="Calibri" w:hAnsi="Calibri" w:cs="Calibri"/>
        </w:rPr>
        <w:t xml:space="preserve"> </w:t>
      </w:r>
      <w:r w:rsidRPr="002A0D4F">
        <w:t xml:space="preserve">opatření z prioritních oblastí </w:t>
      </w:r>
      <w:proofErr w:type="gramStart"/>
      <w:r w:rsidRPr="002A0D4F">
        <w:t>6A</w:t>
      </w:r>
      <w:proofErr w:type="gramEnd"/>
      <w:r w:rsidRPr="002A0D4F">
        <w:t xml:space="preserve"> a 6B. Z oblasti </w:t>
      </w:r>
      <w:proofErr w:type="gramStart"/>
      <w:r w:rsidRPr="002A0D4F">
        <w:t>6A</w:t>
      </w:r>
      <w:proofErr w:type="gramEnd"/>
      <w:r w:rsidRPr="002A0D4F">
        <w:t xml:space="preserve"> podpořené projekty vytvořily prozatím méně pracovních míst, než se očekávalo, nízký je počet vytvořených pracovních míst i v oblasti podpory agroturistiky. U </w:t>
      </w:r>
      <w:proofErr w:type="spellStart"/>
      <w:r w:rsidRPr="002A0D4F">
        <w:t>závazkovaných</w:t>
      </w:r>
      <w:proofErr w:type="spellEnd"/>
      <w:r w:rsidRPr="002A0D4F">
        <w:t xml:space="preserve"> či registrovaných projektů je patrný relativní pomalý nárůst pracovních míst. Prohlubuje se disproporce s ohledem na naplňování cílových hodnot v čerpání alokace či počtu podpořených projektů a počtu nově vytvořených pracovních míst. </w:t>
      </w:r>
    </w:p>
    <w:p w14:paraId="2B328986" w14:textId="77777777" w:rsidR="00A14B9B" w:rsidRPr="002A0D4F" w:rsidRDefault="00A14B9B" w:rsidP="00880738">
      <w:pPr>
        <w:pStyle w:val="UZEINormaln"/>
        <w:rPr>
          <w:rFonts w:ascii="Calibri" w:eastAsia="Calibri" w:hAnsi="Calibri" w:cs="Calibri"/>
        </w:rPr>
      </w:pPr>
      <w:r w:rsidRPr="002A0D4F">
        <w:t xml:space="preserve">Relativně úspěšnějším </w:t>
      </w:r>
      <w:proofErr w:type="gramStart"/>
      <w:r w:rsidRPr="002A0D4F">
        <w:t>kritériem</w:t>
      </w:r>
      <w:proofErr w:type="gramEnd"/>
      <w:r w:rsidRPr="002A0D4F">
        <w:t xml:space="preserve"> nežli vytvoření nového pracovního místa je u opatření 6.4.1 i 6.4.2 zaměstnávání sociálně znevýhodněného zaměstnance. Na základě obou opatření bylo podáno ke konci února 2020 celkem 1711 žádostí o dotaci, kde bylo uplatněno preferenční kritérium zaměstnávání sociálně znevýhodněného zaměstnance ve zhruba 40 % žádostí, naproti tomu preferenční kritérium vytvoření nového pracovního místa bylo využito ve zhruba 18 % žádostí.</w:t>
      </w:r>
    </w:p>
    <w:p w14:paraId="1AD8C9EB" w14:textId="77777777" w:rsidR="00B5272B" w:rsidRDefault="00A14B9B" w:rsidP="00880738">
      <w:pPr>
        <w:pStyle w:val="UZEINormaln"/>
        <w:rPr>
          <w:b/>
          <w:bCs/>
        </w:rPr>
      </w:pPr>
      <w:r w:rsidRPr="002A0D4F">
        <w:t xml:space="preserve">V úvodu implementace PRV docházelo ke zpožďování při předkládání a schvalování Strategií komunitně vedeného místního rozvoje (na straně ŘO PRV, ale i dalších ŘO). Mezi další opatření, která přispívají k řešení nedostatku pracovních míst, patří opatření M19 a operací 19.2.1 Podpora provádění operací v rámci strategie komunitně vedeného místního rozvoje. Pro podporu aktivit v rámci operace 19.2.1 byly vytvořeny </w:t>
      </w:r>
      <w:proofErr w:type="spellStart"/>
      <w:r w:rsidRPr="002A0D4F">
        <w:t>Fiche</w:t>
      </w:r>
      <w:proofErr w:type="spellEnd"/>
      <w:r w:rsidRPr="002A0D4F">
        <w:t xml:space="preserve">, které vymezují oblasti podpory pro konečné žadatele. MAS tak mohou přispívat k aktivitám jako jsou například předávaní znalostí a informační akce, investice do zemědělských podniků, zpracování a uvádění na trh zemědělských produktů, lesnická infrastruktura, zemědělská infrastruktura, pozemkové úpravy, podpora investic na založení nebo rozvoj nezemědělských činností, zavádění preventivních protipovodňových opatření v lesích, investice do ochrany melioračních a zpevňujících dřevin, neproduktivní investice v lesích, investice do lesnických technologií a zpracování lesnických produktů, jejich mobilizace uvádění na trh, horizontální a vertikální spolupráce mezi účastníky krátkých dodavatelských řetězců a místních trhů. </w:t>
      </w:r>
      <w:r w:rsidR="00B5272B" w:rsidRPr="00B5272B">
        <w:t xml:space="preserve">V rámci operace 19.3.1. </w:t>
      </w:r>
      <w:r w:rsidR="00B5272B" w:rsidRPr="00B5272B">
        <w:rPr>
          <w:bCs/>
        </w:rPr>
        <w:t>jsou podporovány jak projekty založené na spolupráci mezi MAS a dalšími partnerstvími v rámci členského státu, tak projekty založené na spolupráci mezi územními celky v několika členských státech či ve třetích zemích</w:t>
      </w:r>
      <w:r w:rsidR="00B5272B" w:rsidRPr="00B5272B">
        <w:rPr>
          <w:b/>
          <w:bCs/>
        </w:rPr>
        <w:t>.</w:t>
      </w:r>
    </w:p>
    <w:p w14:paraId="06899B46" w14:textId="7C17099D" w:rsidR="00A14B9B" w:rsidRPr="00880738" w:rsidRDefault="00A14B9B" w:rsidP="00880738">
      <w:pPr>
        <w:pStyle w:val="UZEINormaln"/>
        <w:rPr>
          <w:rFonts w:ascii="Calibri" w:eastAsia="Calibri" w:hAnsi="Calibri" w:cs="Calibri"/>
          <w:b/>
          <w:bCs/>
        </w:rPr>
      </w:pPr>
      <w:proofErr w:type="spellStart"/>
      <w:r w:rsidRPr="00B5272B">
        <w:rPr>
          <w:b/>
          <w:bCs/>
        </w:rPr>
        <w:t>ii</w:t>
      </w:r>
      <w:proofErr w:type="spellEnd"/>
      <w:r w:rsidRPr="00B5272B">
        <w:rPr>
          <w:b/>
          <w:bCs/>
        </w:rPr>
        <w:t>) Relativně nízká</w:t>
      </w:r>
      <w:r w:rsidRPr="00880738">
        <w:rPr>
          <w:b/>
          <w:bCs/>
        </w:rPr>
        <w:t xml:space="preserve"> úroveň diverzifikace zemědělských podniků</w:t>
      </w:r>
    </w:p>
    <w:p w14:paraId="6816927C" w14:textId="219FF0D4" w:rsidR="00A14B9B" w:rsidRPr="002A0D4F" w:rsidRDefault="00A14B9B" w:rsidP="00880738">
      <w:pPr>
        <w:pStyle w:val="UZEINormaln"/>
      </w:pPr>
      <w:r w:rsidRPr="002A0D4F">
        <w:t xml:space="preserve">V současnosti je tento problém řešen v rámci PRV 2014-2020 především opatřením </w:t>
      </w:r>
      <w:proofErr w:type="gramStart"/>
      <w:r w:rsidRPr="002A0D4F">
        <w:t>z</w:t>
      </w:r>
      <w:proofErr w:type="gramEnd"/>
      <w:r w:rsidRPr="002A0D4F">
        <w:t> prioritní oblastí 6A a navazuje na opatření III.1.1, III.1.2 a III.1.3 z PRV 2007-2013. Dle Průběžné jarní hodnotící zprávy</w:t>
      </w:r>
      <w:r w:rsidR="002A3BD4">
        <w:t xml:space="preserve"> </w:t>
      </w:r>
      <w:r w:rsidRPr="002A0D4F">
        <w:t>PRV 2014–2020 (NAVIGA, 2020) je k 31. 12. 2019 počet podpořených podniků v rámci diverzifikace podnikání spíše nižší. Opatření zaměřená na diverzifikaci cílí především na malé podniky a plní tím svůj záměr podpořit rozvoj malých podniků. U podpořených malých podniků převažují mikropodniky.  Nejvyššího pokroku dosahuje operace 6.4.1, a po snížení původních cílových hodnot i operace 6.4.3, nicméně i zde je plnění vůči cílovým hodnotám zhruba na pětině. U operace 6.4.2 je prozatím plnění v řádu jednotek procent. Uvážíme-li všechny úspěšné žádosti, u operace 6.4.1 směřovaly finanční prostředky především do nákupu strojů a technologií, u operace 6.4.2 pak na stavební výdaje. Zaměříme-li se pak na podpořené lesnické podniky, zde dominoval u operace 6.4.1 předmět plnění nákup strojů a stavební výdaje, u operace 6.4.2 drtivá většina finanční prostředků směřovala na stavební výdaje.</w:t>
      </w:r>
    </w:p>
    <w:p w14:paraId="44FE98E1" w14:textId="77777777" w:rsidR="00A14B9B" w:rsidRPr="002A0D4F" w:rsidRDefault="00A14B9B" w:rsidP="00880738">
      <w:pPr>
        <w:pStyle w:val="UZEINormaln"/>
        <w:rPr>
          <w:rFonts w:ascii="Calibri" w:eastAsia="Calibri" w:hAnsi="Calibri" w:cs="Calibri"/>
        </w:rPr>
      </w:pPr>
      <w:r w:rsidRPr="002A0D4F">
        <w:lastRenderedPageBreak/>
        <w:t xml:space="preserve">Lze konstatovat, že vzhledem k počtu </w:t>
      </w:r>
      <w:proofErr w:type="spellStart"/>
      <w:r w:rsidRPr="002A0D4F">
        <w:t>závazkovaných</w:t>
      </w:r>
      <w:proofErr w:type="spellEnd"/>
      <w:r w:rsidRPr="002A0D4F">
        <w:t xml:space="preserve"> a registrovaných projektů přispěje PRV k diverzifikaci činností v zemědělství v zamýšlené míře v rámci operace 6.4.1, neboť </w:t>
      </w:r>
      <w:proofErr w:type="spellStart"/>
      <w:r w:rsidRPr="002A0D4F">
        <w:t>závazkované</w:t>
      </w:r>
      <w:proofErr w:type="spellEnd"/>
      <w:r w:rsidRPr="002A0D4F">
        <w:t xml:space="preserve"> projekty v operaci 6.4.1 naplňují cílovou hodnotu počtu podpořených podniků z téměř 80 % a v procesu hodnocení je navíc stále 439 projektů. Ekonomické posouzení – zvýšení HPH u podpořených podniků – nebylo vzhledem k chybějícím datům v této fázi hodnoceno. </w:t>
      </w:r>
    </w:p>
    <w:p w14:paraId="70B0AD6A" w14:textId="77777777" w:rsidR="00A14B9B" w:rsidRPr="00880738" w:rsidRDefault="00A14B9B" w:rsidP="00880738">
      <w:pPr>
        <w:pStyle w:val="UZEINormaln"/>
        <w:rPr>
          <w:rFonts w:ascii="Calibri" w:eastAsia="Calibri" w:hAnsi="Calibri" w:cs="Calibri"/>
          <w:b/>
          <w:bCs/>
        </w:rPr>
      </w:pPr>
      <w:proofErr w:type="spellStart"/>
      <w:r w:rsidRPr="00880738">
        <w:rPr>
          <w:b/>
          <w:bCs/>
        </w:rPr>
        <w:t>iii</w:t>
      </w:r>
      <w:proofErr w:type="spellEnd"/>
      <w:r w:rsidRPr="00880738">
        <w:rPr>
          <w:b/>
          <w:bCs/>
        </w:rPr>
        <w:t>) Nižší občanská a technická vybavenost venkova</w:t>
      </w:r>
    </w:p>
    <w:p w14:paraId="44F9B69D" w14:textId="77777777" w:rsidR="00A14B9B" w:rsidRPr="002A0D4F" w:rsidRDefault="00A14B9B" w:rsidP="00880738">
      <w:pPr>
        <w:pStyle w:val="UZEINormaln"/>
        <w:rPr>
          <w:rFonts w:ascii="Calibri" w:eastAsia="Calibri" w:hAnsi="Calibri" w:cs="Calibri"/>
        </w:rPr>
      </w:pPr>
      <w:r w:rsidRPr="002A0D4F">
        <w:t>V současném PRV 2014–2020 jsou na technickou vybavenost zaměřeny následující opatření:</w:t>
      </w:r>
    </w:p>
    <w:p w14:paraId="3ADF8FA9" w14:textId="77777777" w:rsidR="00A14B9B" w:rsidRPr="002A0D4F" w:rsidRDefault="00A14B9B" w:rsidP="00F333BF">
      <w:pPr>
        <w:pStyle w:val="UZEINormaln"/>
      </w:pPr>
      <w:r w:rsidRPr="002A0D4F">
        <w:t>Pozemkové úpravy (4.3.1.) cíle:</w:t>
      </w:r>
    </w:p>
    <w:p w14:paraId="2D970C14" w14:textId="77777777" w:rsidR="00A14B9B" w:rsidRPr="002A0D4F" w:rsidRDefault="00A14B9B" w:rsidP="00F333BF">
      <w:pPr>
        <w:pStyle w:val="UZEIOdrky"/>
      </w:pPr>
      <w:r w:rsidRPr="002A0D4F">
        <w:t>obnovení osobního vztahu lidí k zemědělské půdě a krajině s důrazem na zvýšení kvality života na venkově</w:t>
      </w:r>
    </w:p>
    <w:p w14:paraId="16B73243" w14:textId="77777777" w:rsidR="00A14B9B" w:rsidRPr="002A0D4F" w:rsidRDefault="00A14B9B" w:rsidP="00F333BF">
      <w:pPr>
        <w:pStyle w:val="UZEIOdrky"/>
      </w:pPr>
      <w:r w:rsidRPr="002A0D4F">
        <w:t>zpřístupnění pozemků jejich vlastníkům a celkové zvýšení prostupnosti krajiny</w:t>
      </w:r>
    </w:p>
    <w:p w14:paraId="0D0FE366" w14:textId="77777777" w:rsidR="00A14B9B" w:rsidRPr="002A0D4F" w:rsidRDefault="00A14B9B" w:rsidP="00F333BF">
      <w:pPr>
        <w:pStyle w:val="UZEIOdrky"/>
      </w:pPr>
      <w:r w:rsidRPr="002A0D4F">
        <w:t>vytvoření podmínek pro racionální hospodaření na zemědělských pozemcích</w:t>
      </w:r>
    </w:p>
    <w:p w14:paraId="3593763B" w14:textId="77777777" w:rsidR="00A14B9B" w:rsidRPr="002A0D4F" w:rsidRDefault="00A14B9B" w:rsidP="00F333BF">
      <w:pPr>
        <w:pStyle w:val="UZEIOdrky"/>
      </w:pPr>
      <w:r w:rsidRPr="002A0D4F">
        <w:t>důsledná ochrana zemědělské půdy</w:t>
      </w:r>
    </w:p>
    <w:p w14:paraId="752B756B" w14:textId="77777777" w:rsidR="00A14B9B" w:rsidRPr="002A0D4F" w:rsidRDefault="00A14B9B" w:rsidP="00F333BF">
      <w:pPr>
        <w:pStyle w:val="UZEIOdrky"/>
      </w:pPr>
      <w:r w:rsidRPr="002A0D4F">
        <w:t>ochrana kvality vody, zvýšení její retence v krajině a minimalizace povodňových škod</w:t>
      </w:r>
    </w:p>
    <w:p w14:paraId="1F448EB9" w14:textId="77777777" w:rsidR="00A14B9B" w:rsidRPr="002A0D4F" w:rsidRDefault="00A14B9B" w:rsidP="00F333BF">
      <w:pPr>
        <w:pStyle w:val="UZEIOdrky"/>
      </w:pPr>
      <w:r w:rsidRPr="002A0D4F">
        <w:t>obnovení struktury krajiny, zvýšení její biodiverzity a celkové ekologické stability</w:t>
      </w:r>
    </w:p>
    <w:p w14:paraId="242404A2" w14:textId="77777777" w:rsidR="00A14B9B" w:rsidRPr="002A0D4F" w:rsidRDefault="00A14B9B" w:rsidP="00F333BF">
      <w:pPr>
        <w:pStyle w:val="UZEINormaln"/>
      </w:pPr>
      <w:r w:rsidRPr="002A0D4F">
        <w:t xml:space="preserve">V rámci této operace bylo proplaceno k 31. 12. 2019 celkem 219 projektů. V rámci pozemkových reforem bylo k 31. 12. 2019 vybudováno 311 km polních cest, které zajišťují zpřístupnění pozemků. Míra naplnění cílové hodnoty je zhruba 40 %. </w:t>
      </w:r>
    </w:p>
    <w:p w14:paraId="6ACD9C6E" w14:textId="77777777" w:rsidR="00A14B9B" w:rsidRPr="00F333BF" w:rsidRDefault="00A14B9B" w:rsidP="00F333BF">
      <w:pPr>
        <w:pStyle w:val="UZEINormaln"/>
        <w:rPr>
          <w:rFonts w:ascii="Calibri" w:eastAsia="Calibri" w:hAnsi="Calibri" w:cs="Calibri"/>
          <w:b/>
          <w:bCs/>
        </w:rPr>
      </w:pPr>
      <w:proofErr w:type="spellStart"/>
      <w:r w:rsidRPr="00F333BF">
        <w:rPr>
          <w:b/>
          <w:bCs/>
        </w:rPr>
        <w:t>iv</w:t>
      </w:r>
      <w:proofErr w:type="spellEnd"/>
      <w:r w:rsidRPr="00F333BF">
        <w:rPr>
          <w:b/>
          <w:bCs/>
        </w:rPr>
        <w:t>) Výskyt chudoby a sociálního vyloučení ve venkovských lokalitách</w:t>
      </w:r>
    </w:p>
    <w:p w14:paraId="6CF7264A" w14:textId="77777777" w:rsidR="00A14B9B" w:rsidRPr="002A0D4F" w:rsidRDefault="00A14B9B" w:rsidP="00F333BF">
      <w:pPr>
        <w:pStyle w:val="UZEINormaln"/>
        <w:rPr>
          <w:rFonts w:ascii="Calibri" w:eastAsia="Calibri" w:hAnsi="Calibri" w:cs="Calibri"/>
        </w:rPr>
      </w:pPr>
      <w:r w:rsidRPr="002A0D4F">
        <w:t xml:space="preserve">V rámci SZP je na podporu sociálního začleňování, snižování chudoby a hospodářského rozvoje ve venkovských oblastech zaměřena priorita 6 z druhého pilíře rozvoj venkova. Stávající opatření pro rozvoj venkova priorita 6: </w:t>
      </w:r>
    </w:p>
    <w:p w14:paraId="6084C850" w14:textId="77777777" w:rsidR="00A14B9B" w:rsidRPr="002A0D4F" w:rsidRDefault="00A14B9B" w:rsidP="00F333BF">
      <w:pPr>
        <w:pStyle w:val="UZEIOdrky"/>
        <w:rPr>
          <w:rFonts w:ascii="Calibri" w:hAnsi="Calibri"/>
        </w:rPr>
      </w:pPr>
      <w:r w:rsidRPr="002A0D4F">
        <w:t>usnadnění diverzifikace, vytváření a rozvoje malých podniků, jakož i pracovních míst</w:t>
      </w:r>
    </w:p>
    <w:p w14:paraId="61058066" w14:textId="77777777" w:rsidR="00A14B9B" w:rsidRPr="002A0D4F" w:rsidRDefault="00A14B9B" w:rsidP="00F333BF">
      <w:pPr>
        <w:pStyle w:val="UZEIOdrky"/>
        <w:rPr>
          <w:rFonts w:ascii="Calibri" w:hAnsi="Calibri"/>
        </w:rPr>
      </w:pPr>
      <w:r w:rsidRPr="002A0D4F">
        <w:t>posílení místního rozvoje ve venkovských oblastech</w:t>
      </w:r>
    </w:p>
    <w:p w14:paraId="2B1BB301" w14:textId="77777777" w:rsidR="00A14B9B" w:rsidRPr="002A0D4F" w:rsidRDefault="00A14B9B" w:rsidP="00F333BF">
      <w:pPr>
        <w:pStyle w:val="UZEIOdrky"/>
        <w:rPr>
          <w:rFonts w:ascii="Calibri" w:hAnsi="Calibri"/>
        </w:rPr>
      </w:pPr>
      <w:r w:rsidRPr="002A0D4F">
        <w:t>zlepšení dostupnosti, využívání a kvality informačních a komunikačních technologií ve venkovských oblastech</w:t>
      </w:r>
    </w:p>
    <w:p w14:paraId="60AF010E" w14:textId="77777777" w:rsidR="00A14B9B" w:rsidRPr="002A0D4F" w:rsidRDefault="00A14B9B" w:rsidP="00F333BF">
      <w:pPr>
        <w:pStyle w:val="UZEINormaln"/>
      </w:pPr>
      <w:r w:rsidRPr="002A0D4F">
        <w:t xml:space="preserve">V PRV 2014-2020 je u operací 6.4.1 Investice do nezemědělských činností a 6.4.2 Podpora agroturistiky záměr b), který směřuje na hospodářsky slabší kraje. Jedná se o území krajů Ústeckého, Moravskoslezského a Karlovarského.  </w:t>
      </w:r>
    </w:p>
    <w:p w14:paraId="34C8722B" w14:textId="77777777" w:rsidR="00A14B9B" w:rsidRPr="002A0D4F" w:rsidRDefault="00A14B9B" w:rsidP="00F333BF">
      <w:pPr>
        <w:pStyle w:val="UZEINormaln"/>
      </w:pPr>
      <w:r w:rsidRPr="002A0D4F">
        <w:t xml:space="preserve">Další nástroj pro řešení nejen tohoto tématu je Komunitně vedený místní rozvoj (CLLD), který je v letech 2014–2020 realizován z různých zdrojů prostřednictvím Místních akčních skupin (MAS) a je zapojen do několika operačních programů. </w:t>
      </w:r>
    </w:p>
    <w:p w14:paraId="08D0ADAC" w14:textId="77777777" w:rsidR="00A14B9B" w:rsidRPr="002A0D4F" w:rsidRDefault="00A14B9B" w:rsidP="00F333BF">
      <w:pPr>
        <w:pStyle w:val="UZEINormaln"/>
      </w:pPr>
      <w:r w:rsidRPr="002A0D4F">
        <w:t xml:space="preserve">Z časového hlediska realizace projektů byla podstatná podmínka pro zahájení činnosti, a to kdy byly jednotlivým MAS schváleny jejich SCLLD a vydány akceptační dopisy, teprve poté mohly zahájit proces vyhlašování výzev. Na konci roku 2016 bylo vydáno 16 akceptačních dopisů, k 30. 6. 2017 to bylo 100 akceptačních dopisů a k 31. 12. 2017 již byly vyhodnoceny žádosti o realizaci SCLLD všech MAS, jedna nebyla schválena, existuje tedy 178 schválených strategií CLLD. </w:t>
      </w:r>
    </w:p>
    <w:p w14:paraId="48A34EFD" w14:textId="77777777" w:rsidR="00A14B9B" w:rsidRPr="002A0D4F" w:rsidRDefault="00A14B9B" w:rsidP="00F333BF">
      <w:pPr>
        <w:pStyle w:val="UZEINormaln"/>
      </w:pPr>
      <w:r w:rsidRPr="002A0D4F">
        <w:t xml:space="preserve">Podíl výdajů LEADER na celkových výdajích PRV poměřovaný proplacenými prostředky dosahuje 1,64 % výdajů PRV (NAVIGA, 2020). </w:t>
      </w:r>
    </w:p>
    <w:p w14:paraId="3C1A1FE5" w14:textId="77777777" w:rsidR="00A14B9B" w:rsidRPr="002A0D4F" w:rsidRDefault="00A14B9B" w:rsidP="00F333BF">
      <w:pPr>
        <w:pStyle w:val="UZEINormaln"/>
      </w:pPr>
      <w:r w:rsidRPr="002A0D4F">
        <w:t xml:space="preserve">V oblasti tvorby nových pracovních míst je zatím indikátor naplňován z 61 % (NAVIGA, 2020) </w:t>
      </w:r>
    </w:p>
    <w:p w14:paraId="514661D1" w14:textId="77777777" w:rsidR="00A14B9B" w:rsidRPr="002A0D4F" w:rsidRDefault="00A14B9B" w:rsidP="00F333BF">
      <w:pPr>
        <w:pStyle w:val="UZEINormaln"/>
      </w:pPr>
      <w:r w:rsidRPr="002A0D4F">
        <w:lastRenderedPageBreak/>
        <w:t xml:space="preserve">Je třeba také zmínit, že do PRV 2014-2020 je nově zařazen článek 20 “Základní služby a obnova vesnic ve venkovských oblastech.“  Tím pak mohou MAS začít do svých strategií zařazovat po </w:t>
      </w:r>
      <w:proofErr w:type="spellStart"/>
      <w:r w:rsidRPr="002A0D4F">
        <w:t>mid</w:t>
      </w:r>
      <w:proofErr w:type="spellEnd"/>
      <w:r w:rsidRPr="002A0D4F">
        <w:t xml:space="preserve">-term evaluaci mnoho dalších aktivit. Implementace článku 20 přispěje ke zlepšení </w:t>
      </w:r>
      <w:r w:rsidRPr="002A0D4F">
        <w:rPr>
          <w:sz w:val="22"/>
        </w:rPr>
        <w:t>základních služeb a obnovy vesnic ve venkovských oblastech.</w:t>
      </w:r>
    </w:p>
    <w:p w14:paraId="14236FA9" w14:textId="77777777" w:rsidR="00A14B9B" w:rsidRPr="002A0D4F" w:rsidRDefault="00A14B9B" w:rsidP="00F333BF">
      <w:pPr>
        <w:pStyle w:val="UZEINormaln"/>
        <w:rPr>
          <w:rFonts w:cs="Arial"/>
        </w:rPr>
      </w:pPr>
      <w:r w:rsidRPr="002A0D4F">
        <w:t>Střednědobé hodnocení PRV 2019 uvádí, že „</w:t>
      </w:r>
      <w:r w:rsidRPr="002A0D4F">
        <w:rPr>
          <w:rFonts w:cs="Arial"/>
        </w:rPr>
        <w:t xml:space="preserve">Přidanou hodnotu metody LEADER, realizovanou v PRV prostřednictvím místních akčních skupin, je nutné vymezit i v její kvalitativní dimenzi (viz např. EVROPSKÁ KOMISE – Generální ředitelství pro zemědělství a rozvoj venkova – Oddělení C.4 (2017): Pokyny. Hodnocení LEADER/CLLD Brusel), a to v posílení sociálního kapitálu (zapojení obyvatel) na venkově a dále v posílení výsledků a dopadů PRV (přínos aktivit). Ukazuje se, že místní akční skupiny, často jako relativně nové entity na venkově (57 místních akčních skupin bylo podpořeno v rámci opatření III.4.1 PRV 2017-13, tedy na svém území nerealizovalo žádné výzvy v předchozím programovém období) získaly status relevantního subjektu, který přináší jednak znalosti a jednak pomáhá budovat sítě. </w:t>
      </w:r>
    </w:p>
    <w:p w14:paraId="2E7F6CFA" w14:textId="77777777" w:rsidR="00A14B9B" w:rsidRPr="002A0D4F" w:rsidRDefault="00A14B9B" w:rsidP="00F333BF">
      <w:pPr>
        <w:pStyle w:val="UZEINormaln"/>
      </w:pPr>
      <w:r w:rsidRPr="002A0D4F">
        <w:t>Přes metodu LEADER jsou posilovány výsledky a dopady PRV rovněž v multiplikačním efektu. Případová šetření v terénu ukazují, že díky činnosti MAS se do PRV zapojily nové subjekty, které jednak dosud žádné projekty v PRV nerealizovaly, a dále, že účast na aktivitách MAS jim přináší i nové zakázky. Tato přidaná hodnota se ovšem do kvantitativních ukazatelů promítne v časovém zpoždění (realizace zakázky, její proplacení, zobrazení v účetních výkazech, zanesení do monitoringu). Problematickou oblastí je v kvalitativním šetření zmiňována délka a složitost administrativního procesu.“</w:t>
      </w:r>
    </w:p>
    <w:p w14:paraId="1DB03A16" w14:textId="77777777" w:rsidR="00A14B9B" w:rsidRPr="00530DB0" w:rsidRDefault="00A14B9B" w:rsidP="00530DB0">
      <w:pPr>
        <w:pStyle w:val="Nadpis2"/>
      </w:pPr>
      <w:bookmarkStart w:id="147" w:name="_Toc519518204"/>
      <w:bookmarkStart w:id="148" w:name="_Toc519518310"/>
      <w:bookmarkStart w:id="149" w:name="_Toc519581820"/>
      <w:bookmarkStart w:id="150" w:name="_Toc525820133"/>
      <w:bookmarkStart w:id="151" w:name="_Toc530577739"/>
      <w:bookmarkStart w:id="152" w:name="_Toc12277978"/>
      <w:bookmarkStart w:id="153" w:name="_Toc12282615"/>
      <w:bookmarkStart w:id="154" w:name="_Toc12283270"/>
      <w:bookmarkStart w:id="155" w:name="_Toc15623884"/>
      <w:bookmarkStart w:id="156" w:name="_Toc15627515"/>
      <w:bookmarkStart w:id="157" w:name="_Toc25919694"/>
      <w:bookmarkStart w:id="158" w:name="_Toc25919778"/>
      <w:bookmarkStart w:id="159" w:name="_Toc81757382"/>
      <w:bookmarkStart w:id="160" w:name="_Toc81815669"/>
      <w:bookmarkStart w:id="161" w:name="_Toc81816206"/>
      <w:bookmarkStart w:id="162" w:name="_Toc81817301"/>
      <w:r w:rsidRPr="00530DB0">
        <w:t>Míra současného řešení problému jinými politikami</w:t>
      </w:r>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p>
    <w:p w14:paraId="0CB118AA" w14:textId="77777777" w:rsidR="00A14B9B" w:rsidRPr="00530DB0" w:rsidRDefault="00A14B9B" w:rsidP="00530DB0">
      <w:pPr>
        <w:pStyle w:val="UZEINormaln"/>
        <w:rPr>
          <w:b/>
          <w:bCs/>
        </w:rPr>
      </w:pPr>
      <w:r w:rsidRPr="00530DB0">
        <w:rPr>
          <w:b/>
          <w:bCs/>
        </w:rPr>
        <w:t>i) Nedostatek pracovních míst a pracovních příležitostí na venkově</w:t>
      </w:r>
      <w:r w:rsidRPr="00530DB0">
        <w:rPr>
          <w:b/>
          <w:bCs/>
        </w:rPr>
        <w:tab/>
      </w:r>
    </w:p>
    <w:p w14:paraId="010BEDDB" w14:textId="77777777" w:rsidR="00A14B9B" w:rsidRPr="002A0D4F" w:rsidRDefault="00A14B9B" w:rsidP="00530DB0">
      <w:pPr>
        <w:pStyle w:val="UZEINormaln"/>
      </w:pPr>
      <w:r w:rsidRPr="002A0D4F">
        <w:t xml:space="preserve">Evropský sociální fond – </w:t>
      </w:r>
      <w:r w:rsidRPr="002A0D4F">
        <w:rPr>
          <w:lang w:eastAsia="en-US"/>
        </w:rPr>
        <w:t>OP Zaměstnanost, který pokrývá následující oblasti:</w:t>
      </w:r>
    </w:p>
    <w:p w14:paraId="41B09199" w14:textId="77777777" w:rsidR="00A14B9B" w:rsidRPr="002A0D4F" w:rsidRDefault="00A14B9B" w:rsidP="00530DB0">
      <w:pPr>
        <w:pStyle w:val="UZEIOdrky"/>
      </w:pPr>
      <w:r w:rsidRPr="002A0D4F">
        <w:t>podpory zaměstnanosti,</w:t>
      </w:r>
    </w:p>
    <w:p w14:paraId="2DCE6669" w14:textId="77777777" w:rsidR="00A14B9B" w:rsidRPr="002A0D4F" w:rsidRDefault="00A14B9B" w:rsidP="00530DB0">
      <w:pPr>
        <w:pStyle w:val="UZEIOdrky"/>
      </w:pPr>
      <w:r w:rsidRPr="002A0D4F">
        <w:t>rovných příležitostí žen a mužů,</w:t>
      </w:r>
    </w:p>
    <w:p w14:paraId="623BA88D" w14:textId="77777777" w:rsidR="00A14B9B" w:rsidRPr="002A0D4F" w:rsidRDefault="00A14B9B" w:rsidP="00530DB0">
      <w:pPr>
        <w:pStyle w:val="UZEIOdrky"/>
      </w:pPr>
      <w:r w:rsidRPr="002A0D4F">
        <w:t>adaptability zaměstnanců a zaměstnavatelů,</w:t>
      </w:r>
    </w:p>
    <w:p w14:paraId="25BE2455" w14:textId="77777777" w:rsidR="00A14B9B" w:rsidRPr="002A0D4F" w:rsidRDefault="00A14B9B" w:rsidP="00530DB0">
      <w:pPr>
        <w:pStyle w:val="UZEIOdrky"/>
      </w:pPr>
      <w:r w:rsidRPr="002A0D4F">
        <w:t>dalšího vzdělávání,</w:t>
      </w:r>
    </w:p>
    <w:p w14:paraId="0A849511" w14:textId="77777777" w:rsidR="00A14B9B" w:rsidRPr="002A0D4F" w:rsidRDefault="00A14B9B" w:rsidP="00530DB0">
      <w:pPr>
        <w:pStyle w:val="UZEIOdrky"/>
      </w:pPr>
      <w:r w:rsidRPr="002A0D4F">
        <w:t>sociálního začleňování a boje s chudobou,</w:t>
      </w:r>
    </w:p>
    <w:p w14:paraId="1B576BE5" w14:textId="77777777" w:rsidR="00A14B9B" w:rsidRPr="002A0D4F" w:rsidRDefault="00A14B9B" w:rsidP="00530DB0">
      <w:pPr>
        <w:pStyle w:val="UZEIOdrky"/>
      </w:pPr>
      <w:r w:rsidRPr="002A0D4F">
        <w:t>modernizace veřejné správy a veřejných služeb a</w:t>
      </w:r>
    </w:p>
    <w:p w14:paraId="03D2E4F2" w14:textId="77777777" w:rsidR="00A14B9B" w:rsidRPr="002A0D4F" w:rsidRDefault="00A14B9B" w:rsidP="00530DB0">
      <w:pPr>
        <w:pStyle w:val="UZEIOdrky"/>
      </w:pPr>
      <w:r w:rsidRPr="002A0D4F">
        <w:t>podpory mezinárodní spolupráce a sociálních inovací v oblasti zaměstnanosti, sociálního začleňování a veřejné správy.</w:t>
      </w:r>
    </w:p>
    <w:p w14:paraId="4CA5C698" w14:textId="77777777" w:rsidR="00A14B9B" w:rsidRPr="002A0D4F" w:rsidRDefault="00A14B9B" w:rsidP="00530DB0">
      <w:pPr>
        <w:pStyle w:val="UZEINormaln"/>
      </w:pPr>
      <w:r w:rsidRPr="002A0D4F">
        <w:t>S ohledem na způsobilost výdajů financovaných z Evropského sociálního fondu podporuje OP Zaměstnanost intervence nehmotného charakteru.</w:t>
      </w:r>
    </w:p>
    <w:p w14:paraId="0EC09548" w14:textId="77777777" w:rsidR="00A14B9B" w:rsidRPr="002A0D4F" w:rsidRDefault="00A14B9B" w:rsidP="00530DB0">
      <w:pPr>
        <w:pStyle w:val="UZEINormaln"/>
      </w:pPr>
      <w:r w:rsidRPr="002A0D4F">
        <w:t>Na aktivity OP Zaměstnanost se zaměřují i MAS. Cílem je zvýšit zapojení lokálních aktérů do řešení problémů nezaměstnanosti a sociálního začleňování.</w:t>
      </w:r>
    </w:p>
    <w:p w14:paraId="0D2B9964" w14:textId="77777777" w:rsidR="00A14B9B" w:rsidRPr="002A0D4F" w:rsidRDefault="00A14B9B" w:rsidP="00530DB0">
      <w:pPr>
        <w:pStyle w:val="UZEINormaln"/>
      </w:pPr>
      <w:r w:rsidRPr="002A0D4F">
        <w:t xml:space="preserve">OP zaměřený na zaměstnanost bude pokračovat i v programovém období 2021–2027, a to pod názvem OP Zaměstnanost Plus 2021-2027 (MPSV, 2020). V rámci priority 1 „Budoucnost práce“ bude mimo jiné snahou zlepšovat přístup k zaměstnání pro všechny uchazeče o zaměstnání, zejména mladé lidi a dlouhodobě nezaměstnané a znevýhodněné skupiny na trhu práce a neaktivní osoby, podporovat samostatně výdělečné činnosti a sociální ekonomiku. </w:t>
      </w:r>
    </w:p>
    <w:p w14:paraId="5CA84793" w14:textId="77777777" w:rsidR="00A14B9B" w:rsidRPr="002A0D4F" w:rsidRDefault="00A14B9B" w:rsidP="00530DB0">
      <w:pPr>
        <w:pStyle w:val="UZEINormaln"/>
        <w:numPr>
          <w:ilvl w:val="0"/>
          <w:numId w:val="58"/>
        </w:numPr>
      </w:pPr>
      <w:r w:rsidRPr="002A0D4F">
        <w:t>Podpora zaměstnanosti v rámci ČR</w:t>
      </w:r>
    </w:p>
    <w:p w14:paraId="3ECEBFB9" w14:textId="77777777" w:rsidR="00A14B9B" w:rsidRPr="002A0D4F" w:rsidRDefault="00A14B9B" w:rsidP="006E5360">
      <w:pPr>
        <w:pStyle w:val="UZEINormaln"/>
        <w:numPr>
          <w:ilvl w:val="0"/>
          <w:numId w:val="59"/>
        </w:numPr>
      </w:pPr>
      <w:r w:rsidRPr="002A0D4F">
        <w:t>Aktivní politika zaměstnanosti (APZ)</w:t>
      </w:r>
    </w:p>
    <w:p w14:paraId="1C9DF693" w14:textId="77777777" w:rsidR="00A14B9B" w:rsidRPr="002A0D4F" w:rsidRDefault="00A14B9B" w:rsidP="006E5360">
      <w:pPr>
        <w:pStyle w:val="UZEINormaln"/>
      </w:pPr>
      <w:r w:rsidRPr="002A0D4F">
        <w:lastRenderedPageBreak/>
        <w:t>Součástí státní politiky zaměstnanosti je podpora zřizování nových pracovních míst poskytováním příspěvků zaměstnavatelům při zaměstnávání uchazečů o zaměstnání, i uchazečům samotným. Jedná se zejména o následující opatření (nástroje) APZ:</w:t>
      </w:r>
    </w:p>
    <w:p w14:paraId="73091B20" w14:textId="77777777" w:rsidR="00A14B9B" w:rsidRPr="002A0D4F" w:rsidRDefault="00A14B9B" w:rsidP="006E5360">
      <w:pPr>
        <w:pStyle w:val="UZEIOdrky"/>
      </w:pPr>
      <w:r w:rsidRPr="002A0D4F">
        <w:t>rekvalifikace</w:t>
      </w:r>
    </w:p>
    <w:p w14:paraId="3F627D88" w14:textId="77777777" w:rsidR="00A14B9B" w:rsidRPr="002A0D4F" w:rsidRDefault="00A14B9B" w:rsidP="006E5360">
      <w:pPr>
        <w:pStyle w:val="UZEIOdrky"/>
      </w:pPr>
      <w:r w:rsidRPr="002A0D4F">
        <w:t>investiční pobídky (podpora tvorby nových pracovních míst a podpora školení a rekvalifikace zaměstnanců v gesci MPSV)</w:t>
      </w:r>
    </w:p>
    <w:p w14:paraId="40769B41" w14:textId="77777777" w:rsidR="00A14B9B" w:rsidRPr="002A0D4F" w:rsidRDefault="00A14B9B" w:rsidP="006E5360">
      <w:pPr>
        <w:pStyle w:val="UZEIOdrky"/>
      </w:pPr>
      <w:r w:rsidRPr="002A0D4F">
        <w:t>veřejně prospěšné práce, společensky účelná pracovní místa</w:t>
      </w:r>
    </w:p>
    <w:p w14:paraId="212EE614" w14:textId="77777777" w:rsidR="00A14B9B" w:rsidRPr="002A0D4F" w:rsidRDefault="00A14B9B" w:rsidP="006E5360">
      <w:pPr>
        <w:pStyle w:val="UZEIOdrky"/>
      </w:pPr>
      <w:r w:rsidRPr="002A0D4F">
        <w:t>příspěvek na zapracování</w:t>
      </w:r>
    </w:p>
    <w:p w14:paraId="1F3D6276" w14:textId="77777777" w:rsidR="00A14B9B" w:rsidRPr="002A0D4F" w:rsidRDefault="00A14B9B" w:rsidP="006E5360">
      <w:pPr>
        <w:pStyle w:val="UZEIOdrky"/>
      </w:pPr>
      <w:r w:rsidRPr="002A0D4F">
        <w:t>příspěvek při přechodu na nový podnikatelský program</w:t>
      </w:r>
    </w:p>
    <w:p w14:paraId="10F71080" w14:textId="77777777" w:rsidR="00A14B9B" w:rsidRPr="002A0D4F" w:rsidRDefault="00A14B9B" w:rsidP="006E5360">
      <w:pPr>
        <w:pStyle w:val="UZEIOdrky"/>
      </w:pPr>
      <w:r w:rsidRPr="002A0D4F">
        <w:t>opatření APZ na podporu zaměstnávání osob se zdravotním postižením</w:t>
      </w:r>
    </w:p>
    <w:p w14:paraId="5DB2EA8E" w14:textId="77777777" w:rsidR="00A14B9B" w:rsidRPr="002A0D4F" w:rsidRDefault="00A14B9B" w:rsidP="006E5360">
      <w:pPr>
        <w:pStyle w:val="UZEINormaln"/>
      </w:pPr>
      <w:r w:rsidRPr="002A0D4F">
        <w:t xml:space="preserve">V budoucím programovém období po roce 2021 se plánuje </w:t>
      </w:r>
      <w:proofErr w:type="spellStart"/>
      <w:r w:rsidRPr="002A0D4F">
        <w:t>provazba</w:t>
      </w:r>
      <w:proofErr w:type="spellEnd"/>
      <w:r w:rsidRPr="002A0D4F">
        <w:t xml:space="preserve"> na Strategii regionálního rozvoje ČR 2021+. Ministerstvo zemědělství ČR (</w:t>
      </w:r>
      <w:proofErr w:type="spellStart"/>
      <w:r w:rsidRPr="002A0D4F">
        <w:t>MZe</w:t>
      </w:r>
      <w:proofErr w:type="spellEnd"/>
      <w:r w:rsidRPr="002A0D4F">
        <w:t>) se zavázalo k plnění vybraných typových opatření, které mohou přispět k udržení a rozvoji zaměstnanosti. Jedná se o:</w:t>
      </w:r>
    </w:p>
    <w:p w14:paraId="33DD3004" w14:textId="77777777" w:rsidR="00A14B9B" w:rsidRPr="006F132F" w:rsidRDefault="00A14B9B" w:rsidP="006E5360">
      <w:pPr>
        <w:pStyle w:val="UZEIOdrky"/>
        <w:rPr>
          <w:b/>
          <w:bCs/>
        </w:rPr>
      </w:pPr>
      <w:bookmarkStart w:id="163" w:name="_Toc526439800"/>
      <w:r w:rsidRPr="006F132F">
        <w:rPr>
          <w:b/>
          <w:bCs/>
        </w:rPr>
        <w:t xml:space="preserve">Typové opatření </w:t>
      </w:r>
      <w:r w:rsidRPr="006F132F">
        <w:rPr>
          <w:b/>
          <w:bCs/>
          <w:i/>
        </w:rPr>
        <w:fldChar w:fldCharType="begin"/>
      </w:r>
      <w:r w:rsidRPr="006F132F">
        <w:rPr>
          <w:b/>
          <w:bCs/>
        </w:rPr>
        <w:instrText xml:space="preserve"> SEQ Typové_opatření \* ARABIC </w:instrText>
      </w:r>
      <w:r w:rsidRPr="006F132F">
        <w:rPr>
          <w:b/>
          <w:bCs/>
          <w:i/>
        </w:rPr>
        <w:fldChar w:fldCharType="separate"/>
      </w:r>
      <w:r w:rsidRPr="006F132F">
        <w:rPr>
          <w:b/>
          <w:bCs/>
          <w:noProof/>
        </w:rPr>
        <w:t>1</w:t>
      </w:r>
      <w:r w:rsidRPr="006F132F">
        <w:rPr>
          <w:b/>
          <w:bCs/>
          <w:i/>
        </w:rPr>
        <w:fldChar w:fldCharType="end"/>
      </w:r>
      <w:r w:rsidRPr="006F132F">
        <w:rPr>
          <w:b/>
          <w:bCs/>
        </w:rPr>
        <w:t>:  Zlepšit mikroklimatické podmínky v metropolitních územích</w:t>
      </w:r>
      <w:bookmarkEnd w:id="163"/>
      <w:r w:rsidRPr="006F132F">
        <w:rPr>
          <w:b/>
          <w:bCs/>
        </w:rPr>
        <w:t xml:space="preserve"> (</w:t>
      </w:r>
      <w:proofErr w:type="spellStart"/>
      <w:r w:rsidRPr="006F132F">
        <w:rPr>
          <w:b/>
          <w:bCs/>
        </w:rPr>
        <w:t>MZe</w:t>
      </w:r>
      <w:proofErr w:type="spellEnd"/>
      <w:r w:rsidRPr="006F132F">
        <w:rPr>
          <w:b/>
          <w:bCs/>
        </w:rPr>
        <w:t xml:space="preserve"> </w:t>
      </w:r>
      <w:proofErr w:type="spellStart"/>
      <w:r w:rsidRPr="006F132F">
        <w:rPr>
          <w:b/>
          <w:bCs/>
        </w:rPr>
        <w:t>spolugestor</w:t>
      </w:r>
      <w:proofErr w:type="spellEnd"/>
      <w:r w:rsidRPr="006F132F">
        <w:rPr>
          <w:b/>
          <w:bCs/>
        </w:rPr>
        <w:t>)</w:t>
      </w:r>
    </w:p>
    <w:p w14:paraId="4787C88B" w14:textId="77777777" w:rsidR="00A14B9B" w:rsidRPr="006F132F" w:rsidRDefault="00A14B9B" w:rsidP="006E5360">
      <w:pPr>
        <w:pStyle w:val="UZEIOdrky"/>
        <w:rPr>
          <w:b/>
          <w:bCs/>
          <w:i/>
          <w:iCs/>
        </w:rPr>
      </w:pPr>
      <w:bookmarkStart w:id="164" w:name="_Toc526439808"/>
      <w:r w:rsidRPr="006F132F">
        <w:rPr>
          <w:b/>
          <w:bCs/>
        </w:rPr>
        <w:t xml:space="preserve">Typové opatření </w:t>
      </w:r>
      <w:r w:rsidRPr="006F132F">
        <w:rPr>
          <w:b/>
          <w:bCs/>
          <w:i/>
        </w:rPr>
        <w:fldChar w:fldCharType="begin"/>
      </w:r>
      <w:r w:rsidRPr="006F132F">
        <w:rPr>
          <w:b/>
          <w:bCs/>
        </w:rPr>
        <w:instrText xml:space="preserve"> SEQ Typové_opatření \* ARABIC </w:instrText>
      </w:r>
      <w:r w:rsidRPr="006F132F">
        <w:rPr>
          <w:b/>
          <w:bCs/>
          <w:i/>
        </w:rPr>
        <w:fldChar w:fldCharType="separate"/>
      </w:r>
      <w:r w:rsidRPr="006F132F">
        <w:rPr>
          <w:b/>
          <w:bCs/>
          <w:noProof/>
        </w:rPr>
        <w:t>2</w:t>
      </w:r>
      <w:r w:rsidRPr="006F132F">
        <w:rPr>
          <w:b/>
          <w:bCs/>
          <w:i/>
        </w:rPr>
        <w:fldChar w:fldCharType="end"/>
      </w:r>
      <w:r w:rsidRPr="006F132F">
        <w:rPr>
          <w:b/>
          <w:bCs/>
        </w:rPr>
        <w:t>:  Zlepšit mikroklimatické podmínky v aglomeracích</w:t>
      </w:r>
      <w:bookmarkEnd w:id="164"/>
      <w:r w:rsidRPr="006F132F">
        <w:rPr>
          <w:b/>
          <w:bCs/>
        </w:rPr>
        <w:t xml:space="preserve"> (gestor)</w:t>
      </w:r>
    </w:p>
    <w:p w14:paraId="3F255416" w14:textId="77777777" w:rsidR="00A14B9B" w:rsidRPr="006F132F" w:rsidRDefault="00A14B9B" w:rsidP="006E5360">
      <w:pPr>
        <w:pStyle w:val="UZEIOdrky"/>
        <w:rPr>
          <w:b/>
          <w:bCs/>
          <w:i/>
        </w:rPr>
      </w:pPr>
      <w:bookmarkStart w:id="165" w:name="_Toc526439809"/>
      <w:r w:rsidRPr="006F132F">
        <w:rPr>
          <w:b/>
          <w:bCs/>
        </w:rPr>
        <w:t xml:space="preserve">Typové opatření </w:t>
      </w:r>
      <w:r w:rsidRPr="006F132F">
        <w:rPr>
          <w:b/>
          <w:bCs/>
          <w:i/>
        </w:rPr>
        <w:fldChar w:fldCharType="begin"/>
      </w:r>
      <w:r w:rsidRPr="006F132F">
        <w:rPr>
          <w:b/>
          <w:bCs/>
        </w:rPr>
        <w:instrText xml:space="preserve"> SEQ Typové_opatření \* ARABIC </w:instrText>
      </w:r>
      <w:r w:rsidRPr="006F132F">
        <w:rPr>
          <w:b/>
          <w:bCs/>
          <w:i/>
        </w:rPr>
        <w:fldChar w:fldCharType="separate"/>
      </w:r>
      <w:r w:rsidRPr="006F132F">
        <w:rPr>
          <w:b/>
          <w:bCs/>
          <w:noProof/>
        </w:rPr>
        <w:t>3</w:t>
      </w:r>
      <w:r w:rsidRPr="006F132F">
        <w:rPr>
          <w:b/>
          <w:bCs/>
          <w:i/>
        </w:rPr>
        <w:fldChar w:fldCharType="end"/>
      </w:r>
      <w:r w:rsidRPr="006F132F">
        <w:rPr>
          <w:b/>
          <w:bCs/>
        </w:rPr>
        <w:t>: Diverzifikovat ekonomické činnosti v regionálních centrech a jejich zázemí</w:t>
      </w:r>
      <w:bookmarkEnd w:id="165"/>
      <w:r w:rsidRPr="006F132F">
        <w:rPr>
          <w:b/>
          <w:bCs/>
        </w:rPr>
        <w:t xml:space="preserve"> (</w:t>
      </w:r>
      <w:proofErr w:type="spellStart"/>
      <w:r w:rsidRPr="006F132F">
        <w:rPr>
          <w:b/>
          <w:bCs/>
        </w:rPr>
        <w:t>spolugestor</w:t>
      </w:r>
      <w:proofErr w:type="spellEnd"/>
      <w:r w:rsidRPr="006F132F">
        <w:rPr>
          <w:b/>
          <w:bCs/>
        </w:rPr>
        <w:t>)</w:t>
      </w:r>
    </w:p>
    <w:p w14:paraId="1617B6CC" w14:textId="77777777" w:rsidR="00A14B9B" w:rsidRPr="006F132F" w:rsidRDefault="00A14B9B" w:rsidP="006E5360">
      <w:pPr>
        <w:pStyle w:val="UZEIOdrky"/>
        <w:rPr>
          <w:b/>
          <w:bCs/>
          <w:i/>
          <w:iCs/>
        </w:rPr>
      </w:pPr>
      <w:bookmarkStart w:id="166" w:name="_Toc526439812"/>
      <w:r w:rsidRPr="006F132F">
        <w:rPr>
          <w:b/>
          <w:bCs/>
        </w:rPr>
        <w:t xml:space="preserve">Typové opatření </w:t>
      </w:r>
      <w:r w:rsidRPr="006F132F">
        <w:rPr>
          <w:b/>
          <w:bCs/>
          <w:i/>
          <w:iCs/>
        </w:rPr>
        <w:fldChar w:fldCharType="begin"/>
      </w:r>
      <w:r w:rsidRPr="006F132F">
        <w:rPr>
          <w:b/>
          <w:bCs/>
        </w:rPr>
        <w:instrText xml:space="preserve"> SEQ Typové_opatření \* ARABIC </w:instrText>
      </w:r>
      <w:r w:rsidRPr="006F132F">
        <w:rPr>
          <w:b/>
          <w:bCs/>
          <w:i/>
          <w:iCs/>
        </w:rPr>
        <w:fldChar w:fldCharType="separate"/>
      </w:r>
      <w:r w:rsidRPr="006F132F">
        <w:rPr>
          <w:b/>
          <w:bCs/>
          <w:noProof/>
        </w:rPr>
        <w:t>4</w:t>
      </w:r>
      <w:r w:rsidRPr="006F132F">
        <w:rPr>
          <w:b/>
          <w:bCs/>
          <w:i/>
          <w:iCs/>
        </w:rPr>
        <w:fldChar w:fldCharType="end"/>
      </w:r>
      <w:r w:rsidRPr="006F132F">
        <w:rPr>
          <w:b/>
          <w:bCs/>
        </w:rPr>
        <w:t xml:space="preserve">: Revitalizovat </w:t>
      </w:r>
      <w:proofErr w:type="gramStart"/>
      <w:r w:rsidRPr="006F132F">
        <w:rPr>
          <w:b/>
          <w:bCs/>
        </w:rPr>
        <w:t>brownfield</w:t>
      </w:r>
      <w:bookmarkEnd w:id="166"/>
      <w:r w:rsidRPr="006F132F">
        <w:rPr>
          <w:b/>
          <w:bCs/>
        </w:rPr>
        <w:t>y  (</w:t>
      </w:r>
      <w:proofErr w:type="spellStart"/>
      <w:proofErr w:type="gramEnd"/>
      <w:r w:rsidRPr="006F132F">
        <w:rPr>
          <w:b/>
          <w:bCs/>
        </w:rPr>
        <w:t>spolugestor</w:t>
      </w:r>
      <w:proofErr w:type="spellEnd"/>
      <w:r w:rsidRPr="006F132F">
        <w:rPr>
          <w:b/>
          <w:bCs/>
        </w:rPr>
        <w:t>)</w:t>
      </w:r>
    </w:p>
    <w:p w14:paraId="26CC6BAE" w14:textId="77777777" w:rsidR="00A14B9B" w:rsidRPr="006F132F" w:rsidRDefault="00A14B9B" w:rsidP="006E5360">
      <w:pPr>
        <w:pStyle w:val="UZEIOdrky"/>
        <w:rPr>
          <w:b/>
          <w:bCs/>
          <w:i/>
          <w:iCs/>
        </w:rPr>
      </w:pPr>
      <w:bookmarkStart w:id="167" w:name="_Toc526439822"/>
      <w:r w:rsidRPr="006F132F">
        <w:rPr>
          <w:b/>
          <w:bCs/>
        </w:rPr>
        <w:t xml:space="preserve">Typové opatření </w:t>
      </w:r>
      <w:r w:rsidRPr="006F132F">
        <w:rPr>
          <w:b/>
          <w:bCs/>
          <w:i/>
          <w:iCs/>
        </w:rPr>
        <w:fldChar w:fldCharType="begin"/>
      </w:r>
      <w:r w:rsidRPr="006F132F">
        <w:rPr>
          <w:b/>
          <w:bCs/>
        </w:rPr>
        <w:instrText xml:space="preserve"> SEQ Typové_opatření \* ARABIC </w:instrText>
      </w:r>
      <w:r w:rsidRPr="006F132F">
        <w:rPr>
          <w:b/>
          <w:bCs/>
          <w:i/>
          <w:iCs/>
        </w:rPr>
        <w:fldChar w:fldCharType="separate"/>
      </w:r>
      <w:r w:rsidRPr="006F132F">
        <w:rPr>
          <w:b/>
          <w:bCs/>
          <w:noProof/>
        </w:rPr>
        <w:t>5</w:t>
      </w:r>
      <w:r w:rsidRPr="006F132F">
        <w:rPr>
          <w:b/>
          <w:bCs/>
          <w:i/>
          <w:iCs/>
        </w:rPr>
        <w:fldChar w:fldCharType="end"/>
      </w:r>
      <w:r w:rsidRPr="006F132F">
        <w:rPr>
          <w:b/>
          <w:bCs/>
        </w:rPr>
        <w:t xml:space="preserve">: </w:t>
      </w:r>
      <w:r w:rsidRPr="006F132F" w:rsidDel="00CD272B">
        <w:rPr>
          <w:b/>
          <w:bCs/>
        </w:rPr>
        <w:t xml:space="preserve"> </w:t>
      </w:r>
      <w:r w:rsidRPr="006F132F">
        <w:rPr>
          <w:b/>
          <w:bCs/>
        </w:rPr>
        <w:t>Posílit koordinační roli obce při usměrňování rozvoje krajiny</w:t>
      </w:r>
      <w:bookmarkEnd w:id="167"/>
      <w:r w:rsidRPr="006F132F">
        <w:rPr>
          <w:b/>
          <w:bCs/>
        </w:rPr>
        <w:t xml:space="preserve"> (</w:t>
      </w:r>
      <w:proofErr w:type="spellStart"/>
      <w:r w:rsidRPr="006F132F">
        <w:rPr>
          <w:b/>
          <w:bCs/>
        </w:rPr>
        <w:t>spolugestor</w:t>
      </w:r>
      <w:proofErr w:type="spellEnd"/>
      <w:r w:rsidRPr="006F132F">
        <w:rPr>
          <w:b/>
          <w:bCs/>
        </w:rPr>
        <w:t>)</w:t>
      </w:r>
    </w:p>
    <w:p w14:paraId="0B4BB533" w14:textId="77777777" w:rsidR="00A14B9B" w:rsidRPr="006F132F" w:rsidRDefault="00A14B9B" w:rsidP="006E5360">
      <w:pPr>
        <w:pStyle w:val="UZEIOdrky"/>
        <w:rPr>
          <w:b/>
          <w:bCs/>
          <w:i/>
          <w:iCs/>
        </w:rPr>
      </w:pPr>
      <w:bookmarkStart w:id="168" w:name="_Toc526439824"/>
      <w:r w:rsidRPr="006F132F">
        <w:rPr>
          <w:b/>
          <w:bCs/>
        </w:rPr>
        <w:t xml:space="preserve">Typové opatření </w:t>
      </w:r>
      <w:r w:rsidRPr="006F132F">
        <w:rPr>
          <w:b/>
          <w:bCs/>
          <w:i/>
          <w:iCs/>
        </w:rPr>
        <w:fldChar w:fldCharType="begin"/>
      </w:r>
      <w:r w:rsidRPr="006F132F">
        <w:rPr>
          <w:b/>
          <w:bCs/>
        </w:rPr>
        <w:instrText xml:space="preserve"> SEQ Typové_opatření \* ARABIC </w:instrText>
      </w:r>
      <w:r w:rsidRPr="006F132F">
        <w:rPr>
          <w:b/>
          <w:bCs/>
          <w:i/>
          <w:iCs/>
        </w:rPr>
        <w:fldChar w:fldCharType="separate"/>
      </w:r>
      <w:r w:rsidRPr="006F132F">
        <w:rPr>
          <w:b/>
          <w:bCs/>
          <w:noProof/>
        </w:rPr>
        <w:t>6</w:t>
      </w:r>
      <w:r w:rsidRPr="006F132F">
        <w:rPr>
          <w:b/>
          <w:bCs/>
          <w:i/>
          <w:iCs/>
        </w:rPr>
        <w:fldChar w:fldCharType="end"/>
      </w:r>
      <w:r w:rsidRPr="006F132F">
        <w:rPr>
          <w:b/>
          <w:bCs/>
        </w:rPr>
        <w:t>: Posílit odpovědnost vlastníka půdy za kvalitu prostředí</w:t>
      </w:r>
      <w:bookmarkEnd w:id="168"/>
      <w:r w:rsidRPr="006F132F">
        <w:rPr>
          <w:b/>
          <w:bCs/>
        </w:rPr>
        <w:t xml:space="preserve"> (gestor)</w:t>
      </w:r>
    </w:p>
    <w:p w14:paraId="727327D6" w14:textId="77777777" w:rsidR="00A14B9B" w:rsidRPr="002A0D4F" w:rsidRDefault="00A14B9B" w:rsidP="006E5360">
      <w:pPr>
        <w:pStyle w:val="UZEIOdrky"/>
        <w:rPr>
          <w:bCs/>
        </w:rPr>
      </w:pPr>
      <w:bookmarkStart w:id="169" w:name="_Toc526439825"/>
      <w:r w:rsidRPr="002A0D4F">
        <w:rPr>
          <w:bCs/>
        </w:rPr>
        <w:t xml:space="preserve">Typové opatření </w:t>
      </w:r>
      <w:r w:rsidRPr="002A0D4F">
        <w:rPr>
          <w:bCs/>
        </w:rPr>
        <w:fldChar w:fldCharType="begin"/>
      </w:r>
      <w:r w:rsidRPr="002A0D4F">
        <w:rPr>
          <w:bCs/>
        </w:rPr>
        <w:instrText xml:space="preserve"> SEQ Typové_opatření \* ARABIC </w:instrText>
      </w:r>
      <w:r w:rsidRPr="002A0D4F">
        <w:fldChar w:fldCharType="separate"/>
      </w:r>
      <w:r w:rsidRPr="002A0D4F">
        <w:rPr>
          <w:bCs/>
          <w:noProof/>
        </w:rPr>
        <w:t>7</w:t>
      </w:r>
      <w:r w:rsidRPr="002A0D4F">
        <w:rPr>
          <w:bCs/>
        </w:rPr>
        <w:fldChar w:fldCharType="end"/>
      </w:r>
      <w:r w:rsidRPr="002A0D4F">
        <w:rPr>
          <w:bCs/>
        </w:rPr>
        <w:t>: Využít moderních systémů hospodaření v krajině a snížit negativní dopady intenzivního způsobu hospodaření v území</w:t>
      </w:r>
      <w:bookmarkEnd w:id="169"/>
      <w:r w:rsidRPr="002A0D4F">
        <w:rPr>
          <w:bCs/>
        </w:rPr>
        <w:t xml:space="preserve"> (gestor)</w:t>
      </w:r>
    </w:p>
    <w:p w14:paraId="46CC336E" w14:textId="77777777" w:rsidR="00A14B9B" w:rsidRPr="006F132F" w:rsidRDefault="00A14B9B" w:rsidP="006E5360">
      <w:pPr>
        <w:pStyle w:val="UZEIOdrky"/>
        <w:rPr>
          <w:b/>
          <w:bCs/>
          <w:i/>
          <w:iCs/>
        </w:rPr>
      </w:pPr>
      <w:bookmarkStart w:id="170" w:name="_Toc526439833"/>
      <w:r w:rsidRPr="006F132F">
        <w:rPr>
          <w:b/>
          <w:bCs/>
        </w:rPr>
        <w:t xml:space="preserve">Typové opatření </w:t>
      </w:r>
      <w:r w:rsidRPr="006F132F">
        <w:rPr>
          <w:b/>
          <w:bCs/>
          <w:i/>
          <w:iCs/>
        </w:rPr>
        <w:fldChar w:fldCharType="begin"/>
      </w:r>
      <w:r w:rsidRPr="006F132F">
        <w:rPr>
          <w:b/>
          <w:bCs/>
        </w:rPr>
        <w:instrText xml:space="preserve"> SEQ Typové_opatření \* ARABIC </w:instrText>
      </w:r>
      <w:r w:rsidRPr="006F132F">
        <w:rPr>
          <w:b/>
          <w:bCs/>
          <w:i/>
          <w:iCs/>
        </w:rPr>
        <w:fldChar w:fldCharType="separate"/>
      </w:r>
      <w:r w:rsidRPr="006F132F">
        <w:rPr>
          <w:b/>
          <w:bCs/>
          <w:noProof/>
        </w:rPr>
        <w:t>8</w:t>
      </w:r>
      <w:r w:rsidRPr="006F132F">
        <w:rPr>
          <w:b/>
          <w:bCs/>
          <w:i/>
          <w:iCs/>
        </w:rPr>
        <w:fldChar w:fldCharType="end"/>
      </w:r>
      <w:r w:rsidRPr="006F132F">
        <w:rPr>
          <w:b/>
          <w:bCs/>
        </w:rPr>
        <w:t>: Rozvíjet komunitní život v obcích</w:t>
      </w:r>
      <w:bookmarkEnd w:id="170"/>
      <w:r w:rsidRPr="006F132F">
        <w:rPr>
          <w:b/>
          <w:bCs/>
        </w:rPr>
        <w:t xml:space="preserve"> (</w:t>
      </w:r>
      <w:proofErr w:type="spellStart"/>
      <w:r w:rsidRPr="006F132F">
        <w:rPr>
          <w:b/>
          <w:bCs/>
        </w:rPr>
        <w:t>spolugestor</w:t>
      </w:r>
      <w:proofErr w:type="spellEnd"/>
      <w:r w:rsidRPr="006F132F">
        <w:rPr>
          <w:b/>
          <w:bCs/>
        </w:rPr>
        <w:t>)</w:t>
      </w:r>
    </w:p>
    <w:p w14:paraId="32CE88C5" w14:textId="2C474699" w:rsidR="00A14B9B" w:rsidRPr="006F132F" w:rsidRDefault="00A14B9B" w:rsidP="006F132F">
      <w:pPr>
        <w:pStyle w:val="UZEIOdrky"/>
      </w:pPr>
      <w:r w:rsidRPr="002A0D4F">
        <w:t>Typové opatření 46: Zajistit občanskou vybavenost (</w:t>
      </w:r>
      <w:proofErr w:type="spellStart"/>
      <w:r w:rsidRPr="002A0D4F">
        <w:t>spolugestor</w:t>
      </w:r>
      <w:proofErr w:type="spellEnd"/>
      <w:r w:rsidRPr="002A0D4F">
        <w:t>)</w:t>
      </w:r>
    </w:p>
    <w:p w14:paraId="3861B293" w14:textId="77777777" w:rsidR="00A14B9B" w:rsidRPr="00685ECA" w:rsidRDefault="00A14B9B" w:rsidP="006F132F">
      <w:pPr>
        <w:pStyle w:val="UZEINormaln"/>
        <w:rPr>
          <w:rFonts w:cs="Arial"/>
          <w:b/>
        </w:rPr>
      </w:pPr>
      <w:r w:rsidRPr="00685ECA">
        <w:rPr>
          <w:b/>
          <w:bCs/>
        </w:rPr>
        <w:t>Strategie přizpůsobení se změně klimatu v podmínkách</w:t>
      </w:r>
      <w:r w:rsidRPr="00685ECA">
        <w:rPr>
          <w:rFonts w:cs="Arial"/>
          <w:b/>
        </w:rPr>
        <w:t xml:space="preserve"> ČR</w:t>
      </w:r>
    </w:p>
    <w:p w14:paraId="170C9669" w14:textId="77777777" w:rsidR="00A14B9B" w:rsidRPr="002A0D4F" w:rsidRDefault="00A14B9B" w:rsidP="006F132F">
      <w:pPr>
        <w:pStyle w:val="UZEINormaln"/>
      </w:pPr>
      <w:r w:rsidRPr="00685ECA">
        <w:rPr>
          <w:b/>
          <w:bCs/>
        </w:rPr>
        <w:t>Národní akční plán adaptace na změnu klimatu</w:t>
      </w:r>
      <w:r w:rsidRPr="002A0D4F">
        <w:rPr>
          <w:b/>
        </w:rPr>
        <w:t xml:space="preserve"> </w:t>
      </w:r>
      <w:r w:rsidRPr="002A0D4F">
        <w:t>Opatření 8.2: Diverzifikace zemědělských činností</w:t>
      </w:r>
    </w:p>
    <w:p w14:paraId="58F2E7ED" w14:textId="77777777" w:rsidR="00A14B9B" w:rsidRPr="002A0D4F" w:rsidRDefault="00A14B9B" w:rsidP="006F132F">
      <w:pPr>
        <w:pStyle w:val="UZEINormaln"/>
      </w:pPr>
      <w:r w:rsidRPr="002A0D4F">
        <w:t xml:space="preserve">Úkol 8_2.1: V rámci poskytování zemědělských podpor </w:t>
      </w:r>
      <w:proofErr w:type="spellStart"/>
      <w:r w:rsidRPr="002A0D4F">
        <w:t>prioritizovat</w:t>
      </w:r>
      <w:proofErr w:type="spellEnd"/>
      <w:r w:rsidRPr="002A0D4F">
        <w:t xml:space="preserve"> malé zemědělské podniky</w:t>
      </w:r>
    </w:p>
    <w:p w14:paraId="2DB91206" w14:textId="77777777" w:rsidR="00A14B9B" w:rsidRPr="002A0D4F" w:rsidRDefault="00A14B9B" w:rsidP="00685ECA">
      <w:pPr>
        <w:pStyle w:val="UZEINormaln"/>
        <w:rPr>
          <w:b/>
        </w:rPr>
      </w:pPr>
      <w:r w:rsidRPr="002A0D4F">
        <w:rPr>
          <w:b/>
        </w:rPr>
        <w:t xml:space="preserve">Souhrnný akční plán Strategie restrukturalizace Ústeckého, Moravskoslezského a Karlovarského kraje </w:t>
      </w:r>
      <w:proofErr w:type="gramStart"/>
      <w:r w:rsidRPr="002A0D4F">
        <w:rPr>
          <w:b/>
        </w:rPr>
        <w:t>2018 - 2019</w:t>
      </w:r>
      <w:proofErr w:type="gramEnd"/>
    </w:p>
    <w:p w14:paraId="2FF5485F" w14:textId="77777777" w:rsidR="00A14B9B" w:rsidRPr="002A0D4F" w:rsidRDefault="00A14B9B" w:rsidP="00685ECA">
      <w:pPr>
        <w:pStyle w:val="UZEINormaln"/>
      </w:pPr>
      <w:r w:rsidRPr="002A0D4F">
        <w:t>E.3.1. Podpora rozvoje venkovských oblastí ve strukturálně postižených regionech</w:t>
      </w:r>
    </w:p>
    <w:p w14:paraId="6DBF4234" w14:textId="77777777" w:rsidR="00A14B9B" w:rsidRPr="00685ECA" w:rsidRDefault="00A14B9B" w:rsidP="00685ECA">
      <w:pPr>
        <w:pStyle w:val="UZEINormaln"/>
        <w:rPr>
          <w:b/>
          <w:bCs/>
        </w:rPr>
      </w:pPr>
      <w:r w:rsidRPr="00685ECA">
        <w:rPr>
          <w:b/>
          <w:bCs/>
        </w:rPr>
        <w:t>Koncepce rozvoje venkova</w:t>
      </w:r>
    </w:p>
    <w:p w14:paraId="5D5BB14F" w14:textId="77777777" w:rsidR="00A14B9B" w:rsidRPr="002A0D4F" w:rsidRDefault="00A14B9B" w:rsidP="00685ECA">
      <w:pPr>
        <w:pStyle w:val="UZEINormaln"/>
      </w:pPr>
      <w:r w:rsidRPr="002A0D4F">
        <w:t>Její předložení na vládu se předpokládá v 1.pol. r. 2020. Prováděcím dokumentem bude Akční plán Strategie regionálního rozvoje.</w:t>
      </w:r>
    </w:p>
    <w:p w14:paraId="754E896D" w14:textId="0FE6C75D" w:rsidR="00A14B9B" w:rsidRPr="00685ECA" w:rsidRDefault="00A14B9B" w:rsidP="00685ECA">
      <w:pPr>
        <w:pStyle w:val="UZEINormaln"/>
        <w:rPr>
          <w:b/>
          <w:bCs/>
        </w:rPr>
      </w:pPr>
      <w:r w:rsidRPr="00685ECA">
        <w:rPr>
          <w:b/>
          <w:bCs/>
        </w:rPr>
        <w:t>IMPLEMENTAČNÍ PLÁN Strategie resortu Ministerstva zemědělství 2017-2020</w:t>
      </w:r>
    </w:p>
    <w:p w14:paraId="60FB1614" w14:textId="77777777" w:rsidR="00A14B9B" w:rsidRPr="002A0D4F" w:rsidRDefault="00A14B9B" w:rsidP="00685ECA">
      <w:pPr>
        <w:pStyle w:val="UZEINormaln"/>
      </w:pPr>
      <w:r w:rsidRPr="002A0D4F">
        <w:t xml:space="preserve">Strategický cíl A.3 Zajištění vyváženého ekonomického rozvoje a životaschopnosti zemědělských podniků </w:t>
      </w:r>
    </w:p>
    <w:p w14:paraId="1B8AE44B" w14:textId="77777777" w:rsidR="00A14B9B" w:rsidRPr="002A0D4F" w:rsidRDefault="00A14B9B" w:rsidP="00685ECA">
      <w:pPr>
        <w:pStyle w:val="UZEINormaln"/>
      </w:pPr>
      <w:r w:rsidRPr="002A0D4F">
        <w:lastRenderedPageBreak/>
        <w:t xml:space="preserve">Opatření: A.o.48 Podpora diverzifikace činností zemědělských podniků. </w:t>
      </w:r>
    </w:p>
    <w:p w14:paraId="4B342CD4" w14:textId="77777777" w:rsidR="00A14B9B" w:rsidRPr="002A0D4F" w:rsidRDefault="00A14B9B" w:rsidP="00685ECA">
      <w:pPr>
        <w:pStyle w:val="UZEINormaln"/>
      </w:pPr>
      <w:r w:rsidRPr="002A0D4F">
        <w:t xml:space="preserve">Strategický cíl A.5 Zlepšení vztahů zemědělství k venkovu </w:t>
      </w:r>
    </w:p>
    <w:p w14:paraId="2BA8AAD1" w14:textId="77777777" w:rsidR="00A14B9B" w:rsidRPr="002A0D4F" w:rsidRDefault="00A14B9B" w:rsidP="00685ECA">
      <w:pPr>
        <w:pStyle w:val="UZEINormaln"/>
        <w:rPr>
          <w:color w:val="000000"/>
        </w:rPr>
      </w:pPr>
      <w:r w:rsidRPr="002A0D4F">
        <w:rPr>
          <w:color w:val="000000"/>
        </w:rPr>
        <w:t xml:space="preserve">A.o.64 Podpora investic do diverzifikace zemědělských činností, zejména ve sféře partnerství s municipalitami (odpadové hospodářství, komunální služby, lokální energie atd.). </w:t>
      </w:r>
    </w:p>
    <w:p w14:paraId="00ADD9B0" w14:textId="77777777" w:rsidR="00A14B9B" w:rsidRPr="002A0D4F" w:rsidRDefault="00A14B9B" w:rsidP="00685ECA">
      <w:pPr>
        <w:pStyle w:val="UZEINormaln"/>
        <w:rPr>
          <w:color w:val="000000"/>
        </w:rPr>
      </w:pPr>
      <w:r w:rsidRPr="002A0D4F">
        <w:rPr>
          <w:color w:val="000000"/>
        </w:rPr>
        <w:t xml:space="preserve">A.o.68 Podpora MAS a přístupu LEADER (komunitně vedený místní rozvoj). </w:t>
      </w:r>
    </w:p>
    <w:p w14:paraId="2884EC89" w14:textId="77777777" w:rsidR="00A14B9B" w:rsidRPr="002A0D4F" w:rsidRDefault="00A14B9B" w:rsidP="00685ECA">
      <w:pPr>
        <w:pStyle w:val="UZEINormaln"/>
        <w:rPr>
          <w:color w:val="000000"/>
        </w:rPr>
      </w:pPr>
      <w:r w:rsidRPr="002A0D4F">
        <w:rPr>
          <w:color w:val="000000"/>
        </w:rPr>
        <w:t xml:space="preserve">A.o.69 Preference investičních podpor pro renovace zemědělských </w:t>
      </w:r>
      <w:proofErr w:type="spellStart"/>
      <w:r w:rsidRPr="002A0D4F">
        <w:rPr>
          <w:color w:val="000000"/>
        </w:rPr>
        <w:t>brownfields</w:t>
      </w:r>
      <w:proofErr w:type="spellEnd"/>
      <w:r w:rsidRPr="002A0D4F">
        <w:rPr>
          <w:color w:val="000000"/>
        </w:rPr>
        <w:t xml:space="preserve">, pro zvelebení zemědělských usedlostí v intravilánu obcí a diverzifikace (agroturistika ve spojení s ŽV). </w:t>
      </w:r>
    </w:p>
    <w:p w14:paraId="6FFC1596" w14:textId="77777777" w:rsidR="00A14B9B" w:rsidRPr="002A0D4F" w:rsidRDefault="00A14B9B" w:rsidP="00685ECA">
      <w:pPr>
        <w:pStyle w:val="UZEINormaln"/>
      </w:pPr>
      <w:r w:rsidRPr="002A0D4F">
        <w:t xml:space="preserve">Strategický cíl A.7 Snížení dopadů rizikovosti podnikání v zemědělství </w:t>
      </w:r>
    </w:p>
    <w:p w14:paraId="34D50CF9" w14:textId="77777777" w:rsidR="00A14B9B" w:rsidRPr="002A0D4F" w:rsidRDefault="00A14B9B" w:rsidP="00685ECA">
      <w:pPr>
        <w:pStyle w:val="UZEINormaln"/>
        <w:rPr>
          <w:color w:val="000000"/>
        </w:rPr>
      </w:pPr>
      <w:r w:rsidRPr="002A0D4F">
        <w:rPr>
          <w:color w:val="000000"/>
        </w:rPr>
        <w:t xml:space="preserve">A.o.84 Podpora diverzifikace činností zemědělských podniků </w:t>
      </w:r>
    </w:p>
    <w:p w14:paraId="255FBDED" w14:textId="77777777" w:rsidR="00A14B9B" w:rsidRPr="002A0D4F" w:rsidRDefault="00A14B9B" w:rsidP="00685ECA">
      <w:pPr>
        <w:pStyle w:val="UZEINormaln"/>
        <w:rPr>
          <w:b/>
          <w:bCs/>
        </w:rPr>
      </w:pPr>
      <w:proofErr w:type="spellStart"/>
      <w:r w:rsidRPr="002A0D4F">
        <w:rPr>
          <w:b/>
          <w:bCs/>
        </w:rPr>
        <w:t>iii</w:t>
      </w:r>
      <w:proofErr w:type="spellEnd"/>
      <w:r w:rsidRPr="002A0D4F">
        <w:rPr>
          <w:b/>
          <w:bCs/>
        </w:rPr>
        <w:t>) Nižší občanská a technická vybavenost venkova</w:t>
      </w:r>
    </w:p>
    <w:p w14:paraId="2E31B151" w14:textId="77777777" w:rsidR="00A14B9B" w:rsidRPr="002A0D4F" w:rsidRDefault="00A14B9B" w:rsidP="00685ECA">
      <w:pPr>
        <w:pStyle w:val="UZEINormaln"/>
      </w:pPr>
      <w:r w:rsidRPr="002A0D4F">
        <w:t>IROP – Integrovaný regionální operační program (MMR)</w:t>
      </w:r>
    </w:p>
    <w:p w14:paraId="436C38BB" w14:textId="77777777" w:rsidR="00A14B9B" w:rsidRPr="002A0D4F" w:rsidRDefault="00A14B9B" w:rsidP="00685ECA">
      <w:pPr>
        <w:pStyle w:val="UZEINormaln"/>
      </w:pPr>
      <w:r w:rsidRPr="002A0D4F">
        <w:t>Zkvalitnění veřejných služeb a podmínek života pro obyvatele regionů (5.2. Prioritní osa 2)</w:t>
      </w:r>
    </w:p>
    <w:p w14:paraId="29C942A4" w14:textId="77777777" w:rsidR="00A14B9B" w:rsidRPr="002A0D4F" w:rsidRDefault="00A14B9B" w:rsidP="00685ECA">
      <w:pPr>
        <w:pStyle w:val="UZEINormaln"/>
      </w:pPr>
      <w:r w:rsidRPr="002A0D4F">
        <w:t xml:space="preserve">Podporované aktivity: </w:t>
      </w:r>
    </w:p>
    <w:p w14:paraId="290E45DA" w14:textId="77777777" w:rsidR="00A14B9B" w:rsidRPr="002A0D4F" w:rsidRDefault="00A14B9B" w:rsidP="00685ECA">
      <w:pPr>
        <w:pStyle w:val="UZEIOdrky"/>
        <w:numPr>
          <w:ilvl w:val="0"/>
          <w:numId w:val="60"/>
        </w:numPr>
      </w:pPr>
      <w:r w:rsidRPr="002A0D4F">
        <w:t>Deinstitucionalizace sociálních služeb za účelem sociálního začleňování a zvýšení uplatnitelnosti na trhu práce</w:t>
      </w:r>
    </w:p>
    <w:p w14:paraId="239A7F7C" w14:textId="77777777" w:rsidR="00A14B9B" w:rsidRPr="002A0D4F" w:rsidRDefault="00A14B9B" w:rsidP="00685ECA">
      <w:pPr>
        <w:pStyle w:val="UZEIOdrky"/>
        <w:numPr>
          <w:ilvl w:val="0"/>
          <w:numId w:val="60"/>
        </w:numPr>
      </w:pPr>
      <w:r w:rsidRPr="002A0D4F">
        <w:t>Infrastruktura pro dostupnost a rozvoj sociální služby</w:t>
      </w:r>
    </w:p>
    <w:p w14:paraId="79196FDE" w14:textId="77777777" w:rsidR="00A14B9B" w:rsidRPr="002A0D4F" w:rsidRDefault="00A14B9B" w:rsidP="00685ECA">
      <w:pPr>
        <w:pStyle w:val="UZEIOdrky"/>
        <w:numPr>
          <w:ilvl w:val="0"/>
          <w:numId w:val="60"/>
        </w:numPr>
      </w:pPr>
      <w:r w:rsidRPr="002A0D4F">
        <w:t>Podpora rozvoje infrastruktury komunitních center za účelem sociálního začleňování a zvýšení uplatnitelnosti na trhu práce</w:t>
      </w:r>
    </w:p>
    <w:p w14:paraId="0219E4BF" w14:textId="35EFFDA6" w:rsidR="00A14B9B" w:rsidRPr="002A0D4F" w:rsidRDefault="00A14B9B" w:rsidP="00685ECA">
      <w:pPr>
        <w:pStyle w:val="UZEIOdrky"/>
        <w:numPr>
          <w:ilvl w:val="0"/>
          <w:numId w:val="60"/>
        </w:numPr>
      </w:pPr>
      <w:r w:rsidRPr="002A0D4F">
        <w:t>Sociální bydlení</w:t>
      </w:r>
    </w:p>
    <w:p w14:paraId="366930FB" w14:textId="77777777" w:rsidR="00A14B9B" w:rsidRPr="002A0D4F" w:rsidRDefault="00A14B9B" w:rsidP="00DA7D83">
      <w:pPr>
        <w:pStyle w:val="UZEINormaln"/>
      </w:pPr>
      <w:r w:rsidRPr="002A0D4F">
        <w:t xml:space="preserve">MMR – Program rozvoje a obnovy venkova. </w:t>
      </w:r>
    </w:p>
    <w:p w14:paraId="7C88CC7F" w14:textId="77777777" w:rsidR="00A14B9B" w:rsidRPr="002A0D4F" w:rsidRDefault="00A14B9B" w:rsidP="00DA7D83">
      <w:pPr>
        <w:pStyle w:val="UZEINormaln"/>
      </w:pPr>
      <w:r w:rsidRPr="002A0D4F">
        <w:t xml:space="preserve">Dotační titul č.  </w:t>
      </w:r>
      <w:proofErr w:type="gramStart"/>
      <w:r w:rsidRPr="002A0D4F">
        <w:t>117d8210A - Podpora</w:t>
      </w:r>
      <w:proofErr w:type="gramEnd"/>
      <w:r w:rsidRPr="002A0D4F">
        <w:t xml:space="preserve"> obnovy místních komunikací</w:t>
      </w:r>
    </w:p>
    <w:p w14:paraId="271A27A3" w14:textId="77777777" w:rsidR="00A14B9B" w:rsidRPr="002A0D4F" w:rsidRDefault="00A14B9B" w:rsidP="00DA7D83">
      <w:pPr>
        <w:pStyle w:val="UZEINormaln"/>
      </w:pPr>
      <w:r w:rsidRPr="002A0D4F">
        <w:t xml:space="preserve"> Budou podporovány akce zaměřené na obnovu místních komunikací a jejich součástí dle zákona č. 13/1997 Sb., o pozemních komunikacích, ve znění pozdějších předpisů, konkrétně na: </w:t>
      </w:r>
    </w:p>
    <w:p w14:paraId="316F69AA" w14:textId="77777777" w:rsidR="00A14B9B" w:rsidRPr="002A0D4F" w:rsidRDefault="00A14B9B" w:rsidP="00DA7D83">
      <w:pPr>
        <w:pStyle w:val="UZEIOdrky"/>
      </w:pPr>
      <w:r w:rsidRPr="002A0D4F">
        <w:t xml:space="preserve">všechny konstrukční vrstvy vozovek a krajnic, odpočívky, přidružené a přídatné pruhy, parkovací zálivy včetně zastávkových pruhů linkové osobní dopravy; </w:t>
      </w:r>
    </w:p>
    <w:p w14:paraId="1A35633F" w14:textId="77777777" w:rsidR="00A14B9B" w:rsidRPr="002A0D4F" w:rsidRDefault="00A14B9B" w:rsidP="00DA7D83">
      <w:pPr>
        <w:pStyle w:val="UZEIOdrky"/>
      </w:pPr>
      <w:r w:rsidRPr="002A0D4F">
        <w:t xml:space="preserve"> místní komunikace vedené na mostních objektech (nadjezdy), včetně těchto objektů;  </w:t>
      </w:r>
    </w:p>
    <w:p w14:paraId="0D2D1C1D" w14:textId="77777777" w:rsidR="00A14B9B" w:rsidRPr="002A0D4F" w:rsidRDefault="00A14B9B" w:rsidP="00DA7D83">
      <w:pPr>
        <w:pStyle w:val="UZEIOdrky"/>
      </w:pPr>
      <w:r w:rsidRPr="002A0D4F">
        <w:t xml:space="preserve"> napojení místní komunikace na příslušnou pozemní komunikaci; je-li tato v majetku obce </w:t>
      </w:r>
    </w:p>
    <w:p w14:paraId="169C4F2B" w14:textId="77777777" w:rsidR="00A14B9B" w:rsidRPr="002A0D4F" w:rsidRDefault="00A14B9B" w:rsidP="00DA7D83">
      <w:pPr>
        <w:pStyle w:val="UZEIOdrky"/>
      </w:pPr>
      <w:r w:rsidRPr="002A0D4F">
        <w:t xml:space="preserve">dále pokud jsou nedílnou součástí obnovy dané místní komunikace: - obnovu kanalizace, včetně úprav k odvádění vody (jen tehdy, slouží-li výlučně k odvádění povrchových vod z této komunikace), - obnovu propustků, ostatních povrchových odvodňovacích zařízení, galérií, opěrných, zárubních, obkladních a parapetních zdí, taras, násypů a svahů, dělicích pásů, příkopů. </w:t>
      </w:r>
    </w:p>
    <w:p w14:paraId="0595D4CE" w14:textId="77777777" w:rsidR="00A14B9B" w:rsidRPr="002A0D4F" w:rsidRDefault="00A14B9B" w:rsidP="00DA7D83">
      <w:pPr>
        <w:pStyle w:val="UZEINormaln"/>
      </w:pPr>
      <w:r w:rsidRPr="002A0D4F">
        <w:t>Dolní limit dotace na jednu akci činí 500 tis. Kč. Horní limit dotace na jednu akci činí 5 mil. Kč.</w:t>
      </w:r>
    </w:p>
    <w:p w14:paraId="60118E71" w14:textId="77777777" w:rsidR="00A14B9B" w:rsidRPr="002A0D4F" w:rsidRDefault="00A14B9B" w:rsidP="00DA7D83">
      <w:pPr>
        <w:pStyle w:val="UZEINormaln"/>
      </w:pPr>
      <w:r w:rsidRPr="002A0D4F">
        <w:t xml:space="preserve">Dotační titul č. </w:t>
      </w:r>
      <w:proofErr w:type="gramStart"/>
      <w:r w:rsidRPr="002A0D4F">
        <w:t>117d8210D - Podpora</w:t>
      </w:r>
      <w:proofErr w:type="gramEnd"/>
      <w:r w:rsidRPr="002A0D4F">
        <w:t xml:space="preserve"> vítězů soutěže Vesnice roku </w:t>
      </w:r>
    </w:p>
    <w:p w14:paraId="7FD2CC29" w14:textId="77777777" w:rsidR="00DA7D83" w:rsidRDefault="00DA7D83">
      <w:pPr>
        <w:spacing w:after="160" w:line="259" w:lineRule="auto"/>
        <w:jc w:val="left"/>
        <w:rPr>
          <w:rFonts w:eastAsia="Times New Roman" w:cstheme="minorHAnsi"/>
          <w:szCs w:val="24"/>
          <w:lang w:val="cs-CZ" w:eastAsia="cs-CZ"/>
        </w:rPr>
      </w:pPr>
      <w:r>
        <w:br w:type="page"/>
      </w:r>
    </w:p>
    <w:p w14:paraId="1C927A51" w14:textId="6623A08A" w:rsidR="00A14B9B" w:rsidRPr="002A0D4F" w:rsidRDefault="00A14B9B" w:rsidP="00DA7D83">
      <w:pPr>
        <w:pStyle w:val="UZEINormaln"/>
      </w:pPr>
      <w:r w:rsidRPr="002A0D4F">
        <w:lastRenderedPageBreak/>
        <w:t xml:space="preserve">Budou podporovány akce zaměřené na: </w:t>
      </w:r>
    </w:p>
    <w:p w14:paraId="3A6B332B" w14:textId="77777777" w:rsidR="00A14B9B" w:rsidRPr="002A0D4F" w:rsidRDefault="00A14B9B" w:rsidP="00DA7D83">
      <w:pPr>
        <w:pStyle w:val="UZEIOdrky"/>
      </w:pPr>
      <w:r w:rsidRPr="002A0D4F">
        <w:t xml:space="preserve">obnovu a údržbu venkovské zástavby (s výjimkou bytového fondu) a občanské vybavenosti (např. radnice, školy, předškolní zařízení, kulturní zařízení, hasičské zbrojnice, sakrální stavby, hřbitovy, drobné stavby apod.),  </w:t>
      </w:r>
    </w:p>
    <w:p w14:paraId="3D96C5DF" w14:textId="77777777" w:rsidR="00A14B9B" w:rsidRPr="002A0D4F" w:rsidRDefault="00A14B9B" w:rsidP="00DA7D83">
      <w:pPr>
        <w:pStyle w:val="UZEIOdrky"/>
      </w:pPr>
      <w:r w:rsidRPr="002A0D4F">
        <w:t xml:space="preserve">komplexní úpravu veřejných prostranství, </w:t>
      </w:r>
    </w:p>
    <w:p w14:paraId="5C31E044" w14:textId="77777777" w:rsidR="00A14B9B" w:rsidRPr="002A0D4F" w:rsidRDefault="00A14B9B" w:rsidP="00DA7D83">
      <w:pPr>
        <w:pStyle w:val="UZEIOdrky"/>
      </w:pPr>
      <w:r w:rsidRPr="002A0D4F">
        <w:t xml:space="preserve">obnovu a zřizování veřejné zeleně, </w:t>
      </w:r>
    </w:p>
    <w:p w14:paraId="00756BE5" w14:textId="77777777" w:rsidR="00A14B9B" w:rsidRPr="002A0D4F" w:rsidRDefault="00A14B9B" w:rsidP="00DA7D83">
      <w:pPr>
        <w:pStyle w:val="UZEIOdrky"/>
      </w:pPr>
      <w:r w:rsidRPr="002A0D4F">
        <w:t xml:space="preserve">rekonstrukci a výstavbu místních komunikací, stezek a veřejného osvětlení, </w:t>
      </w:r>
    </w:p>
    <w:p w14:paraId="33B8E5D7" w14:textId="77777777" w:rsidR="00A14B9B" w:rsidRPr="002A0D4F" w:rsidRDefault="00A14B9B" w:rsidP="00DA7D83">
      <w:pPr>
        <w:pStyle w:val="UZEIOdrky"/>
      </w:pPr>
      <w:r w:rsidRPr="002A0D4F">
        <w:t xml:space="preserve">obnovu a pořízení technického vybavení a zařízení, </w:t>
      </w:r>
    </w:p>
    <w:p w14:paraId="5756450B" w14:textId="77777777" w:rsidR="00A14B9B" w:rsidRPr="002A0D4F" w:rsidRDefault="00A14B9B" w:rsidP="00DA7D83">
      <w:pPr>
        <w:pStyle w:val="UZEIOdrky"/>
      </w:pPr>
      <w:r w:rsidRPr="002A0D4F">
        <w:t>přípravu a realizaci propagačních materiálů obce a prezentace obce v souvislosti s umístěním v soutěži Vesnice roku.</w:t>
      </w:r>
    </w:p>
    <w:p w14:paraId="55F697EE" w14:textId="13A513B0" w:rsidR="00A14B9B" w:rsidRPr="002A0D4F" w:rsidRDefault="00A14B9B" w:rsidP="00DA7D83">
      <w:pPr>
        <w:pStyle w:val="UZEINormaln"/>
      </w:pPr>
      <w:r w:rsidRPr="002A0D4F">
        <w:t xml:space="preserve">Dotační titul č. 117d8210H – Podpora budování a obnovy míst aktivního a pasivního odpočinku </w:t>
      </w:r>
    </w:p>
    <w:p w14:paraId="702F6E48" w14:textId="77777777" w:rsidR="00A14B9B" w:rsidRPr="002A0D4F" w:rsidRDefault="00A14B9B" w:rsidP="00DA7D83">
      <w:pPr>
        <w:pStyle w:val="UZEINormaln"/>
      </w:pPr>
      <w:r w:rsidRPr="002A0D4F">
        <w:t xml:space="preserve">Budou podporovány akce s výstupy sloužícími široké veřejnosti, jejichž provoz je hrazen z obecního rozpočtu, jejich užívání není zpoplatněno a jsou veřejně přístupné. Výstupy nesmí být komerčně využívány a sloužit k provozování ekonomické činnosti. Jde především o: </w:t>
      </w:r>
    </w:p>
    <w:p w14:paraId="66A6C4C7" w14:textId="77777777" w:rsidR="00A14B9B" w:rsidRPr="002A0D4F" w:rsidRDefault="00A14B9B" w:rsidP="00DA7D83">
      <w:pPr>
        <w:pStyle w:val="UZEIOdrky"/>
      </w:pPr>
      <w:r w:rsidRPr="002A0D4F">
        <w:t xml:space="preserve">obnovu nebo vybudování veřejných hřišť a sportovišť, dětských dopravních hřišť, </w:t>
      </w:r>
    </w:p>
    <w:p w14:paraId="26D7F39D" w14:textId="77777777" w:rsidR="00A14B9B" w:rsidRPr="002A0D4F" w:rsidRDefault="00A14B9B" w:rsidP="00DA7D83">
      <w:pPr>
        <w:pStyle w:val="UZEIOdrky"/>
      </w:pPr>
      <w:r w:rsidRPr="002A0D4F">
        <w:t xml:space="preserve">obnovu obecních koupališť lokálního charakteru, </w:t>
      </w:r>
    </w:p>
    <w:p w14:paraId="45A9A866" w14:textId="77777777" w:rsidR="00A14B9B" w:rsidRPr="002A0D4F" w:rsidRDefault="00A14B9B" w:rsidP="00DA7D83">
      <w:pPr>
        <w:pStyle w:val="UZEIOdrky"/>
      </w:pPr>
      <w:r w:rsidRPr="002A0D4F">
        <w:t xml:space="preserve">obnovu nebo vybudování naučných/zážitkových stezek (vyjma cyklostezek), </w:t>
      </w:r>
    </w:p>
    <w:p w14:paraId="18AE2D25" w14:textId="77777777" w:rsidR="00A14B9B" w:rsidRPr="002A0D4F" w:rsidRDefault="00A14B9B" w:rsidP="00DA7D83">
      <w:pPr>
        <w:pStyle w:val="UZEIOdrky"/>
      </w:pPr>
      <w:r w:rsidRPr="002A0D4F">
        <w:t>obnovu nebo vybudování zařízení pro volnočasové aktivity (vnitřní a vnější prostory pro setkávání, komunitní a spolkovou činnost).</w:t>
      </w:r>
    </w:p>
    <w:p w14:paraId="325AB465" w14:textId="77777777" w:rsidR="00A14B9B" w:rsidRPr="002A0D4F" w:rsidRDefault="00A14B9B" w:rsidP="00DA7D83">
      <w:pPr>
        <w:pStyle w:val="UZEINormaln"/>
      </w:pPr>
      <w:r w:rsidRPr="002A0D4F">
        <w:t xml:space="preserve">Dotační titul č. 117d8210K – Podpora venkovské pospolitosti a spolupráce na rozvoji obcí </w:t>
      </w:r>
    </w:p>
    <w:p w14:paraId="5CC7603B" w14:textId="77777777" w:rsidR="00A14B9B" w:rsidRPr="002A0D4F" w:rsidRDefault="00A14B9B" w:rsidP="00DA7D83">
      <w:pPr>
        <w:pStyle w:val="UZEINormaln"/>
      </w:pPr>
      <w:r w:rsidRPr="002A0D4F">
        <w:t xml:space="preserve">Podporovány budou akce zaměřené na: </w:t>
      </w:r>
    </w:p>
    <w:p w14:paraId="67C39398" w14:textId="77777777" w:rsidR="00A14B9B" w:rsidRPr="002A0D4F" w:rsidRDefault="00A14B9B" w:rsidP="00DA7D83">
      <w:pPr>
        <w:pStyle w:val="UZEIOdrky"/>
      </w:pPr>
      <w:r w:rsidRPr="002A0D4F">
        <w:t xml:space="preserve">prezentaci úspěšných projektů zaměřených na obnovu a rozvoj venkova s nadregionálním dosahem, </w:t>
      </w:r>
    </w:p>
    <w:p w14:paraId="55021817" w14:textId="77777777" w:rsidR="00A14B9B" w:rsidRPr="002A0D4F" w:rsidRDefault="00A14B9B" w:rsidP="00DA7D83">
      <w:pPr>
        <w:pStyle w:val="UZEIOdrky"/>
      </w:pPr>
      <w:r w:rsidRPr="002A0D4F">
        <w:t xml:space="preserve">výměnu zkušeností při přípravě projektů zaměřených na obnovu a rozvoj venkova s nadregionálním dosahem, </w:t>
      </w:r>
    </w:p>
    <w:p w14:paraId="116D7842" w14:textId="0A1DFE10" w:rsidR="00A14B9B" w:rsidRPr="002A0D4F" w:rsidRDefault="00A14B9B" w:rsidP="00DA7D83">
      <w:pPr>
        <w:pStyle w:val="UZEIOdrky"/>
      </w:pPr>
      <w:r w:rsidRPr="002A0D4F">
        <w:t>odborné vzdělávání starostů související s výkonem jejich funkce</w:t>
      </w:r>
    </w:p>
    <w:p w14:paraId="540EF4E8" w14:textId="28ACD4E0" w:rsidR="00A14B9B" w:rsidRPr="002A0D4F" w:rsidRDefault="00A14B9B" w:rsidP="00DA7D83">
      <w:pPr>
        <w:pStyle w:val="UZEINormaln"/>
      </w:pPr>
      <w:r w:rsidRPr="002A0D4F">
        <w:t xml:space="preserve">Dotační titul č. 117d8210G – Obnova drobných sakrálních staveb a hřbitovů </w:t>
      </w:r>
    </w:p>
    <w:p w14:paraId="5CD65CDE" w14:textId="77777777" w:rsidR="00A14B9B" w:rsidRPr="002A0D4F" w:rsidRDefault="00A14B9B" w:rsidP="00DA7D83">
      <w:pPr>
        <w:pStyle w:val="UZEINormaln"/>
      </w:pPr>
      <w:r w:rsidRPr="002A0D4F">
        <w:t xml:space="preserve">Budou podporovány akce zaměřené na obnovu drobných sakrálních staveb nalézajících se v katastrálním území obce, které nejsou prohlášeny kulturní památkou a jsou v majetku účastníka podprogramu. Jedná se zejména o obnovu staveb jako: </w:t>
      </w:r>
    </w:p>
    <w:p w14:paraId="26B5A2C4" w14:textId="49F932A3" w:rsidR="00A14B9B" w:rsidRPr="002A0D4F" w:rsidRDefault="00A14B9B" w:rsidP="00DA7D83">
      <w:pPr>
        <w:pStyle w:val="UZEIOdrky"/>
      </w:pPr>
      <w:r w:rsidRPr="002A0D4F">
        <w:t xml:space="preserve">kaple, kaplička, márnice, </w:t>
      </w:r>
    </w:p>
    <w:p w14:paraId="2132052F" w14:textId="77777777" w:rsidR="00A14B9B" w:rsidRPr="002A0D4F" w:rsidRDefault="00A14B9B" w:rsidP="00DA7D83">
      <w:pPr>
        <w:pStyle w:val="UZEIOdrky"/>
      </w:pPr>
      <w:r w:rsidRPr="002A0D4F">
        <w:t xml:space="preserve">socha, </w:t>
      </w:r>
    </w:p>
    <w:p w14:paraId="16FD9699" w14:textId="77777777" w:rsidR="00A14B9B" w:rsidRPr="002A0D4F" w:rsidRDefault="00A14B9B" w:rsidP="00DA7D83">
      <w:pPr>
        <w:pStyle w:val="UZEIOdrky"/>
      </w:pPr>
      <w:r w:rsidRPr="002A0D4F">
        <w:t xml:space="preserve">boží muka, kříž. </w:t>
      </w:r>
    </w:p>
    <w:p w14:paraId="198719BE" w14:textId="77777777" w:rsidR="00A14B9B" w:rsidRPr="002A0D4F" w:rsidRDefault="00A14B9B" w:rsidP="00DA7D83">
      <w:pPr>
        <w:pStyle w:val="UZEINormaln"/>
      </w:pPr>
      <w:r w:rsidRPr="002A0D4F">
        <w:t xml:space="preserve">Dále pak na obnovu: </w:t>
      </w:r>
    </w:p>
    <w:p w14:paraId="6EF33D4D" w14:textId="77777777" w:rsidR="00A14B9B" w:rsidRPr="002A0D4F" w:rsidRDefault="00A14B9B" w:rsidP="00DA7D83">
      <w:pPr>
        <w:pStyle w:val="UZEIOdrky"/>
      </w:pPr>
      <w:r w:rsidRPr="002A0D4F">
        <w:t xml:space="preserve">prostoru hřbitovů, </w:t>
      </w:r>
    </w:p>
    <w:p w14:paraId="494750A5" w14:textId="04E9C353" w:rsidR="00A14B9B" w:rsidRPr="002A0D4F" w:rsidRDefault="00A14B9B" w:rsidP="00DA7D83">
      <w:pPr>
        <w:pStyle w:val="UZEIOdrky"/>
      </w:pPr>
      <w:r w:rsidRPr="002A0D4F">
        <w:t>hřbitovní zdi.</w:t>
      </w:r>
      <w:r w:rsidRPr="002A0D4F">
        <w:tab/>
      </w:r>
    </w:p>
    <w:p w14:paraId="3DF0A7ED" w14:textId="77777777" w:rsidR="00DA7D83" w:rsidRDefault="00DA7D83">
      <w:pPr>
        <w:spacing w:after="160" w:line="259" w:lineRule="auto"/>
        <w:jc w:val="left"/>
        <w:rPr>
          <w:rFonts w:eastAsia="Times New Roman" w:cstheme="minorHAnsi"/>
          <w:szCs w:val="24"/>
          <w:lang w:val="cs-CZ" w:eastAsia="cs-CZ"/>
        </w:rPr>
      </w:pPr>
      <w:r>
        <w:br w:type="page"/>
      </w:r>
    </w:p>
    <w:p w14:paraId="4FEDB77C" w14:textId="2BA6ED77" w:rsidR="00A14B9B" w:rsidRPr="002A0D4F" w:rsidRDefault="00A14B9B" w:rsidP="00DA7D83">
      <w:pPr>
        <w:pStyle w:val="UZEINormaln"/>
      </w:pPr>
      <w:r w:rsidRPr="002A0D4F">
        <w:lastRenderedPageBreak/>
        <w:t xml:space="preserve">Dotační titul č. 117d8210B – Podpora obnovy sportovní infrastruktury </w:t>
      </w:r>
    </w:p>
    <w:p w14:paraId="6DA4FF50" w14:textId="77777777" w:rsidR="00A14B9B" w:rsidRPr="002A0D4F" w:rsidRDefault="00A14B9B" w:rsidP="00DA7D83">
      <w:pPr>
        <w:pStyle w:val="UZEINormaln"/>
      </w:pPr>
      <w:r w:rsidRPr="002A0D4F">
        <w:t xml:space="preserve">Podporovány budou akce zamřené na:  </w:t>
      </w:r>
    </w:p>
    <w:p w14:paraId="6DE39626" w14:textId="77777777" w:rsidR="00A14B9B" w:rsidRPr="002A0D4F" w:rsidRDefault="00A14B9B" w:rsidP="00DA7D83">
      <w:pPr>
        <w:pStyle w:val="UZEIOdrky"/>
        <w:rPr>
          <w:sz w:val="22"/>
          <w:szCs w:val="22"/>
        </w:rPr>
      </w:pPr>
      <w:r w:rsidRPr="002A0D4F">
        <w:t xml:space="preserve">na obnovu školních hřišť (multifunkční a víceúčelová hřiště a sportoviště apod.), které slouží pro hodiny tělesné výchovy,  </w:t>
      </w:r>
    </w:p>
    <w:p w14:paraId="4F0413D5" w14:textId="77777777" w:rsidR="00A14B9B" w:rsidRPr="002A0D4F" w:rsidRDefault="00A14B9B" w:rsidP="00DA7D83">
      <w:pPr>
        <w:pStyle w:val="UZEIOdrky"/>
        <w:rPr>
          <w:sz w:val="22"/>
          <w:szCs w:val="22"/>
        </w:rPr>
      </w:pPr>
      <w:r w:rsidRPr="002A0D4F">
        <w:t>na obnovu školních tělocvičen. Nový dotační program MMR - "Program rozvoje regionů 2019+" také bude minimálně částečně cílit na zmíněné potřeby venkova.</w:t>
      </w:r>
    </w:p>
    <w:p w14:paraId="6A79BF19" w14:textId="77777777" w:rsidR="00A14B9B" w:rsidRPr="002A0D4F" w:rsidRDefault="00A14B9B" w:rsidP="00A14B9B">
      <w:pPr>
        <w:rPr>
          <w:lang w:val="cs-CZ"/>
        </w:rPr>
      </w:pPr>
    </w:p>
    <w:p w14:paraId="5BA5116D" w14:textId="6684A07D" w:rsidR="00A14B9B" w:rsidRPr="002A0D4F" w:rsidRDefault="00A14B9B" w:rsidP="00DA7D83">
      <w:pPr>
        <w:pStyle w:val="UZEINormaln"/>
      </w:pPr>
      <w:r w:rsidRPr="002A0D4F">
        <w:t>Další národní dotační tituly pro obce MMR:</w:t>
      </w:r>
    </w:p>
    <w:p w14:paraId="669A594A" w14:textId="77777777" w:rsidR="00A14B9B" w:rsidRPr="002A0D4F" w:rsidRDefault="00A14B9B" w:rsidP="00DA7D83">
      <w:pPr>
        <w:pStyle w:val="UZEINormaln"/>
      </w:pPr>
      <w:r w:rsidRPr="002A0D4F">
        <w:t>Územní plán (program Podpora územně plánovacích činností obcí)</w:t>
      </w:r>
    </w:p>
    <w:p w14:paraId="4A604BCA" w14:textId="77777777" w:rsidR="00A14B9B" w:rsidRPr="002A0D4F" w:rsidRDefault="00A14B9B" w:rsidP="00DA7D83">
      <w:pPr>
        <w:pStyle w:val="UZEINormaln"/>
      </w:pPr>
      <w:r w:rsidRPr="002A0D4F">
        <w:t>Národní program podpory cestovního ruchu v regionech</w:t>
      </w:r>
    </w:p>
    <w:p w14:paraId="6B487167" w14:textId="14E240C2" w:rsidR="00A14B9B" w:rsidRPr="00340136" w:rsidRDefault="00A14B9B" w:rsidP="00340136">
      <w:pPr>
        <w:pStyle w:val="UZEINormaln"/>
      </w:pPr>
      <w:r w:rsidRPr="00340136">
        <w:t xml:space="preserve">Podprogram rozvoj základní a doprovodné infrastruktury cestovního ruchu </w:t>
      </w:r>
    </w:p>
    <w:p w14:paraId="55336145" w14:textId="46DB18FC" w:rsidR="00A14B9B" w:rsidRPr="00340136" w:rsidRDefault="00A14B9B" w:rsidP="00340136">
      <w:pPr>
        <w:pStyle w:val="UZEINormaln"/>
        <w:rPr>
          <w:color w:val="1A1F2A"/>
          <w:shd w:val="clear" w:color="auto" w:fill="FFFFFF"/>
        </w:rPr>
      </w:pPr>
      <w:r w:rsidRPr="00340136">
        <w:t xml:space="preserve">Podporován rozvoj: </w:t>
      </w:r>
    </w:p>
    <w:p w14:paraId="2F2780CA" w14:textId="77777777" w:rsidR="00A14B9B" w:rsidRPr="002A0D4F" w:rsidRDefault="00A14B9B" w:rsidP="00340136">
      <w:pPr>
        <w:pStyle w:val="UZEIOdrky"/>
        <w:rPr>
          <w:shd w:val="clear" w:color="auto" w:fill="FFFFFF"/>
        </w:rPr>
      </w:pPr>
      <w:r w:rsidRPr="002A0D4F">
        <w:rPr>
          <w:shd w:val="clear" w:color="auto" w:fill="FFFFFF"/>
        </w:rPr>
        <w:t>doprovodné infrastruktury cestovního ruchu v regionech</w:t>
      </w:r>
    </w:p>
    <w:p w14:paraId="19848E5E" w14:textId="77777777" w:rsidR="00A14B9B" w:rsidRPr="002A0D4F" w:rsidRDefault="00A14B9B" w:rsidP="00340136">
      <w:pPr>
        <w:pStyle w:val="UZEIOdrky"/>
        <w:rPr>
          <w:shd w:val="clear" w:color="auto" w:fill="FFFFFF"/>
        </w:rPr>
      </w:pPr>
      <w:r w:rsidRPr="002A0D4F">
        <w:rPr>
          <w:shd w:val="clear" w:color="auto" w:fill="FFFFFF"/>
        </w:rPr>
        <w:t xml:space="preserve">vybavenosti turistických tras (pěší, cyklo, </w:t>
      </w:r>
      <w:proofErr w:type="spellStart"/>
      <w:r w:rsidRPr="002A0D4F">
        <w:rPr>
          <w:shd w:val="clear" w:color="auto" w:fill="FFFFFF"/>
        </w:rPr>
        <w:t>hipo</w:t>
      </w:r>
      <w:proofErr w:type="spellEnd"/>
      <w:r w:rsidRPr="002A0D4F">
        <w:rPr>
          <w:shd w:val="clear" w:color="auto" w:fill="FFFFFF"/>
        </w:rPr>
        <w:t>, lyžařská, vodní turistika a další udržitelné formy cestovního ruchu)</w:t>
      </w:r>
    </w:p>
    <w:p w14:paraId="0D565C7B" w14:textId="77777777" w:rsidR="00A14B9B" w:rsidRPr="002A0D4F" w:rsidRDefault="00A14B9B" w:rsidP="00340136">
      <w:pPr>
        <w:pStyle w:val="UZEIOdrky"/>
        <w:rPr>
          <w:shd w:val="clear" w:color="auto" w:fill="FFFFFF"/>
        </w:rPr>
      </w:pPr>
      <w:r w:rsidRPr="002A0D4F">
        <w:rPr>
          <w:shd w:val="clear" w:color="auto" w:fill="FFFFFF"/>
        </w:rPr>
        <w:t>rozvoj navigačních a informačních systémů, podpora úpravy lyžařských běžeckých tras</w:t>
      </w:r>
    </w:p>
    <w:p w14:paraId="4526943B" w14:textId="77777777" w:rsidR="00A14B9B" w:rsidRPr="002A0D4F" w:rsidRDefault="00A14B9B" w:rsidP="00340136">
      <w:pPr>
        <w:pStyle w:val="UZEIOdrky"/>
        <w:rPr>
          <w:shd w:val="clear" w:color="auto" w:fill="FFFFFF"/>
        </w:rPr>
      </w:pPr>
      <w:r w:rsidRPr="002A0D4F">
        <w:rPr>
          <w:shd w:val="clear" w:color="auto" w:fill="FFFFFF"/>
        </w:rPr>
        <w:t>ekologicky šetrné dopravy návštěvníků v turistických regionech a v neposlední řadě i monitoring návštěvníků.</w:t>
      </w:r>
    </w:p>
    <w:p w14:paraId="74116217" w14:textId="77777777" w:rsidR="00A14B9B" w:rsidRPr="002A0D4F" w:rsidRDefault="00A14B9B" w:rsidP="00340136">
      <w:pPr>
        <w:pStyle w:val="UZEINormaln"/>
      </w:pPr>
      <w:r w:rsidRPr="002A0D4F">
        <w:t>Regenerace sídlišť (program Podpora bydlení)</w:t>
      </w:r>
    </w:p>
    <w:p w14:paraId="59ECF135" w14:textId="77777777" w:rsidR="00A14B9B" w:rsidRPr="002A0D4F" w:rsidRDefault="00A14B9B" w:rsidP="00340136">
      <w:pPr>
        <w:pStyle w:val="UZEINormaln"/>
        <w:rPr>
          <w:shd w:val="clear" w:color="auto" w:fill="FFFFFF"/>
        </w:rPr>
      </w:pPr>
      <w:r w:rsidRPr="002A0D4F">
        <w:t>Technická infrastruktura</w:t>
      </w:r>
    </w:p>
    <w:p w14:paraId="71EE6AF9" w14:textId="77777777" w:rsidR="00A14B9B" w:rsidRPr="002A0D4F" w:rsidRDefault="00A14B9B" w:rsidP="00340136">
      <w:pPr>
        <w:pStyle w:val="UZEIOdrky"/>
      </w:pPr>
      <w:r w:rsidRPr="002A0D4F">
        <w:t>technická a dopravní infrastruktura (pozemní komunikace, vodovod, kanalizace)</w:t>
      </w:r>
    </w:p>
    <w:p w14:paraId="628AC1CC" w14:textId="77777777" w:rsidR="00A14B9B" w:rsidRPr="002A0D4F" w:rsidRDefault="00A14B9B" w:rsidP="0082515B">
      <w:pPr>
        <w:pStyle w:val="UZEINormaln"/>
      </w:pPr>
      <w:r w:rsidRPr="002A0D4F">
        <w:t>Pečovatelský byt (program Podpora bydlení, podprogram Podporované byty)</w:t>
      </w:r>
    </w:p>
    <w:p w14:paraId="0039AC52" w14:textId="77777777" w:rsidR="00A14B9B" w:rsidRPr="002A0D4F" w:rsidRDefault="00A14B9B" w:rsidP="00340136">
      <w:pPr>
        <w:pStyle w:val="UZEIOdrky"/>
      </w:pPr>
      <w:r w:rsidRPr="002A0D4F">
        <w:t>Výstavba bytů pro osoby 65+ a osoby fyzicky závislé na jiné osobě</w:t>
      </w:r>
    </w:p>
    <w:p w14:paraId="3F9466E8" w14:textId="77777777" w:rsidR="00A14B9B" w:rsidRPr="002A0D4F" w:rsidRDefault="00A14B9B" w:rsidP="0082515B">
      <w:pPr>
        <w:pStyle w:val="UZEINormaln"/>
      </w:pPr>
      <w:r w:rsidRPr="002A0D4F">
        <w:t>Komunitní domy seniorů (program Podpora bydlení, podprogram Podporované byty)</w:t>
      </w:r>
    </w:p>
    <w:p w14:paraId="3B3CB710" w14:textId="77777777" w:rsidR="00A14B9B" w:rsidRPr="002A0D4F" w:rsidRDefault="00A14B9B" w:rsidP="00340136">
      <w:pPr>
        <w:pStyle w:val="UZEIOdrky"/>
      </w:pPr>
      <w:r w:rsidRPr="002A0D4F">
        <w:t>Výstavba Komunitních domů seniorů pro zajištění sociálního nájemního bydlení pro osoby z cílové skupiny</w:t>
      </w:r>
    </w:p>
    <w:p w14:paraId="0FFBDF6C" w14:textId="77777777" w:rsidR="00A14B9B" w:rsidRPr="002A0D4F" w:rsidRDefault="00A14B9B" w:rsidP="0082515B">
      <w:pPr>
        <w:pStyle w:val="UZEINormaln"/>
      </w:pPr>
      <w:r w:rsidRPr="002A0D4F">
        <w:t>Evropské strukturální a investiční fondy. Prioritní osa 4 OP programu Podnikání a inovace pro konkurenceschopnost. Dotační titul Vysokorychlostní internet. Byly vyhlášeny dvě výzvy, v březnu 2017 a dále v únoru 2019. Primárním cílem programu je zvýšení dostupnosti připojení k vysokorychlostnímu internetu i v odlehlých oblastech českého venkova.</w:t>
      </w:r>
    </w:p>
    <w:p w14:paraId="4CB6F8D1" w14:textId="77777777" w:rsidR="00A14B9B" w:rsidRPr="002A0D4F" w:rsidRDefault="00A14B9B" w:rsidP="0082515B">
      <w:pPr>
        <w:pStyle w:val="UZEINormaln"/>
      </w:pPr>
      <w:r w:rsidRPr="002A0D4F">
        <w:t xml:space="preserve">Obslužnost venkova v širším slova smyslu je podporována i národními dotačními tituly dalších </w:t>
      </w:r>
      <w:proofErr w:type="gramStart"/>
      <w:r w:rsidRPr="002A0D4F">
        <w:t>rezortů</w:t>
      </w:r>
      <w:proofErr w:type="gramEnd"/>
      <w:r w:rsidRPr="002A0D4F">
        <w:t xml:space="preserve"> (</w:t>
      </w:r>
      <w:proofErr w:type="spellStart"/>
      <w:r w:rsidRPr="002A0D4F">
        <w:t>MZe</w:t>
      </w:r>
      <w:proofErr w:type="spellEnd"/>
      <w:r w:rsidRPr="002A0D4F">
        <w:t>,):</w:t>
      </w:r>
    </w:p>
    <w:p w14:paraId="227447D0" w14:textId="77777777" w:rsidR="00A14B9B" w:rsidRPr="002A0D4F" w:rsidRDefault="00A14B9B" w:rsidP="0082515B">
      <w:pPr>
        <w:pStyle w:val="UZEIOdrky"/>
      </w:pPr>
      <w:r w:rsidRPr="002A0D4F">
        <w:t>MŽP – Program Rozvoj Místní Agendy 21</w:t>
      </w:r>
    </w:p>
    <w:p w14:paraId="61F3C0E4" w14:textId="77777777" w:rsidR="00A14B9B" w:rsidRPr="002A0D4F" w:rsidRDefault="00A14B9B" w:rsidP="0082515B">
      <w:pPr>
        <w:pStyle w:val="UZEIOdrky"/>
      </w:pPr>
      <w:r w:rsidRPr="002A0D4F">
        <w:t xml:space="preserve">MZ – Program Podpora dostatečného zajištění zdravotních služeb v regionech s omezenou dostupnou zdravotní péče (praktičtí a zubní lékaři) </w:t>
      </w:r>
    </w:p>
    <w:p w14:paraId="5F3BCBDC" w14:textId="77777777" w:rsidR="00A14B9B" w:rsidRPr="002A0D4F" w:rsidRDefault="00A14B9B" w:rsidP="0082515B">
      <w:pPr>
        <w:pStyle w:val="UZEIOdrky"/>
      </w:pPr>
      <w:r w:rsidRPr="002A0D4F">
        <w:t>MŠMT – program Rozvoj výukových kapacit mateřských a základních škol zřizovaných územně samosprávními celky v letech 2017 a 2018</w:t>
      </w:r>
    </w:p>
    <w:p w14:paraId="14089961" w14:textId="77777777" w:rsidR="00A14B9B" w:rsidRPr="002A0D4F" w:rsidRDefault="00A14B9B" w:rsidP="0082515B">
      <w:pPr>
        <w:pStyle w:val="UZEIOdrky"/>
      </w:pPr>
      <w:r w:rsidRPr="002A0D4F">
        <w:t>MF – program Podpora rozvoje a obnovy materiálně-technické základny regionálních škol v okolí velkých měst</w:t>
      </w:r>
    </w:p>
    <w:p w14:paraId="28F0EBA4" w14:textId="77777777" w:rsidR="00A14B9B" w:rsidRPr="002A0D4F" w:rsidRDefault="00A14B9B" w:rsidP="00A14B9B">
      <w:pPr>
        <w:pStyle w:val="Odstavecseseznamem"/>
      </w:pPr>
    </w:p>
    <w:p w14:paraId="3D8CBE68" w14:textId="77777777" w:rsidR="00A14B9B" w:rsidRPr="002A0D4F" w:rsidRDefault="00A14B9B" w:rsidP="008909DB">
      <w:pPr>
        <w:pStyle w:val="UZEINormaln"/>
      </w:pPr>
      <w:r w:rsidRPr="002A0D4F">
        <w:lastRenderedPageBreak/>
        <w:t>Nevyužité opuštěné nemovitosti (lokality typu brownfield)</w:t>
      </w:r>
    </w:p>
    <w:p w14:paraId="5B716EBA" w14:textId="77777777" w:rsidR="00A14B9B" w:rsidRPr="002A0D4F" w:rsidRDefault="00A14B9B" w:rsidP="008909DB">
      <w:pPr>
        <w:pStyle w:val="UZEIOdrky"/>
      </w:pPr>
      <w:r w:rsidRPr="002A0D4F">
        <w:t>Národní strategie regenerace brownfieldů 2016–2020</w:t>
      </w:r>
    </w:p>
    <w:p w14:paraId="29B1B255" w14:textId="77777777" w:rsidR="00A14B9B" w:rsidRPr="002A0D4F" w:rsidRDefault="00A14B9B" w:rsidP="008909DB">
      <w:pPr>
        <w:pStyle w:val="UZEIOdrky"/>
      </w:pPr>
      <w:r w:rsidRPr="002A0D4F">
        <w:t>Snížení počtu brownfieldů a záborů zemědělské půdy pro novou výstavbu na základě principů trvale udržitelného rozvoje, zlepšení kvality urbánního prostředí a zvýšení konkurenceschopnosti obcí a měst</w:t>
      </w:r>
    </w:p>
    <w:p w14:paraId="21133BC6" w14:textId="77777777" w:rsidR="00A14B9B" w:rsidRPr="002A0D4F" w:rsidRDefault="00A14B9B" w:rsidP="008909DB">
      <w:pPr>
        <w:pStyle w:val="UZEIOdrky"/>
      </w:pPr>
      <w:r w:rsidRPr="002A0D4F">
        <w:t>Program regenerace a podnikatelské využití brownfieldů (MPO) Finanční podpora pro obce a kraje s cílem revitalizace brownfieldů do 10 ha</w:t>
      </w:r>
    </w:p>
    <w:p w14:paraId="79E8ED0C" w14:textId="77777777" w:rsidR="00A14B9B" w:rsidRPr="002A0D4F" w:rsidRDefault="00A14B9B" w:rsidP="008909DB">
      <w:pPr>
        <w:pStyle w:val="UZEIOdrky"/>
      </w:pPr>
      <w:r w:rsidRPr="002A0D4F">
        <w:t>Program na podporu podnikatelských nemovitostí a infrastruktury (MPO)</w:t>
      </w:r>
    </w:p>
    <w:p w14:paraId="77DAE88E" w14:textId="77777777" w:rsidR="00A14B9B" w:rsidRPr="002A0D4F" w:rsidRDefault="00A14B9B" w:rsidP="008909DB">
      <w:pPr>
        <w:pStyle w:val="UZEIOdrky"/>
      </w:pPr>
      <w:r w:rsidRPr="002A0D4F">
        <w:t>Podpora obcí, krajů a státních organizací výstavba rozvoj podnikání včetně regenerace brownfieldů</w:t>
      </w:r>
    </w:p>
    <w:p w14:paraId="241891E3" w14:textId="77777777" w:rsidR="00A14B9B" w:rsidRPr="002A0D4F" w:rsidRDefault="00A14B9B" w:rsidP="008909DB">
      <w:pPr>
        <w:pStyle w:val="UZEIOdrky"/>
      </w:pPr>
      <w:r w:rsidRPr="002A0D4F">
        <w:t>OP PIK Program Nemovitosti (MPO)</w:t>
      </w:r>
    </w:p>
    <w:p w14:paraId="5DA18682" w14:textId="77777777" w:rsidR="00A14B9B" w:rsidRPr="002A0D4F" w:rsidRDefault="00A14B9B" w:rsidP="008909DB">
      <w:pPr>
        <w:pStyle w:val="UZEIOdrky"/>
      </w:pPr>
      <w:r w:rsidRPr="002A0D4F">
        <w:t>Podpora malých a středních podnikatelů při modernizaci zastaralých budov ve všech regionech mimo území Prahy</w:t>
      </w:r>
    </w:p>
    <w:p w14:paraId="18B2094A" w14:textId="77777777" w:rsidR="00A14B9B" w:rsidRPr="002A0D4F" w:rsidRDefault="00A14B9B" w:rsidP="008909DB">
      <w:pPr>
        <w:pStyle w:val="UZEIOdrky"/>
      </w:pPr>
    </w:p>
    <w:p w14:paraId="011B0A1E" w14:textId="77777777" w:rsidR="00A14B9B" w:rsidRPr="002A0D4F" w:rsidRDefault="00A14B9B" w:rsidP="008909DB">
      <w:pPr>
        <w:pStyle w:val="UZEIOdrky"/>
      </w:pPr>
      <w:r w:rsidRPr="002A0D4F">
        <w:t>Program Regenerace brownfieldů pro nepodnikatelské využití (MMR)</w:t>
      </w:r>
    </w:p>
    <w:p w14:paraId="055FD727" w14:textId="77777777" w:rsidR="00A14B9B" w:rsidRPr="002A0D4F" w:rsidRDefault="00A14B9B" w:rsidP="008909DB">
      <w:pPr>
        <w:pStyle w:val="UZEIOdrky"/>
      </w:pPr>
      <w:r w:rsidRPr="002A0D4F">
        <w:t xml:space="preserve">Zacílen na objekty typy brownfield, jejichž následné využití bude nepodnikatelského charakteru a bude sloužit široké veřejnosti. </w:t>
      </w:r>
    </w:p>
    <w:p w14:paraId="48CD93C3" w14:textId="77777777" w:rsidR="00A14B9B" w:rsidRPr="002A0D4F" w:rsidRDefault="00A14B9B" w:rsidP="008909DB">
      <w:pPr>
        <w:pStyle w:val="UZEIOdrky"/>
      </w:pPr>
      <w:r w:rsidRPr="002A0D4F">
        <w:t>IROP se soustředí na vyvážený rozvoj území, zajištění udržitelného rozvoje obcí, měst, regionů</w:t>
      </w:r>
    </w:p>
    <w:p w14:paraId="11AA85B4" w14:textId="77777777" w:rsidR="00A14B9B" w:rsidRPr="002A0D4F" w:rsidRDefault="00A14B9B" w:rsidP="008909DB">
      <w:pPr>
        <w:pStyle w:val="UZEIOdrky"/>
      </w:pPr>
      <w:r w:rsidRPr="002A0D4F">
        <w:t>OPŽP</w:t>
      </w:r>
    </w:p>
    <w:p w14:paraId="55D80728" w14:textId="77777777" w:rsidR="00A14B9B" w:rsidRPr="002A0D4F" w:rsidRDefault="00A14B9B" w:rsidP="008909DB">
      <w:pPr>
        <w:pStyle w:val="UZEINormaln"/>
      </w:pPr>
      <w:r w:rsidRPr="002A0D4F">
        <w:t>Zlepšování kvality vod a ovzduší, odstraňování odpadů a ekologických zátěží aj.</w:t>
      </w:r>
    </w:p>
    <w:p w14:paraId="5B976F48" w14:textId="77777777" w:rsidR="00A14B9B" w:rsidRPr="002A0D4F" w:rsidRDefault="00A14B9B" w:rsidP="008909DB">
      <w:pPr>
        <w:pStyle w:val="UZEINormaln"/>
      </w:pPr>
      <w:r w:rsidRPr="002A0D4F">
        <w:t xml:space="preserve">Vybavenost venkova a její zlepšení je součástí zejména strategických </w:t>
      </w:r>
      <w:proofErr w:type="gramStart"/>
      <w:r w:rsidRPr="002A0D4F">
        <w:t>materiálů  SRR</w:t>
      </w:r>
      <w:proofErr w:type="gramEnd"/>
      <w:r w:rsidRPr="002A0D4F">
        <w:t xml:space="preserve"> 2021+ a současně vytvářené Koncepce rozvoje venkova ČR (MMR, 2019).</w:t>
      </w:r>
    </w:p>
    <w:p w14:paraId="4D7734B2" w14:textId="77777777" w:rsidR="00A14B9B" w:rsidRPr="008909DB" w:rsidRDefault="00A14B9B" w:rsidP="008909DB">
      <w:pPr>
        <w:pStyle w:val="UZEINormaln"/>
        <w:rPr>
          <w:b/>
          <w:bCs/>
        </w:rPr>
      </w:pPr>
      <w:proofErr w:type="spellStart"/>
      <w:r w:rsidRPr="008909DB">
        <w:rPr>
          <w:b/>
          <w:bCs/>
        </w:rPr>
        <w:t>iv</w:t>
      </w:r>
      <w:proofErr w:type="spellEnd"/>
      <w:r w:rsidRPr="008909DB">
        <w:rPr>
          <w:b/>
          <w:bCs/>
        </w:rPr>
        <w:t>) Výskyt chudoby a sociálního vyloučení ve venkovských lokalitách</w:t>
      </w:r>
    </w:p>
    <w:p w14:paraId="712D6BED" w14:textId="77777777" w:rsidR="00A14B9B" w:rsidRPr="002A0D4F" w:rsidRDefault="00A14B9B" w:rsidP="008909DB">
      <w:pPr>
        <w:pStyle w:val="UZEINormaln"/>
      </w:pPr>
      <w:r w:rsidRPr="002A0D4F">
        <w:t xml:space="preserve">Vzhledem k tomu, že se jedná o komplexní problém, zabývá se danou problematikou více veřejných politik, které jsou spolu provázány. Téma chudoby a sociálního vyloučení je mezioborového charakteru, proto je podpora této tematické oblasti zohledněna v několika operačních programech. </w:t>
      </w:r>
    </w:p>
    <w:p w14:paraId="7692518A" w14:textId="77777777" w:rsidR="00A14B9B" w:rsidRPr="002A0D4F" w:rsidRDefault="00A14B9B" w:rsidP="008909DB">
      <w:pPr>
        <w:pStyle w:val="UZEIOdrky"/>
      </w:pPr>
      <w:r w:rsidRPr="002A0D4F">
        <w:t>Problematikou a opatřeními se zabývá zejména ministerstvo práce sociálních věcí.</w:t>
      </w:r>
    </w:p>
    <w:p w14:paraId="664F1171" w14:textId="77777777" w:rsidR="00A14B9B" w:rsidRPr="002A0D4F" w:rsidRDefault="00A14B9B" w:rsidP="008909DB">
      <w:pPr>
        <w:pStyle w:val="UZEIOdrky"/>
      </w:pPr>
      <w:r w:rsidRPr="002A0D4F">
        <w:t>Podpora rodiny s dětmi (MPSV)</w:t>
      </w:r>
    </w:p>
    <w:p w14:paraId="025D1510" w14:textId="77777777" w:rsidR="00A14B9B" w:rsidRPr="002A0D4F" w:rsidRDefault="00A14B9B" w:rsidP="008909DB">
      <w:pPr>
        <w:pStyle w:val="UZEIOdrky"/>
      </w:pPr>
      <w:r w:rsidRPr="002A0D4F">
        <w:t>Růst penzí (MPSV)</w:t>
      </w:r>
    </w:p>
    <w:p w14:paraId="47FDC7B3" w14:textId="77777777" w:rsidR="00A14B9B" w:rsidRPr="002A0D4F" w:rsidRDefault="00A14B9B" w:rsidP="008909DB">
      <w:pPr>
        <w:pStyle w:val="UZEIOdrky"/>
      </w:pPr>
      <w:r w:rsidRPr="002A0D4F">
        <w:t>Trh práce, kariérní poradenství, rekvalifikace (zák. 435/2004 Sb., o zaměstnanosti)</w:t>
      </w:r>
    </w:p>
    <w:p w14:paraId="6DE30368" w14:textId="77777777" w:rsidR="00A14B9B" w:rsidRPr="002A0D4F" w:rsidRDefault="00A14B9B" w:rsidP="008909DB">
      <w:pPr>
        <w:pStyle w:val="UZEIOdrky"/>
      </w:pPr>
      <w:r w:rsidRPr="002A0D4F">
        <w:t>Zákon o státní sociální podpoře (č.117/1995 Sb.)</w:t>
      </w:r>
      <w:r w:rsidRPr="002A0D4F">
        <w:tab/>
      </w:r>
    </w:p>
    <w:p w14:paraId="39069468" w14:textId="77777777" w:rsidR="00A14B9B" w:rsidRPr="002A0D4F" w:rsidRDefault="00A14B9B" w:rsidP="008909DB">
      <w:pPr>
        <w:pStyle w:val="UZEIOdrky"/>
      </w:pPr>
      <w:r w:rsidRPr="002A0D4F">
        <w:t>Nepřímo tento problém pokrývá také OP Zaměstnanost (MPSV) zaměřen na:</w:t>
      </w:r>
    </w:p>
    <w:p w14:paraId="4C783BB6" w14:textId="77777777" w:rsidR="00A14B9B" w:rsidRPr="002A0D4F" w:rsidRDefault="00A14B9B" w:rsidP="008909DB">
      <w:pPr>
        <w:pStyle w:val="UZEIOdrky"/>
      </w:pPr>
      <w:r w:rsidRPr="002A0D4F">
        <w:t>podporu zaměstnanosti</w:t>
      </w:r>
    </w:p>
    <w:p w14:paraId="3B979E78" w14:textId="77777777" w:rsidR="00A14B9B" w:rsidRPr="002A0D4F" w:rsidRDefault="00A14B9B" w:rsidP="008909DB">
      <w:pPr>
        <w:pStyle w:val="UZEIOdrky"/>
      </w:pPr>
      <w:r w:rsidRPr="002A0D4F">
        <w:t>rovné příležitosti žen a mužů</w:t>
      </w:r>
    </w:p>
    <w:p w14:paraId="42A723E8" w14:textId="77777777" w:rsidR="00A14B9B" w:rsidRPr="002A0D4F" w:rsidRDefault="00A14B9B" w:rsidP="008909DB">
      <w:pPr>
        <w:pStyle w:val="UZEIOdrky"/>
      </w:pPr>
      <w:r w:rsidRPr="002A0D4F">
        <w:t>adaptabilitu zaměstnanců a zaměstnavatel</w:t>
      </w:r>
    </w:p>
    <w:p w14:paraId="21194B9B" w14:textId="77777777" w:rsidR="00A14B9B" w:rsidRPr="002A0D4F" w:rsidRDefault="00A14B9B" w:rsidP="008909DB">
      <w:pPr>
        <w:pStyle w:val="UZEIOdrky"/>
      </w:pPr>
      <w:r w:rsidRPr="002A0D4F">
        <w:t>další vzdělávání</w:t>
      </w:r>
    </w:p>
    <w:p w14:paraId="6276485B" w14:textId="77777777" w:rsidR="00A14B9B" w:rsidRPr="002A0D4F" w:rsidRDefault="00A14B9B" w:rsidP="008909DB">
      <w:pPr>
        <w:pStyle w:val="UZEIOdrky"/>
      </w:pPr>
      <w:r w:rsidRPr="002A0D4F">
        <w:t>sociální začleňování a boje s chudobou</w:t>
      </w:r>
    </w:p>
    <w:p w14:paraId="6EC2BD19" w14:textId="77777777" w:rsidR="00A14B9B" w:rsidRPr="002A0D4F" w:rsidRDefault="00A14B9B" w:rsidP="008909DB">
      <w:pPr>
        <w:pStyle w:val="UZEIOdrky"/>
      </w:pPr>
      <w:r w:rsidRPr="002A0D4F">
        <w:t>modernizaci veřejné správy a veřejných služeb</w:t>
      </w:r>
    </w:p>
    <w:p w14:paraId="3FDD5374" w14:textId="77777777" w:rsidR="00A14B9B" w:rsidRPr="002A0D4F" w:rsidRDefault="00A14B9B" w:rsidP="008909DB">
      <w:pPr>
        <w:pStyle w:val="UZEIOdrky"/>
      </w:pPr>
      <w:r w:rsidRPr="002A0D4F">
        <w:lastRenderedPageBreak/>
        <w:t>podporu mezinárodní spolupráce a sociální inovací v oblasti zaměstnanosti, sociálního začleňování a veřejné správy</w:t>
      </w:r>
    </w:p>
    <w:p w14:paraId="28D76E38" w14:textId="77777777" w:rsidR="00A14B9B" w:rsidRPr="002A0D4F" w:rsidRDefault="00A14B9B" w:rsidP="008909DB">
      <w:pPr>
        <w:pStyle w:val="UZEIOdrky"/>
      </w:pPr>
      <w:r w:rsidRPr="002A0D4F">
        <w:t xml:space="preserve">    Nepřímo OP VVV (výzkum, vývoj a vzdělávání) (MŠMT):</w:t>
      </w:r>
    </w:p>
    <w:p w14:paraId="6BAC3574" w14:textId="77777777" w:rsidR="00A14B9B" w:rsidRPr="002A0D4F" w:rsidRDefault="00A14B9B" w:rsidP="008909DB">
      <w:pPr>
        <w:pStyle w:val="UZEIOdrky"/>
      </w:pPr>
      <w:r w:rsidRPr="002A0D4F">
        <w:t>podpora rovnosti a kvality ve vzdělávání</w:t>
      </w:r>
    </w:p>
    <w:p w14:paraId="488B9E8C" w14:textId="77777777" w:rsidR="00A14B9B" w:rsidRPr="002A0D4F" w:rsidRDefault="00A14B9B" w:rsidP="008909DB">
      <w:pPr>
        <w:pStyle w:val="UZEIOdrky"/>
      </w:pPr>
      <w:r w:rsidRPr="002A0D4F">
        <w:t>Rozvoj lepších kompetencí pro trh práce</w:t>
      </w:r>
    </w:p>
    <w:p w14:paraId="2F4E40FE" w14:textId="77777777" w:rsidR="00A14B9B" w:rsidRPr="002A0D4F" w:rsidRDefault="00A14B9B" w:rsidP="008909DB">
      <w:pPr>
        <w:pStyle w:val="UZEIOdrky"/>
      </w:pPr>
      <w:r w:rsidRPr="002A0D4F">
        <w:t>Posílení kapacit pro kvalitní výzkum a jeho přínos pro společnost</w:t>
      </w:r>
    </w:p>
    <w:p w14:paraId="68202BD5" w14:textId="77777777" w:rsidR="00A14B9B" w:rsidRPr="002A0D4F" w:rsidRDefault="00A14B9B" w:rsidP="008909DB">
      <w:pPr>
        <w:pStyle w:val="UZEIOdrky"/>
      </w:pPr>
      <w:r w:rsidRPr="002A0D4F">
        <w:t>-    IROP (integrovaný regionální operační program) (MMR): Zaměřen na vyvážený rozvoj území, zlepšení infrastruktury, veřejných služeb a veřejné správy a zajištění udržitelného rozvoje v obcích, městech a regionech.</w:t>
      </w:r>
    </w:p>
    <w:p w14:paraId="353E893C" w14:textId="77777777" w:rsidR="00A14B9B" w:rsidRPr="002A0D4F" w:rsidRDefault="00A14B9B" w:rsidP="008909DB">
      <w:pPr>
        <w:pStyle w:val="UZEIOdrky"/>
        <w:rPr>
          <w:rFonts w:asciiTheme="minorHAnsi" w:eastAsiaTheme="minorEastAsia" w:hAnsiTheme="minorHAnsi" w:cstheme="minorBidi"/>
        </w:rPr>
      </w:pPr>
      <w:r w:rsidRPr="002A0D4F">
        <w:t>Národní dotace (MMR) jsou zaměřeny na pomoc krajům, obcím i konkrétním občanům a zároveň se snaží zlepšit situaci regionů. Soustředí se na problematiku bydlení, rozvoje venkova a cestovního ruchu. Regionální program podpory (MMR) se snaží pomoci znevýhodněným nebo strukturálně či jinak postiženým regionům.</w:t>
      </w:r>
    </w:p>
    <w:p w14:paraId="3B238A21" w14:textId="77777777" w:rsidR="00A14B9B" w:rsidRPr="002A0D4F" w:rsidRDefault="00A14B9B" w:rsidP="008909DB">
      <w:pPr>
        <w:pStyle w:val="UZEIOdrky"/>
        <w:rPr>
          <w:rFonts w:asciiTheme="minorHAnsi" w:eastAsiaTheme="minorEastAsia" w:hAnsiTheme="minorHAnsi" w:cstheme="minorBidi"/>
        </w:rPr>
      </w:pPr>
      <w:r w:rsidRPr="002A0D4F">
        <w:t xml:space="preserve">Podprogram demolice budov v sociálně vyloučených lokalitách je zaměřen na demolici budov </w:t>
      </w:r>
      <w:r w:rsidRPr="002A0D4F">
        <w:rPr>
          <w:rFonts w:ascii="Roboto" w:hAnsi="Roboto" w:cs="Segoe UI"/>
        </w:rPr>
        <w:t>v obcích s rizikem vzniku sociálně vyloučené lokality</w:t>
      </w:r>
      <w:r w:rsidRPr="002A0D4F">
        <w:t xml:space="preserve">. Cílem je pak celková revitalizace prostoru, který pak bude sloužit k dalšímu rozvoji obce, čímž dojde k zamezení vzniku oblastí se sociální segregací.  </w:t>
      </w:r>
    </w:p>
    <w:p w14:paraId="5D76EAD4" w14:textId="77777777" w:rsidR="00A14B9B" w:rsidRPr="002A0D4F" w:rsidRDefault="00A14B9B" w:rsidP="008909DB">
      <w:pPr>
        <w:pStyle w:val="UZEIOdrky"/>
      </w:pPr>
      <w:r w:rsidRPr="002A0D4F">
        <w:t>Politika soudržnosti (kohezní politika) – v období 2014–2020 došlo k posílení vazeb mezi politikou soudržnosti a dalšími politikami EU, které přispívají k regionálnímu rozvoji, jde zejména o politiku pro rozvoj venkova a rybářskou námořní politiku, a je financována z evropských strukturálních a investičních fondů (ESI). Z těchto fondů jsou podporovány následující tematické oblasti: výzkum a vývoj, podpora malých a středních podniků, životní prostředí, doprava, zaměstnanost, odborný výcvik a veřejnou správu.</w:t>
      </w:r>
    </w:p>
    <w:p w14:paraId="361BB4DD" w14:textId="77777777" w:rsidR="00A14B9B" w:rsidRPr="002A0D4F" w:rsidRDefault="00A14B9B" w:rsidP="008909DB">
      <w:pPr>
        <w:pStyle w:val="UZEINormaln"/>
      </w:pPr>
      <w:r w:rsidRPr="002A0D4F">
        <w:t>MAS jsou financované vícezdrojově, nejvíce projektů mimo PRV se daří uplatnit v IROP a OPZ, méně pak v OPŽP. (vlastní šetření ÚZEI)</w:t>
      </w:r>
    </w:p>
    <w:p w14:paraId="5FF640B3" w14:textId="77777777" w:rsidR="00A14B9B" w:rsidRPr="002A0D4F" w:rsidRDefault="00A14B9B" w:rsidP="00A14B9B">
      <w:pPr>
        <w:spacing w:after="160" w:line="259" w:lineRule="auto"/>
        <w:jc w:val="left"/>
        <w:rPr>
          <w:rFonts w:asciiTheme="majorHAnsi" w:hAnsiTheme="majorHAnsi" w:cstheme="majorHAnsi"/>
          <w:i/>
          <w:sz w:val="18"/>
          <w:szCs w:val="18"/>
          <w:lang w:val="cs-CZ"/>
        </w:rPr>
      </w:pPr>
    </w:p>
    <w:p w14:paraId="593B91F9" w14:textId="77777777" w:rsidR="008909DB" w:rsidRDefault="008909DB">
      <w:pPr>
        <w:spacing w:after="160" w:line="259" w:lineRule="auto"/>
        <w:jc w:val="left"/>
        <w:rPr>
          <w:rFonts w:eastAsiaTheme="majorEastAsia" w:cs="Times New Roman"/>
          <w:b/>
          <w:bCs/>
          <w:sz w:val="28"/>
          <w:szCs w:val="32"/>
          <w:lang w:val="cs-CZ"/>
        </w:rPr>
      </w:pPr>
      <w:bookmarkStart w:id="171" w:name="_Toc519518205"/>
      <w:bookmarkStart w:id="172" w:name="_Toc519518311"/>
      <w:bookmarkStart w:id="173" w:name="_Toc519581821"/>
      <w:bookmarkStart w:id="174" w:name="_Toc525820134"/>
      <w:bookmarkStart w:id="175" w:name="_Toc530577740"/>
      <w:bookmarkStart w:id="176" w:name="_Toc12277979"/>
      <w:bookmarkStart w:id="177" w:name="_Toc12282616"/>
      <w:bookmarkStart w:id="178" w:name="_Toc12283271"/>
      <w:bookmarkStart w:id="179" w:name="_Toc15623885"/>
      <w:bookmarkStart w:id="180" w:name="_Toc15627516"/>
      <w:bookmarkStart w:id="181" w:name="_Toc25919695"/>
      <w:bookmarkStart w:id="182" w:name="_Toc25919779"/>
      <w:r>
        <w:br w:type="page"/>
      </w:r>
    </w:p>
    <w:p w14:paraId="051CF8A2" w14:textId="00BFCD82" w:rsidR="00A14B9B" w:rsidRPr="008909DB" w:rsidRDefault="00A14B9B" w:rsidP="008909DB">
      <w:pPr>
        <w:pStyle w:val="Nadpis1"/>
      </w:pPr>
      <w:bookmarkStart w:id="183" w:name="_Toc81757383"/>
      <w:bookmarkStart w:id="184" w:name="_Toc81815670"/>
      <w:bookmarkStart w:id="185" w:name="_Toc81816207"/>
      <w:bookmarkStart w:id="186" w:name="_Toc81817302"/>
      <w:r w:rsidRPr="008909DB">
        <w:lastRenderedPageBreak/>
        <w:t>Detailnější posouzení vlivu předpisů</w:t>
      </w:r>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p>
    <w:p w14:paraId="437B1E04" w14:textId="77777777" w:rsidR="00A14B9B" w:rsidRPr="002A0D4F" w:rsidRDefault="00A14B9B" w:rsidP="008909DB">
      <w:pPr>
        <w:pStyle w:val="UZEINormaln"/>
      </w:pPr>
      <w:r w:rsidRPr="002A0D4F">
        <w:t xml:space="preserve">Pro iniciativu LEADER jsou synergické efekty jednou z podmínek dobrého fungování MAS. Dohoda o partnerství uvádí 8 problémových oblastí, které byly inspirací pro tvorbu strategii MAS. Například sociální systém začleňující sociálně vyloučené skupiny působící preventivně proti chudobě a řeší souběžně služby zaměstnanosti, kvalitní vzdělávací systém, výzkum, efektivní veřejnou správu, infrastrukturu, ochranu životního prostředí. </w:t>
      </w:r>
    </w:p>
    <w:p w14:paraId="653B5E03" w14:textId="7FF19427" w:rsidR="00A14B9B" w:rsidRPr="002A0D4F" w:rsidRDefault="00A14B9B" w:rsidP="008909DB">
      <w:pPr>
        <w:pStyle w:val="UZEINormaln"/>
        <w:rPr>
          <w:szCs w:val="23"/>
        </w:rPr>
      </w:pPr>
      <w:r w:rsidRPr="002A0D4F">
        <w:rPr>
          <w:szCs w:val="23"/>
        </w:rPr>
        <w:t xml:space="preserve"> </w:t>
      </w:r>
      <w:r w:rsidRPr="002A0D4F">
        <w:t>MAS mohou čerpat z programových rámců PRV 2014-2020 a Operačních programů, níže je uveden přehled programů, a to včetně PRV:</w:t>
      </w:r>
    </w:p>
    <w:p w14:paraId="31927BC6" w14:textId="77777777" w:rsidR="00A14B9B" w:rsidRPr="002A0D4F" w:rsidRDefault="00A14B9B" w:rsidP="008909DB">
      <w:pPr>
        <w:pStyle w:val="UZEINormaln"/>
        <w:rPr>
          <w:rFonts w:ascii="Arial" w:eastAsia="Arial" w:hAnsi="Arial" w:cs="Arial"/>
          <w:color w:val="000000"/>
        </w:rPr>
      </w:pPr>
      <w:r w:rsidRPr="002A0D4F">
        <w:rPr>
          <w:color w:val="000000"/>
        </w:rPr>
        <w:t>V rámci PRV bylo vytvořeno průřezové opatření v rámci iniciativy CLLD. Konkrétně se jedná o opatření 19 „</w:t>
      </w:r>
      <w:r w:rsidRPr="002A0D4F">
        <w:t>Podpora místního rozvoje na základě iniciativy LEADER (komunitně vedený místní rozvoj)“, který se dělí se na operace:</w:t>
      </w:r>
    </w:p>
    <w:p w14:paraId="5BA316DF" w14:textId="77777777" w:rsidR="00A14B9B" w:rsidRPr="002A0D4F" w:rsidRDefault="00A14B9B" w:rsidP="008909DB">
      <w:pPr>
        <w:pStyle w:val="UZEIOdrky"/>
      </w:pPr>
      <w:r w:rsidRPr="002A0D4F">
        <w:t>19.2.1 Podpora provádění operací v rámci strategie komunitně vedeného místního rozvoje</w:t>
      </w:r>
    </w:p>
    <w:p w14:paraId="1B21C32E" w14:textId="77777777" w:rsidR="005C4836" w:rsidRDefault="005C4836" w:rsidP="005C4836">
      <w:pPr>
        <w:pStyle w:val="UZEIOdrky"/>
      </w:pPr>
      <w:r>
        <w:t>Operace 19.3.1 Příprava a provádění činností spolupráce místní akční skupiny.</w:t>
      </w:r>
    </w:p>
    <w:p w14:paraId="1AB14ED8" w14:textId="17AB211B" w:rsidR="00A14B9B" w:rsidRPr="002A0D4F" w:rsidRDefault="00A14B9B" w:rsidP="005C4836">
      <w:pPr>
        <w:pStyle w:val="UZEIOdrky"/>
        <w:numPr>
          <w:ilvl w:val="0"/>
          <w:numId w:val="0"/>
        </w:numPr>
        <w:ind w:left="360"/>
      </w:pPr>
    </w:p>
    <w:p w14:paraId="1F2A622D" w14:textId="77777777" w:rsidR="00A14B9B" w:rsidRPr="002A0D4F" w:rsidRDefault="00A14B9B" w:rsidP="00A14B9B">
      <w:pPr>
        <w:rPr>
          <w:lang w:val="cs-CZ"/>
        </w:rPr>
      </w:pPr>
    </w:p>
    <w:p w14:paraId="38052A8B" w14:textId="77777777" w:rsidR="00A14B9B" w:rsidRPr="002A0D4F" w:rsidRDefault="00A14B9B" w:rsidP="008909DB">
      <w:pPr>
        <w:pStyle w:val="UZEINormaln"/>
        <w:rPr>
          <w:rFonts w:ascii="Arial" w:eastAsia="Arial" w:hAnsi="Arial" w:cs="Arial"/>
          <w:color w:val="000000"/>
        </w:rPr>
      </w:pPr>
      <w:r w:rsidRPr="002A0D4F">
        <w:rPr>
          <w:b/>
          <w:bCs/>
        </w:rPr>
        <w:t>Podpora v rámci IROP</w:t>
      </w:r>
      <w:r w:rsidRPr="002A0D4F">
        <w:rPr>
          <w:color w:val="000000"/>
        </w:rPr>
        <w:t xml:space="preserve"> (MMR) byla vytvořena přímo jako průřezová prioritní osa pro čerpání v rámci iniciativy CLLD. Konkrétně se jedná o osu 4 „</w:t>
      </w:r>
      <w:r w:rsidRPr="002A0D4F">
        <w:t>Komunitně vedený místní rozvoj“, která se dělí na specifické cíle:</w:t>
      </w:r>
    </w:p>
    <w:p w14:paraId="393DFA4D" w14:textId="77777777" w:rsidR="00A14B9B" w:rsidRPr="002A0D4F" w:rsidRDefault="00A14B9B" w:rsidP="008909DB">
      <w:pPr>
        <w:pStyle w:val="UZEIOdrky"/>
      </w:pPr>
      <w:r w:rsidRPr="002A0D4F">
        <w:t xml:space="preserve">4.1 Posílení komunitně vedeného místního rozvoje za účelem zvýšení kvality života ve venkovských oblastech a aktivizace místního potenciálu. </w:t>
      </w:r>
    </w:p>
    <w:p w14:paraId="19B833B7" w14:textId="77777777" w:rsidR="00A14B9B" w:rsidRPr="002A0D4F" w:rsidRDefault="00A14B9B" w:rsidP="008909DB">
      <w:pPr>
        <w:pStyle w:val="UZEIOdrky"/>
      </w:pPr>
      <w:r w:rsidRPr="002A0D4F">
        <w:t>4.2 Posílení kapacit komunitně vedeného místního rozvoje za účelem zlepšení řídících a administrativních schopností MAS</w:t>
      </w:r>
    </w:p>
    <w:p w14:paraId="2DADC840" w14:textId="77777777" w:rsidR="00A14B9B" w:rsidRPr="002A0D4F" w:rsidRDefault="00A14B9B" w:rsidP="008909DB">
      <w:pPr>
        <w:pStyle w:val="UZEINormaln"/>
        <w:rPr>
          <w:rFonts w:ascii="Arial" w:eastAsia="Arial" w:hAnsi="Arial" w:cs="Arial"/>
          <w:color w:val="000000"/>
        </w:rPr>
      </w:pPr>
      <w:r w:rsidRPr="002A0D4F">
        <w:t>Prioritní osa 4 podporuje aktivity z pri</w:t>
      </w:r>
      <w:r w:rsidRPr="002A0D4F">
        <w:rPr>
          <w:color w:val="000000"/>
        </w:rPr>
        <w:t>oritních os 1, 2 a 3, konkrétně ze specifických cílů (IROP):</w:t>
      </w:r>
    </w:p>
    <w:p w14:paraId="7EE802FB" w14:textId="77777777" w:rsidR="00A14B9B" w:rsidRPr="002A0D4F" w:rsidRDefault="00A14B9B" w:rsidP="00663C80">
      <w:pPr>
        <w:pStyle w:val="UZEIOdrky"/>
        <w:rPr>
          <w:rFonts w:ascii="Arial" w:eastAsia="Arial" w:hAnsi="Arial" w:cs="Arial"/>
        </w:rPr>
      </w:pPr>
      <w:r w:rsidRPr="002A0D4F">
        <w:t xml:space="preserve">SC 1.2 Zvýšení podílu udržitelných forem dopravy; </w:t>
      </w:r>
    </w:p>
    <w:p w14:paraId="25C75F2E" w14:textId="77777777" w:rsidR="00A14B9B" w:rsidRPr="002A0D4F" w:rsidRDefault="00A14B9B" w:rsidP="00663C80">
      <w:pPr>
        <w:pStyle w:val="UZEIOdrky"/>
        <w:rPr>
          <w:rFonts w:ascii="Arial" w:eastAsia="Arial" w:hAnsi="Arial" w:cs="Arial"/>
        </w:rPr>
      </w:pPr>
      <w:r w:rsidRPr="002A0D4F">
        <w:t xml:space="preserve">SC 1.3 Zvýšení připravenosti k řešení a řízení rizik a katastrof; </w:t>
      </w:r>
    </w:p>
    <w:p w14:paraId="6C9B3542" w14:textId="77777777" w:rsidR="00A14B9B" w:rsidRPr="002A0D4F" w:rsidRDefault="00A14B9B" w:rsidP="00663C80">
      <w:pPr>
        <w:pStyle w:val="UZEIOdrky"/>
        <w:rPr>
          <w:rFonts w:ascii="Arial" w:eastAsia="Arial" w:hAnsi="Arial" w:cs="Arial"/>
        </w:rPr>
      </w:pPr>
      <w:r w:rsidRPr="002A0D4F">
        <w:t xml:space="preserve">SC 2.1 Zvýšení kvality a dostupnosti služeb vedoucí k sociální inkluzi; </w:t>
      </w:r>
    </w:p>
    <w:p w14:paraId="1957251B" w14:textId="77777777" w:rsidR="00A14B9B" w:rsidRPr="002A0D4F" w:rsidRDefault="00A14B9B" w:rsidP="00663C80">
      <w:pPr>
        <w:pStyle w:val="UZEIOdrky"/>
        <w:rPr>
          <w:rFonts w:ascii="Arial" w:eastAsia="Arial" w:hAnsi="Arial" w:cs="Arial"/>
        </w:rPr>
      </w:pPr>
      <w:r w:rsidRPr="002A0D4F">
        <w:t xml:space="preserve">SC 2.2 Vznik nových a rozvoj existujících podnikatelských aktivit v oblasti sociálního podnikání; </w:t>
      </w:r>
    </w:p>
    <w:p w14:paraId="3F3747AA" w14:textId="77777777" w:rsidR="00A14B9B" w:rsidRPr="002A0D4F" w:rsidRDefault="00A14B9B" w:rsidP="00663C80">
      <w:pPr>
        <w:pStyle w:val="UZEIOdrky"/>
        <w:rPr>
          <w:rFonts w:ascii="Arial" w:eastAsia="Arial" w:hAnsi="Arial" w:cs="Arial"/>
        </w:rPr>
      </w:pPr>
      <w:r w:rsidRPr="002A0D4F">
        <w:t xml:space="preserve">SC 2.3 Rozvoj infrastruktury pro poskytování zdravotních služeb a péče o zdraví; </w:t>
      </w:r>
    </w:p>
    <w:p w14:paraId="46C509D7" w14:textId="77777777" w:rsidR="00A14B9B" w:rsidRPr="002A0D4F" w:rsidRDefault="00A14B9B" w:rsidP="00663C80">
      <w:pPr>
        <w:pStyle w:val="UZEIOdrky"/>
        <w:rPr>
          <w:rFonts w:ascii="Arial" w:eastAsia="Arial" w:hAnsi="Arial" w:cs="Arial"/>
        </w:rPr>
      </w:pPr>
      <w:r w:rsidRPr="002A0D4F">
        <w:t xml:space="preserve">SC 2.4 Zvýšení kvality a dostupnosti infrastruktury pro vzdělávání a celoživotní učení; </w:t>
      </w:r>
    </w:p>
    <w:p w14:paraId="10176915" w14:textId="77777777" w:rsidR="00A14B9B" w:rsidRPr="002A0D4F" w:rsidRDefault="00A14B9B" w:rsidP="00663C80">
      <w:pPr>
        <w:pStyle w:val="UZEIOdrky"/>
        <w:rPr>
          <w:rFonts w:ascii="Arial" w:eastAsia="Arial" w:hAnsi="Arial" w:cs="Arial"/>
        </w:rPr>
      </w:pPr>
      <w:r w:rsidRPr="002A0D4F">
        <w:t xml:space="preserve">SC 3.1 Zefektivnění prezentace, posílení ochrany a rozvoje kulturního dědictví; </w:t>
      </w:r>
    </w:p>
    <w:p w14:paraId="6D26F449" w14:textId="77777777" w:rsidR="00A14B9B" w:rsidRPr="002A0D4F" w:rsidRDefault="00A14B9B" w:rsidP="00663C80">
      <w:pPr>
        <w:pStyle w:val="UZEIOdrky"/>
        <w:rPr>
          <w:rFonts w:ascii="Arial" w:eastAsia="Arial" w:hAnsi="Arial" w:cs="Arial"/>
        </w:rPr>
      </w:pPr>
      <w:r w:rsidRPr="002A0D4F">
        <w:t xml:space="preserve">SC 3.3 Podpora pořizování a uplatňování dokumentů územního rozvoje. </w:t>
      </w:r>
    </w:p>
    <w:p w14:paraId="0228CF7A" w14:textId="77777777" w:rsidR="00A14B9B" w:rsidRPr="002A0D4F" w:rsidRDefault="00A14B9B" w:rsidP="00663C80">
      <w:pPr>
        <w:pStyle w:val="UZEINormaln"/>
      </w:pPr>
      <w:bookmarkStart w:id="187" w:name="_Toc474746846"/>
      <w:r w:rsidRPr="002A0D4F">
        <w:rPr>
          <w:b/>
          <w:bCs/>
        </w:rPr>
        <w:t>Operačního programu Zaměstnanost (OPZ</w:t>
      </w:r>
      <w:r w:rsidRPr="002A0D4F">
        <w:t>)</w:t>
      </w:r>
      <w:bookmarkEnd w:id="187"/>
      <w:r w:rsidRPr="002A0D4F">
        <w:t xml:space="preserve">, jehož řídicím orgánem je Ministerstvo práce a sociálních věcí ČR (MPSV). MAS ve spolupráci s řídicím orgánem zabezpečují implementaci investiční priority 2.3 (Strategie komunitně vedeného místního rozvoje) </w:t>
      </w:r>
    </w:p>
    <w:p w14:paraId="15633277" w14:textId="425666E9" w:rsidR="00A14B9B" w:rsidRPr="00663C80" w:rsidRDefault="00A14B9B" w:rsidP="00663C80">
      <w:pPr>
        <w:pStyle w:val="UZEIOdrky"/>
        <w:rPr>
          <w:b/>
          <w:bCs/>
        </w:rPr>
      </w:pPr>
      <w:r w:rsidRPr="00663C80">
        <w:rPr>
          <w:b/>
          <w:bCs/>
        </w:rPr>
        <w:t>SC 2.3.1: Zvýšit zapojení lokálních aktérů do řešení problémů nezaměstnanosti a sociálního začleňování ve venkovských oblastech</w:t>
      </w:r>
      <w:r w:rsidRPr="00663C80">
        <w:rPr>
          <w:rFonts w:ascii="Arial" w:eastAsia="Arial" w:hAnsi="Arial" w:cs="Arial"/>
          <w:b/>
          <w:bCs/>
        </w:rPr>
        <w:t>.</w:t>
      </w:r>
    </w:p>
    <w:p w14:paraId="1993C451" w14:textId="77777777" w:rsidR="00A14B9B" w:rsidRPr="002A0D4F" w:rsidRDefault="00A14B9B" w:rsidP="00663C80">
      <w:pPr>
        <w:pStyle w:val="UZEINormaln"/>
        <w:rPr>
          <w:rFonts w:ascii="Arial" w:eastAsia="Arial" w:hAnsi="Arial" w:cs="Arial"/>
        </w:rPr>
      </w:pPr>
      <w:bookmarkStart w:id="188" w:name="_Toc474746847"/>
      <w:r w:rsidRPr="002A0D4F">
        <w:rPr>
          <w:b/>
          <w:bCs/>
        </w:rPr>
        <w:t xml:space="preserve">Operačního programu životní prostředí (OPŽP), který je řízen MŽP, </w:t>
      </w:r>
      <w:r w:rsidRPr="002A0D4F">
        <w:t>u</w:t>
      </w:r>
      <w:bookmarkEnd w:id="188"/>
      <w:r w:rsidRPr="002A0D4F">
        <w:t>možňuje čerpat pouze MAS, které se alespoň částečně nachází na území velkoplošných zvláště chráněných území (VZCHÚ), kde je možné či nutné realizovat aktivity CLLD v rámci OPŽP:</w:t>
      </w:r>
    </w:p>
    <w:p w14:paraId="54DF1D09" w14:textId="77777777" w:rsidR="00A14B9B" w:rsidRPr="00663C80" w:rsidRDefault="00A14B9B" w:rsidP="00663C80">
      <w:pPr>
        <w:pStyle w:val="UZEIOdrky"/>
        <w:rPr>
          <w:rFonts w:eastAsia="Arial"/>
        </w:rPr>
      </w:pPr>
      <w:r w:rsidRPr="00663C80">
        <w:lastRenderedPageBreak/>
        <w:t>Vytváření, regenerace či posílení funkčnosti krajinných prvků a struktur</w:t>
      </w:r>
    </w:p>
    <w:p w14:paraId="0E69B24C" w14:textId="77777777" w:rsidR="00A14B9B" w:rsidRPr="00663C80" w:rsidRDefault="00A14B9B" w:rsidP="00663C80">
      <w:pPr>
        <w:pStyle w:val="UZEIOdrky"/>
        <w:rPr>
          <w:rFonts w:eastAsia="Arial"/>
        </w:rPr>
      </w:pPr>
      <w:r w:rsidRPr="00663C80">
        <w:t>Prevence šíření a omezování výskytu invazních druhů křídlatky a bolševníku velkolepého (včetně jejich sledování, hodnocení rizik a tvorby metodických a koncepčních podkladů a nástrojů) Výše</w:t>
      </w:r>
    </w:p>
    <w:p w14:paraId="07E9C0CA" w14:textId="77777777" w:rsidR="00A14B9B" w:rsidRPr="00663C80" w:rsidRDefault="00A14B9B" w:rsidP="00663C80">
      <w:pPr>
        <w:pStyle w:val="UZEIOdrky"/>
        <w:rPr>
          <w:rFonts w:eastAsia="Arial"/>
        </w:rPr>
      </w:pPr>
      <w:r w:rsidRPr="00663C80">
        <w:t>Vytváření, regenerace či posílení funkčnosti krajinných prvků a struktur (Realizace ÚSES)</w:t>
      </w:r>
    </w:p>
    <w:p w14:paraId="2D95BB2F" w14:textId="77777777" w:rsidR="00A14B9B" w:rsidRPr="00663C80" w:rsidRDefault="00A14B9B" w:rsidP="00663C80">
      <w:pPr>
        <w:pStyle w:val="UZEIOdrky"/>
      </w:pPr>
      <w:r w:rsidRPr="00663C80">
        <w:t xml:space="preserve">4.3.2 Vytváření, regenerace či posílení funkčnosti krajinných prvků a struktur (Realizace ÚSES) </w:t>
      </w:r>
    </w:p>
    <w:p w14:paraId="643ABD95" w14:textId="77777777" w:rsidR="00A14B9B" w:rsidRPr="002A0D4F" w:rsidRDefault="00A14B9B" w:rsidP="00C74BD7">
      <w:pPr>
        <w:pStyle w:val="UZEINormaln"/>
      </w:pPr>
      <w:r w:rsidRPr="002A0D4F">
        <w:t xml:space="preserve"> 4.3.5 Realizace přírodě blízkých opatření cílených na zpomalení povrchového odtoku vody, protierozní ochranu a adaptaci na změnu klimatu (Protierozní opatření)</w:t>
      </w:r>
    </w:p>
    <w:p w14:paraId="46176E2F" w14:textId="4ED09AA4" w:rsidR="00A14B9B" w:rsidRPr="00C74BD7" w:rsidRDefault="00A14B9B" w:rsidP="00A14B9B">
      <w:pPr>
        <w:pStyle w:val="UZEIOdrky"/>
      </w:pPr>
      <w:r w:rsidRPr="002A0D4F">
        <w:t>Revitalizace funkčních ploch a prvků sídelní zeleně</w:t>
      </w:r>
    </w:p>
    <w:p w14:paraId="4AA3C2C7" w14:textId="2A7D7638" w:rsidR="00A14B9B" w:rsidRPr="002A0D4F" w:rsidRDefault="00A14B9B" w:rsidP="00C74BD7">
      <w:pPr>
        <w:pStyle w:val="UZEINormaln"/>
        <w:rPr>
          <w:rFonts w:ascii="Arial" w:eastAsia="Arial" w:hAnsi="Arial" w:cs="Arial"/>
        </w:rPr>
      </w:pPr>
      <w:r w:rsidRPr="002A0D4F">
        <w:t>Tímto způsobem byla určena alokace pro každou vybranou MAS</w:t>
      </w:r>
      <w:r w:rsidRPr="002A0D4F">
        <w:rPr>
          <w:rStyle w:val="Znakapoznpodarou"/>
        </w:rPr>
        <w:footnoteReference w:id="10"/>
      </w:r>
      <w:r w:rsidRPr="002A0D4F">
        <w:t>. (zdroj: MMR</w:t>
      </w:r>
      <w:r w:rsidRPr="002A0D4F">
        <w:rPr>
          <w:rStyle w:val="Znakapoznpodarou"/>
        </w:rPr>
        <w:footnoteReference w:id="11"/>
      </w:r>
      <w:r w:rsidRPr="002A0D4F">
        <w:rPr>
          <w:rFonts w:ascii="Arial" w:eastAsia="Arial" w:hAnsi="Arial" w:cs="Arial"/>
        </w:rPr>
        <w:t>)</w:t>
      </w:r>
      <w:bookmarkStart w:id="189" w:name="_Toc474746848"/>
    </w:p>
    <w:p w14:paraId="07741A86" w14:textId="77777777" w:rsidR="00A14B9B" w:rsidRPr="002A0D4F" w:rsidRDefault="00A14B9B" w:rsidP="00C74BD7">
      <w:pPr>
        <w:pStyle w:val="UZEINormaln"/>
        <w:rPr>
          <w:rFonts w:ascii="Arial" w:eastAsia="Arial" w:hAnsi="Arial" w:cs="Arial"/>
        </w:rPr>
      </w:pPr>
      <w:r w:rsidRPr="002A0D4F">
        <w:rPr>
          <w:b/>
          <w:bCs/>
        </w:rPr>
        <w:t>Operační program věda výzkum a vývoj (OP VVV)</w:t>
      </w:r>
      <w:bookmarkEnd w:id="189"/>
      <w:r w:rsidRPr="002A0D4F">
        <w:rPr>
          <w:rFonts w:ascii="Arial" w:eastAsia="Arial" w:hAnsi="Arial" w:cs="Arial"/>
          <w:b/>
          <w:bCs/>
        </w:rPr>
        <w:t>,</w:t>
      </w:r>
      <w:r w:rsidRPr="002A0D4F">
        <w:t xml:space="preserve"> v gesci MŠMT</w:t>
      </w:r>
    </w:p>
    <w:p w14:paraId="0C2A2C13" w14:textId="77777777" w:rsidR="00A14B9B" w:rsidRPr="002A0D4F" w:rsidRDefault="00A14B9B" w:rsidP="00C74BD7">
      <w:pPr>
        <w:pStyle w:val="UZEINormaln"/>
      </w:pPr>
      <w:r w:rsidRPr="002A0D4F">
        <w:t xml:space="preserve">V rámci OP VVV nebude napřímo využit integrovaný nástroj CLLD, nicméně Místní akční skupiny (MAS) budou využity jako prostředek k zajištění monitoringu specifických problémů daného území. Koordinační role MAS při realizaci intervencí ve prospěch rozvoje venkova vychází z detailní znalosti místních podmínek a široké spolupráce s místními aktéry. </w:t>
      </w:r>
      <w:r w:rsidRPr="002A0D4F">
        <w:br w:type="page"/>
      </w:r>
    </w:p>
    <w:p w14:paraId="48E97A84" w14:textId="77777777" w:rsidR="00A14B9B" w:rsidRPr="00C74BD7" w:rsidRDefault="00A14B9B" w:rsidP="00C74BD7">
      <w:pPr>
        <w:pStyle w:val="Nadpis1"/>
      </w:pPr>
      <w:bookmarkStart w:id="190" w:name="_Toc519518206"/>
      <w:bookmarkStart w:id="191" w:name="_Toc519518312"/>
      <w:bookmarkStart w:id="192" w:name="_Toc519581822"/>
      <w:bookmarkStart w:id="193" w:name="_Toc525820135"/>
      <w:bookmarkStart w:id="194" w:name="_Toc530577741"/>
      <w:bookmarkStart w:id="195" w:name="_Toc12277980"/>
      <w:bookmarkStart w:id="196" w:name="_Toc12282617"/>
      <w:bookmarkStart w:id="197" w:name="_Toc12283272"/>
      <w:bookmarkStart w:id="198" w:name="_Toc15623886"/>
      <w:bookmarkStart w:id="199" w:name="_Toc15627517"/>
      <w:bookmarkStart w:id="200" w:name="_Toc25919696"/>
      <w:bookmarkStart w:id="201" w:name="_Toc25919780"/>
      <w:bookmarkStart w:id="202" w:name="_Toc81757384"/>
      <w:bookmarkStart w:id="203" w:name="_Toc81815671"/>
      <w:bookmarkStart w:id="204" w:name="_Toc81816208"/>
      <w:bookmarkStart w:id="205" w:name="_Toc81817303"/>
      <w:r w:rsidRPr="00C74BD7">
        <w:lastRenderedPageBreak/>
        <w:t>Předpokládaný vývoj situace bez zavedení příslušných intervencí</w:t>
      </w:r>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r w:rsidRPr="00C74BD7">
        <w:tab/>
      </w:r>
    </w:p>
    <w:p w14:paraId="735CB842" w14:textId="77777777" w:rsidR="00A14B9B" w:rsidRPr="00C74BD7" w:rsidRDefault="00A14B9B" w:rsidP="00C74BD7">
      <w:pPr>
        <w:pStyle w:val="UZEINormaln"/>
        <w:rPr>
          <w:b/>
          <w:bCs/>
        </w:rPr>
      </w:pPr>
      <w:r w:rsidRPr="00C74BD7">
        <w:rPr>
          <w:b/>
          <w:bCs/>
        </w:rPr>
        <w:t>i) Nedostatek pracovních míst a pracovních příležitostí na venkově</w:t>
      </w:r>
    </w:p>
    <w:p w14:paraId="4715B7FC" w14:textId="77777777" w:rsidR="00A14B9B" w:rsidRPr="002A0D4F" w:rsidRDefault="00A14B9B" w:rsidP="00C74BD7">
      <w:pPr>
        <w:pStyle w:val="UZEINormaln"/>
      </w:pPr>
      <w:r w:rsidRPr="002A0D4F">
        <w:t xml:space="preserve">Posouzení efektu intervencí bylo provedeno na základě ex post analýzy PRV 2007-2013. Bez zavedení příslušných intervencí by se nezvýšila nezemědělská hrubá přidaná hodnota, nebyl by navýšen počet pracovních míst na venkově (zejména u opatření III.1.1 a III.1.2, hodnoty zvýšení překračovaly plán, kterého měly uvedené ukazatele dosáhnout). U opatření III.1.1 by nedošlo ke zvýšení nezemědělské hrubé přidané hodnoty o 13 036 tis. EUR a počtu pracovních míst o 405. U opatření III.1.2 by nedošlo o zvýšení nezemědělské hrubé přidané hodnoty o 7 557 tis. EUR a o zvýšení počtu pracovních míst o 3 398. V případě nezavedení opatření III.1.3 by nebylo vybudováno 455 km pěších stezek, 153 km </w:t>
      </w:r>
      <w:proofErr w:type="spellStart"/>
      <w:r w:rsidRPr="002A0D4F">
        <w:t>hipostezek</w:t>
      </w:r>
      <w:proofErr w:type="spellEnd"/>
      <w:r w:rsidRPr="002A0D4F">
        <w:t>, 12 km vinařských stezek a 66 km dalších tematických stezek. U subjektů, které již provozovaly ubytovací služby před zavedením intervencí z PRV, by nedošlo k průměrnému nárůstu přenocování o 113 % (nedošlo by u těchto subjektů k rozšíření ubytovacích kapacit). Dále by nedošlo k vytvoření nových pracovních míst o 1 383 a zvýšení nezemědělské hrubé přidané hodnoty o 1 976 tis. EUR. K tvorbě pracovních míst na venkově přispívala i osa IV. Pokud by nebylo intervenováno prostřednictvím této osy (metodou LEADER), nebylo by vytvořeno 367 pracovních míst.</w:t>
      </w:r>
    </w:p>
    <w:p w14:paraId="5EC0F8FC" w14:textId="77777777" w:rsidR="00A14B9B" w:rsidRPr="00C74BD7" w:rsidRDefault="00A14B9B" w:rsidP="00C74BD7">
      <w:pPr>
        <w:pStyle w:val="UZEINormaln"/>
        <w:rPr>
          <w:b/>
          <w:bCs/>
        </w:rPr>
      </w:pPr>
      <w:proofErr w:type="spellStart"/>
      <w:r w:rsidRPr="00C74BD7">
        <w:rPr>
          <w:b/>
          <w:bCs/>
        </w:rPr>
        <w:t>ii</w:t>
      </w:r>
      <w:proofErr w:type="spellEnd"/>
      <w:r w:rsidRPr="00C74BD7">
        <w:rPr>
          <w:b/>
          <w:bCs/>
        </w:rPr>
        <w:t>) Relativně nízká úroveň diverzifikace zemědělských podniků</w:t>
      </w:r>
    </w:p>
    <w:p w14:paraId="2C1CB709" w14:textId="77777777" w:rsidR="00A14B9B" w:rsidRPr="002A0D4F" w:rsidRDefault="00A14B9B" w:rsidP="00C74BD7">
      <w:pPr>
        <w:pStyle w:val="UZEINormaln"/>
      </w:pPr>
      <w:r w:rsidRPr="002A0D4F">
        <w:t>Pokud by nebyla realizovány osa III PRV 2007-2013, zejména pak opatření III.1.1, III.1.2 a III.1.3, nebyl by podporován rozvoj nezemědělských aktivit, nebyly by podpořeny průmyslové a řemeslné aktivity z oboru stavebnictví, velkoobchod, maloobchod, poskytování osobních služeb (truhlářství, tesařství, kovářství, krejčovství apod.), opravárenské provozy pro automobily, domácí spotřebiče a elektroniku. Nebyla by podpořena výstavba zařízení pro zpracování a využití obnovitelných zdrojů energie (bioplynových stanic, zařízení na výrobu tvarovaných biopaliv), kotelen a výtopen na biomasu.</w:t>
      </w:r>
    </w:p>
    <w:p w14:paraId="68332832" w14:textId="77777777" w:rsidR="00A14B9B" w:rsidRPr="00C74BD7" w:rsidRDefault="00A14B9B" w:rsidP="00C74BD7">
      <w:pPr>
        <w:pStyle w:val="UZEINormaln"/>
        <w:rPr>
          <w:b/>
          <w:bCs/>
        </w:rPr>
      </w:pPr>
      <w:proofErr w:type="spellStart"/>
      <w:r w:rsidRPr="00C74BD7">
        <w:rPr>
          <w:b/>
          <w:bCs/>
        </w:rPr>
        <w:t>iii</w:t>
      </w:r>
      <w:proofErr w:type="spellEnd"/>
      <w:r w:rsidRPr="00C74BD7">
        <w:rPr>
          <w:b/>
          <w:bCs/>
        </w:rPr>
        <w:t>) Nižší občanská a technická vybavenost venkova</w:t>
      </w:r>
    </w:p>
    <w:p w14:paraId="0D9A02FF" w14:textId="77777777" w:rsidR="00A14B9B" w:rsidRPr="002A0D4F" w:rsidRDefault="00A14B9B" w:rsidP="00C74BD7">
      <w:pPr>
        <w:pStyle w:val="UZEINormaln"/>
      </w:pPr>
      <w:r w:rsidRPr="002A0D4F">
        <w:t>Obce by byly hůře vybaveny technickou infrastrukturou – problém s kvalitou pitné vody, znečištění životního prostředí (např. odpad z domů vyveden do místního potoka apod.)</w:t>
      </w:r>
    </w:p>
    <w:p w14:paraId="6871BBA3" w14:textId="77777777" w:rsidR="00A14B9B" w:rsidRPr="002A0D4F" w:rsidRDefault="00A14B9B" w:rsidP="00C74BD7">
      <w:pPr>
        <w:pStyle w:val="UZEINormaln"/>
      </w:pPr>
      <w:r w:rsidRPr="002A0D4F">
        <w:t>Malé obce nejsou vybaveny obchodem a základní občanskou vybaveností, lidé jsou nuceni dojíždět – často osobním automobilem, protože chybí veřejné spojení.</w:t>
      </w:r>
    </w:p>
    <w:p w14:paraId="6E385599" w14:textId="77777777" w:rsidR="00A14B9B" w:rsidRPr="002A0D4F" w:rsidRDefault="00A14B9B" w:rsidP="00C74BD7">
      <w:pPr>
        <w:pStyle w:val="UZEINormaln"/>
      </w:pPr>
      <w:r w:rsidRPr="002A0D4F">
        <w:t>Bez příslušných intervencí dle ex post analýzy PRV 2007-2013 by nebylo rekonstruováno či nově vybudováno 736,5 km místních komunikací a provedeny parkové úpravy v obcích na ploše 165 ha. Dále by nebylo rekonstruováno nebo nově postaveno 108 ČOV, nebylo by podpořeno 153 projektů zaměřených na kanalizace a 35 projektů na vodovody. Dle ex post hodnocení PRV 2007-2013 by nebyl zkvalitněn život více než 640 tis. obyvatel venkova.</w:t>
      </w:r>
    </w:p>
    <w:p w14:paraId="0238B251" w14:textId="77777777" w:rsidR="00A14B9B" w:rsidRPr="002A0D4F" w:rsidRDefault="00A14B9B" w:rsidP="00C74BD7">
      <w:pPr>
        <w:pStyle w:val="UZEINormaln"/>
      </w:pPr>
      <w:r w:rsidRPr="002A0D4F">
        <w:rPr>
          <w:color w:val="000000"/>
        </w:rPr>
        <w:t xml:space="preserve">V letech PRV 2007–2013 nejvíce podpořených projektů směřovalo do opatření III.2.1 Obnova a rozvoj vesnic, občanské vybavení a služby, a to 58,38 %. Z hlediska objemu finančních prostředků to pak bylo ještě více, konkrétně 63,16 %. Projekty zaměřující se na obnovu a rozvoj vesnic tedy byly nejen nejčastěji podpořeny, ale v průměru byly i objemově největší. Jiný program, který by řešil tuto problematiku, a to formou malých projektů není a taky by tato péče o vybavenost a rozvoj venkova nebyla realizována. Nedošlo by k budování a rekonstrukci veřejných prostranství, hřišť, škol či veřejných budov v majetku obcí. </w:t>
      </w:r>
    </w:p>
    <w:p w14:paraId="541D77E9" w14:textId="77777777" w:rsidR="00A14B9B" w:rsidRPr="002A0D4F" w:rsidRDefault="00A14B9B" w:rsidP="00C74BD7">
      <w:pPr>
        <w:pStyle w:val="UZEINormaln"/>
      </w:pPr>
      <w:r w:rsidRPr="002A0D4F">
        <w:rPr>
          <w:color w:val="000000"/>
        </w:rPr>
        <w:t xml:space="preserve">Druhým nejčastějším opatřením, na které projekty reagovaly, bylo opatření III.2.2 Ochrana a rozvoj kulturního dědictví venkova (téměř 12 % podpořených projektů a 12,35 % finančních prostředků). Díky této podpoře se realizovaly například rekonstrukce církevních staveb (fary a kostely), které jsou do určité míry centry místního života a často trpí nedostatkem prostředků </w:t>
      </w:r>
      <w:r w:rsidRPr="002A0D4F">
        <w:rPr>
          <w:color w:val="000000"/>
        </w:rPr>
        <w:lastRenderedPageBreak/>
        <w:t xml:space="preserve">na obnovu a údržbu, případně o projekty obnovy drobných památek na území obce. Na tyto obnovy často nedosáhly podpory Ministerstva kultury. </w:t>
      </w:r>
    </w:p>
    <w:p w14:paraId="098DFF1D" w14:textId="77777777" w:rsidR="00A14B9B" w:rsidRPr="002A0D4F" w:rsidRDefault="00A14B9B" w:rsidP="00C74BD7">
      <w:pPr>
        <w:pStyle w:val="UZEINormaln"/>
      </w:pPr>
      <w:r w:rsidRPr="002A0D4F">
        <w:rPr>
          <w:color w:val="000000"/>
        </w:rPr>
        <w:t>S nejvyšší pravděpodobností by nebyly realizovány ani projekty koncových žadatelů MAS v I. Ose, kde se realizovalo zhruba 12 % projektů a bylo na ně alokováno 10 % finančních prostředků.</w:t>
      </w:r>
    </w:p>
    <w:p w14:paraId="2780C15F" w14:textId="77777777" w:rsidR="00A14B9B" w:rsidRPr="002A0D4F" w:rsidRDefault="00A14B9B" w:rsidP="00C74BD7">
      <w:pPr>
        <w:pStyle w:val="UZEINormaln"/>
      </w:pPr>
      <w:r w:rsidRPr="002A0D4F">
        <w:rPr>
          <w:color w:val="000000"/>
        </w:rPr>
        <w:t xml:space="preserve">Ex post hodnocení také šetřilo dotazníkem, zda by projekty dále žadatelé realizovali i bez podpory. </w:t>
      </w:r>
      <w:r w:rsidRPr="002A0D4F">
        <w:t>Z šetření u vzorku příjemců v opatření IV.1.2 vyplývá, že 16 respondentů ze 45 by svůj projekt realizovalo i v případě, že by podporu z PRV nezískali. Ukazuje se tak, že díky podpoře bylo realizováno 65 % projektů, které by jinak nevznikly. U podnikatelských subjektů je přitom počet projektů, které by byly realizovány i bez podpory, výrazně vyšší, a to 44,4 %. Naopak neziskové organizace a obce by bez podpory realizovaly jen 33,3 % projektů.</w:t>
      </w:r>
    </w:p>
    <w:p w14:paraId="11871814" w14:textId="77777777" w:rsidR="00A14B9B" w:rsidRPr="002A0D4F" w:rsidRDefault="00A14B9B" w:rsidP="00C74BD7">
      <w:pPr>
        <w:pStyle w:val="UZEINormaln"/>
        <w:rPr>
          <w:color w:val="000000"/>
        </w:rPr>
      </w:pPr>
      <w:r w:rsidRPr="002A0D4F">
        <w:t xml:space="preserve">Bez podpory by s nejvyšší pravděpodobností nemohly fungovat ani MAS, jejichž provoz a administrativa byly v rámci osy IV. podporovány. Také by se nemohly prosazovat principy LEADER, které umožňují kvalitnější a trvalejší rozvoj venkova. Z pohledu evaluátora lze implementaci a šíření principů LEADER hodnotit pozitivně. Ve venkovských územích došlo k většímu a intenzívnějšímu zapojení venkovských aktérů do strategického směrování regionu i do aktivní účasti na společenských akcích. Bez MAS by nedocházelo k neformálnímu spojování a spolupráci mezi veřejným, neziskovým a ziskovým sektorem, přičemž tato spolupráce je dlouhodobějšího charakteru. </w:t>
      </w:r>
    </w:p>
    <w:p w14:paraId="06B38472" w14:textId="77777777" w:rsidR="00A14B9B" w:rsidRPr="002A0D4F" w:rsidRDefault="00A14B9B" w:rsidP="00C74BD7">
      <w:pPr>
        <w:pStyle w:val="UZEINormaln"/>
      </w:pPr>
      <w:r w:rsidRPr="002A0D4F">
        <w:t xml:space="preserve">Realizované projekty spolupráce byly v letech 2007 – 2013 zaměřeny zejména na společné akce při pořízení vybavení pro spolky a zájmová sdružení, úpravách veřejného prostranství, realizaci studií týkajících se kulturního dědictví, budování naučných stezek situovaných v regionech spolupracujících MAS. Zástupci MAS se shodují v tom, že projekty spolupráce nejvíce přispěly ke zhodnocení přírodního a kulturního dědictví venkova a dále pak ke zlepšení kvality života obyvatel a k posílení řídících a administrativních schopností venkovských aktérů. </w:t>
      </w:r>
    </w:p>
    <w:p w14:paraId="2FECC056" w14:textId="77777777" w:rsidR="00A14B9B" w:rsidRPr="00C74BD7" w:rsidRDefault="00A14B9B" w:rsidP="00C74BD7">
      <w:pPr>
        <w:pStyle w:val="UZEINormaln"/>
        <w:rPr>
          <w:b/>
          <w:bCs/>
        </w:rPr>
      </w:pPr>
      <w:proofErr w:type="spellStart"/>
      <w:r w:rsidRPr="00C74BD7">
        <w:rPr>
          <w:b/>
          <w:bCs/>
        </w:rPr>
        <w:t>iv</w:t>
      </w:r>
      <w:proofErr w:type="spellEnd"/>
      <w:r w:rsidRPr="00C74BD7">
        <w:rPr>
          <w:b/>
          <w:bCs/>
        </w:rPr>
        <w:t>) Výskyt chudoby a sociálního vyloučení ve venkovských lokalitách</w:t>
      </w:r>
    </w:p>
    <w:p w14:paraId="289B828D" w14:textId="77777777" w:rsidR="00A14B9B" w:rsidRPr="002A0D4F" w:rsidRDefault="00A14B9B" w:rsidP="00C74BD7">
      <w:pPr>
        <w:pStyle w:val="UZEINormaln"/>
      </w:pPr>
      <w:r w:rsidRPr="002A0D4F">
        <w:t>Podle uvedených indikátorů se míra ohrožení chudobou neustále snižuje, ale nelze určit význam konkrétních intervencí. Nicméně zlepšování situace v této oblasti je výsledkem vzájemného působení intervencí různých politik a také prostřednictvím realizací některých opatření SZP, které přeneseně přispívají k tomuto cíli. Tím, že je podporován hospodářský rozvoj regionů, zachování a vytváření pracovních míst, posílení ekonomického potenciálu regionů, zachování a rozvoj služeb na venkově, čímž SZP působí i na snížení ohrožení chudobou v těchto oblastech.</w:t>
      </w:r>
    </w:p>
    <w:p w14:paraId="70EC36DB" w14:textId="77777777" w:rsidR="00A14B9B" w:rsidRPr="002A0D4F" w:rsidRDefault="00A14B9B" w:rsidP="00A14B9B">
      <w:pPr>
        <w:spacing w:after="160" w:line="259" w:lineRule="auto"/>
        <w:jc w:val="left"/>
        <w:rPr>
          <w:lang w:val="cs-CZ"/>
        </w:rPr>
      </w:pPr>
      <w:r w:rsidRPr="002A0D4F">
        <w:rPr>
          <w:lang w:val="cs-CZ"/>
        </w:rPr>
        <w:br w:type="page"/>
      </w:r>
    </w:p>
    <w:p w14:paraId="658EB93D" w14:textId="77777777" w:rsidR="003110BC" w:rsidRDefault="00A14B9B" w:rsidP="00C74BD7">
      <w:pPr>
        <w:pStyle w:val="Nadpis1"/>
      </w:pPr>
      <w:bookmarkStart w:id="206" w:name="_Toc81757385"/>
      <w:bookmarkStart w:id="207" w:name="_Toc81815672"/>
      <w:bookmarkStart w:id="208" w:name="_Toc81816209"/>
      <w:bookmarkStart w:id="209" w:name="_Toc81817304"/>
      <w:bookmarkStart w:id="210" w:name="_Toc519518207"/>
      <w:bookmarkStart w:id="211" w:name="_Toc519518313"/>
      <w:bookmarkStart w:id="212" w:name="_Toc519581823"/>
      <w:bookmarkStart w:id="213" w:name="_Toc525820136"/>
      <w:bookmarkStart w:id="214" w:name="_Toc530577742"/>
      <w:bookmarkStart w:id="215" w:name="_Toc12277981"/>
      <w:bookmarkStart w:id="216" w:name="_Toc12282618"/>
      <w:bookmarkStart w:id="217" w:name="_Toc12283273"/>
      <w:bookmarkStart w:id="218" w:name="_Toc15623887"/>
      <w:bookmarkStart w:id="219" w:name="_Toc15627518"/>
      <w:bookmarkStart w:id="220" w:name="_Toc25919697"/>
      <w:bookmarkStart w:id="221" w:name="_Toc25919781"/>
      <w:r w:rsidRPr="00C74BD7">
        <w:lastRenderedPageBreak/>
        <w:t>SWOT analýza</w:t>
      </w:r>
      <w:bookmarkEnd w:id="206"/>
      <w:bookmarkEnd w:id="207"/>
      <w:bookmarkEnd w:id="208"/>
      <w:bookmarkEnd w:id="209"/>
      <w:r w:rsidR="003110BC">
        <w:t xml:space="preserve"> </w:t>
      </w:r>
    </w:p>
    <w:p w14:paraId="31017562" w14:textId="31D222D3" w:rsidR="00A14B9B" w:rsidRPr="00C74BD7" w:rsidRDefault="003110BC" w:rsidP="00550E27">
      <w:pPr>
        <w:pStyle w:val="UZEINormaln"/>
      </w:pPr>
      <w:r>
        <w:t>J</w:t>
      </w:r>
      <w:r w:rsidR="00A14B9B" w:rsidRPr="00C74BD7">
        <w:t>ak si stojí jednotlivé důležité stránky sektoru vůči odpovídajícím cílům a jejich naplňování?</w:t>
      </w:r>
      <w:bookmarkEnd w:id="210"/>
      <w:bookmarkEnd w:id="211"/>
      <w:bookmarkEnd w:id="212"/>
      <w:bookmarkEnd w:id="213"/>
      <w:bookmarkEnd w:id="214"/>
      <w:bookmarkEnd w:id="215"/>
      <w:bookmarkEnd w:id="216"/>
      <w:bookmarkEnd w:id="217"/>
      <w:bookmarkEnd w:id="218"/>
      <w:bookmarkEnd w:id="219"/>
      <w:bookmarkEnd w:id="220"/>
      <w:bookmarkEnd w:id="221"/>
    </w:p>
    <w:p w14:paraId="2000F3F7" w14:textId="77777777" w:rsidR="00A14B9B" w:rsidRPr="00C74BD7" w:rsidRDefault="00A14B9B" w:rsidP="00C74BD7">
      <w:pPr>
        <w:pStyle w:val="UZEINormaln"/>
        <w:rPr>
          <w:rFonts w:ascii="Calibri" w:eastAsia="Calibri" w:hAnsi="Calibri" w:cs="Calibri"/>
          <w:b/>
          <w:sz w:val="22"/>
        </w:rPr>
      </w:pPr>
      <w:bookmarkStart w:id="222" w:name="_Toc519518208"/>
      <w:bookmarkStart w:id="223" w:name="_Toc519518314"/>
      <w:bookmarkStart w:id="224" w:name="_Toc519581824"/>
      <w:r w:rsidRPr="00C74BD7">
        <w:rPr>
          <w:rFonts w:eastAsia="Calibri"/>
          <w:b/>
          <w:bCs/>
        </w:rPr>
        <w:t xml:space="preserve">Hranice pro SWOT: </w:t>
      </w:r>
    </w:p>
    <w:p w14:paraId="5F9C0985" w14:textId="77777777" w:rsidR="00A14B9B" w:rsidRPr="002A0D4F" w:rsidRDefault="00A14B9B" w:rsidP="00C74BD7">
      <w:pPr>
        <w:pStyle w:val="UZEINormaln"/>
      </w:pPr>
      <w:r w:rsidRPr="002A0D4F">
        <w:t xml:space="preserve">Hranicemi systému pro tvorbu </w:t>
      </w:r>
      <w:r w:rsidRPr="002A0D4F">
        <w:rPr>
          <w:b/>
        </w:rPr>
        <w:t>SWOT je ta část venkova ČR, kterou můžeme ovlivnit politikou SZP</w:t>
      </w:r>
      <w:r w:rsidRPr="002A0D4F">
        <w:t xml:space="preserve">, konkrétně se jedná o: území zemědělské a lesní půdy; území a společnost ovlivněné aktivitami podniků v sektoru (zemědělství, lesnictví a potravinářství); území a obyvatelstvo ovlivněné činností MAS (iniciativou LEADER/CLLD). </w:t>
      </w:r>
    </w:p>
    <w:p w14:paraId="500FBAFA" w14:textId="77777777" w:rsidR="00A14B9B" w:rsidRPr="00C74BD7" w:rsidRDefault="00A14B9B" w:rsidP="00944DB3">
      <w:pPr>
        <w:pStyle w:val="UZEINormaln"/>
        <w:rPr>
          <w:rFonts w:ascii="Calibri" w:eastAsia="Calibri" w:hAnsi="Calibri" w:cs="Calibri"/>
        </w:rPr>
      </w:pPr>
      <w:r w:rsidRPr="00C74BD7">
        <w:rPr>
          <w:b/>
          <w:bCs/>
        </w:rPr>
        <w:t>Silné stránky:</w:t>
      </w:r>
    </w:p>
    <w:p w14:paraId="0684E942" w14:textId="0EE35B54" w:rsidR="00A14B9B" w:rsidRPr="002A0D4F" w:rsidRDefault="006E4E7B" w:rsidP="00944DB3">
      <w:pPr>
        <w:pStyle w:val="UZEIOdrky"/>
        <w:spacing w:before="120"/>
        <w:rPr>
          <w:rFonts w:eastAsia="Calibri"/>
        </w:rPr>
      </w:pPr>
      <w:r>
        <w:t xml:space="preserve">S1: </w:t>
      </w:r>
      <w:r w:rsidR="00A14B9B" w:rsidRPr="002A0D4F">
        <w:t>dobré předpoklady pro plnění rezidenční funkce venkova (</w:t>
      </w:r>
      <w:r w:rsidR="00A14B9B" w:rsidRPr="002A0D4F">
        <w:rPr>
          <w:sz w:val="23"/>
        </w:rPr>
        <w:t>klidné bydlení, tiché a čisté prostředí, nízká úroveň patologických jevů)</w:t>
      </w:r>
    </w:p>
    <w:p w14:paraId="33F54213" w14:textId="37F2C415" w:rsidR="00A14B9B" w:rsidRPr="002A0D4F" w:rsidRDefault="006E4E7B" w:rsidP="00944DB3">
      <w:pPr>
        <w:pStyle w:val="UZEIOdrky"/>
        <w:spacing w:before="120"/>
        <w:rPr>
          <w:rFonts w:ascii="Calibri" w:eastAsia="Calibri" w:hAnsi="Calibri"/>
        </w:rPr>
      </w:pPr>
      <w:r>
        <w:t xml:space="preserve">S2: </w:t>
      </w:r>
      <w:r w:rsidR="00A14B9B" w:rsidRPr="002A0D4F">
        <w:t>agrární sektor nabízí pracovní příležitosti pro venkovské obyvatelstvo v místě bydliště</w:t>
      </w:r>
    </w:p>
    <w:p w14:paraId="62F4961C" w14:textId="4FA7A9CA" w:rsidR="00A14B9B" w:rsidRPr="00580A34" w:rsidRDefault="006E4E7B" w:rsidP="00944DB3">
      <w:pPr>
        <w:pStyle w:val="UZEIOdrky"/>
        <w:spacing w:before="120"/>
        <w:rPr>
          <w:rFonts w:ascii="Calibri" w:eastAsia="Calibri" w:hAnsi="Calibri"/>
          <w:b/>
          <w:bCs/>
        </w:rPr>
      </w:pPr>
      <w:r w:rsidRPr="00580A34">
        <w:t xml:space="preserve">S3: </w:t>
      </w:r>
      <w:r w:rsidR="00A14B9B" w:rsidRPr="00580A34">
        <w:t xml:space="preserve">dotační příležitosti pozitivně podmiňují trend vývoje výstavby místních kanalizací a ČOV a celkové zlepšení technické vybavenosti v obcích ČR </w:t>
      </w:r>
    </w:p>
    <w:p w14:paraId="5C2FADC0" w14:textId="1FDB26EC" w:rsidR="00A14B9B" w:rsidRPr="002A0D4F" w:rsidRDefault="006E4E7B" w:rsidP="00944DB3">
      <w:pPr>
        <w:pStyle w:val="UZEIOdrky"/>
        <w:spacing w:before="120"/>
      </w:pPr>
      <w:r>
        <w:t>S4: a</w:t>
      </w:r>
      <w:r w:rsidR="00A14B9B" w:rsidRPr="002A0D4F">
        <w:t xml:space="preserve">kcelerující zájem veřejné, soukromé a neziskové sféry participovat na věcech veřejných podněcujících rozvoj venkova – implementace metody LEADER </w:t>
      </w:r>
    </w:p>
    <w:p w14:paraId="2C298913" w14:textId="1E209724" w:rsidR="00A14B9B" w:rsidRPr="002A0D4F" w:rsidRDefault="006E4E7B" w:rsidP="00944DB3">
      <w:pPr>
        <w:pStyle w:val="UZEIOdrky"/>
        <w:spacing w:before="120"/>
      </w:pPr>
      <w:r>
        <w:t xml:space="preserve">S5: </w:t>
      </w:r>
      <w:r w:rsidR="00A14B9B" w:rsidRPr="002A0D4F">
        <w:t>zkušenosti s implementací nástroje LEADER/CLLD na úrovni MAS i orgánů státní správy</w:t>
      </w:r>
    </w:p>
    <w:p w14:paraId="507C6E13" w14:textId="4214F0B1" w:rsidR="00A14B9B" w:rsidRPr="002A0D4F" w:rsidRDefault="006E4E7B" w:rsidP="00944DB3">
      <w:pPr>
        <w:pStyle w:val="UZEIOdrky"/>
        <w:spacing w:before="120"/>
        <w:rPr>
          <w:rFonts w:ascii="Calibri" w:eastAsia="Calibri" w:hAnsi="Calibri"/>
        </w:rPr>
      </w:pPr>
      <w:r>
        <w:t xml:space="preserve">S6: </w:t>
      </w:r>
      <w:r w:rsidR="00A14B9B" w:rsidRPr="002A0D4F">
        <w:t>široké spektrum kulturního a přírodního dědictví s potenciálem trvale udržitelného rozvoje</w:t>
      </w:r>
    </w:p>
    <w:p w14:paraId="5097B661" w14:textId="35E012B3" w:rsidR="00A14B9B" w:rsidRPr="00D00596" w:rsidRDefault="006E4E7B" w:rsidP="00944DB3">
      <w:pPr>
        <w:pStyle w:val="UZEIOdrky"/>
        <w:spacing w:before="120"/>
        <w:rPr>
          <w:rFonts w:ascii="Calibri" w:eastAsia="Calibri" w:hAnsi="Calibri"/>
        </w:rPr>
      </w:pPr>
      <w:r>
        <w:t xml:space="preserve">S7: </w:t>
      </w:r>
      <w:r w:rsidR="00A14B9B" w:rsidRPr="002A0D4F">
        <w:t xml:space="preserve">pozitivní trend v rozvoji venkovského cestovního ruchu a </w:t>
      </w:r>
      <w:proofErr w:type="spellStart"/>
      <w:r w:rsidR="00A14B9B" w:rsidRPr="002A0D4F">
        <w:t>agroturismu</w:t>
      </w:r>
      <w:proofErr w:type="spellEnd"/>
      <w:r w:rsidR="00A14B9B" w:rsidRPr="002A0D4F">
        <w:t xml:space="preserve"> jako nástroje pro diverzifikaci a oživení venkova</w:t>
      </w:r>
    </w:p>
    <w:p w14:paraId="4BD26F77" w14:textId="77777777" w:rsidR="00D00596" w:rsidRPr="00D00596" w:rsidRDefault="00D00596" w:rsidP="00D00596">
      <w:pPr>
        <w:pStyle w:val="UZEIOdrky"/>
      </w:pPr>
      <w:r w:rsidRPr="00D00596">
        <w:t xml:space="preserve">S8: Venkovské oblasti v ČR vykazují vyšší míru </w:t>
      </w:r>
      <w:proofErr w:type="gramStart"/>
      <w:r w:rsidRPr="00D00596">
        <w:t>zaměstnanosti</w:t>
      </w:r>
      <w:proofErr w:type="gramEnd"/>
      <w:r w:rsidRPr="00D00596">
        <w:t xml:space="preserve"> než je průměr EU – 27</w:t>
      </w:r>
    </w:p>
    <w:p w14:paraId="703A2298" w14:textId="77777777" w:rsidR="00D00596" w:rsidRPr="002A0D4F" w:rsidRDefault="00D00596" w:rsidP="004857D9">
      <w:pPr>
        <w:pStyle w:val="UZEIOdrky"/>
        <w:numPr>
          <w:ilvl w:val="0"/>
          <w:numId w:val="0"/>
        </w:numPr>
        <w:spacing w:before="120"/>
        <w:ind w:left="720"/>
        <w:rPr>
          <w:rFonts w:ascii="Calibri" w:eastAsia="Calibri" w:hAnsi="Calibri"/>
        </w:rPr>
      </w:pPr>
    </w:p>
    <w:p w14:paraId="164D9828" w14:textId="77777777" w:rsidR="00A14B9B" w:rsidRPr="00C74BD7" w:rsidRDefault="00A14B9B" w:rsidP="00944DB3">
      <w:pPr>
        <w:pStyle w:val="UZEINormaln"/>
        <w:rPr>
          <w:rFonts w:ascii="Calibri" w:eastAsia="Calibri" w:hAnsi="Calibri" w:cs="Calibri"/>
        </w:rPr>
      </w:pPr>
      <w:r w:rsidRPr="00C74BD7">
        <w:rPr>
          <w:b/>
          <w:bCs/>
        </w:rPr>
        <w:t>Slabé stránky:</w:t>
      </w:r>
      <w:r w:rsidRPr="00C74BD7">
        <w:rPr>
          <w:rFonts w:ascii="Calibri" w:eastAsia="Calibri" w:hAnsi="Calibri" w:cs="Calibri"/>
        </w:rPr>
        <w:t xml:space="preserve"> </w:t>
      </w:r>
    </w:p>
    <w:p w14:paraId="39D2FC37" w14:textId="1DAD901A" w:rsidR="00A14B9B" w:rsidRPr="002A0D4F" w:rsidRDefault="006E4E7B" w:rsidP="00944DB3">
      <w:pPr>
        <w:pStyle w:val="UZEIOdrky"/>
        <w:spacing w:before="120"/>
        <w:rPr>
          <w:rFonts w:ascii="Calibri" w:eastAsia="Calibri" w:hAnsi="Calibri"/>
        </w:rPr>
      </w:pPr>
      <w:r>
        <w:t xml:space="preserve">W1: </w:t>
      </w:r>
      <w:r w:rsidR="00A14B9B" w:rsidRPr="002A0D4F">
        <w:t>nižší míra diverzifikace spojená s podnikatelským rizikem a nedostatkem vstupního kapitálu</w:t>
      </w:r>
    </w:p>
    <w:p w14:paraId="6E22A0F8" w14:textId="5EC43E17" w:rsidR="00A14B9B" w:rsidRPr="002A0D4F" w:rsidRDefault="006E4E7B" w:rsidP="00944DB3">
      <w:pPr>
        <w:pStyle w:val="UZEIOdrky"/>
        <w:spacing w:before="120"/>
        <w:rPr>
          <w:rFonts w:eastAsia="Calibri"/>
        </w:rPr>
      </w:pPr>
      <w:r>
        <w:rPr>
          <w:rFonts w:eastAsia="Calibri"/>
        </w:rPr>
        <w:t xml:space="preserve">W2: </w:t>
      </w:r>
      <w:r w:rsidR="00A14B9B" w:rsidRPr="002A0D4F">
        <w:rPr>
          <w:rFonts w:eastAsia="Calibri"/>
        </w:rPr>
        <w:t>rozdrobená sídelní struktura</w:t>
      </w:r>
      <w:r w:rsidR="00A14B9B" w:rsidRPr="002A0D4F">
        <w:t xml:space="preserve"> </w:t>
      </w:r>
      <w:r w:rsidR="00A14B9B" w:rsidRPr="002A0D4F">
        <w:rPr>
          <w:rFonts w:eastAsia="Calibri"/>
        </w:rPr>
        <w:t>způsobující vyšší nákladovost z pohledu zajištění infrastruktury a poskytování služeb</w:t>
      </w:r>
    </w:p>
    <w:p w14:paraId="418645E0" w14:textId="1FEBB38A" w:rsidR="00A14B9B" w:rsidRPr="002A0D4F" w:rsidRDefault="006E4E7B" w:rsidP="00944DB3">
      <w:pPr>
        <w:pStyle w:val="UZEIOdrky"/>
        <w:spacing w:before="120"/>
        <w:rPr>
          <w:rFonts w:ascii="Calibri" w:eastAsia="Calibri" w:hAnsi="Calibri"/>
        </w:rPr>
      </w:pPr>
      <w:r>
        <w:t xml:space="preserve">W3: </w:t>
      </w:r>
      <w:r w:rsidR="00A14B9B" w:rsidRPr="002A0D4F">
        <w:t>nižší úroveň technické a občanské vybavenosti zejména malých obcí do 500 obyvatel (špatný stav/chybějící chodníky a špatný stav pozemních komunikací, potřeba rekonstrukce a revitalizace veřejných budov atp.)</w:t>
      </w:r>
    </w:p>
    <w:p w14:paraId="57337EE9" w14:textId="0A99B7AA" w:rsidR="00A14B9B" w:rsidRPr="002A0D4F" w:rsidRDefault="006E4E7B" w:rsidP="00944DB3">
      <w:pPr>
        <w:pStyle w:val="UZEIOdrky"/>
        <w:spacing w:before="120"/>
      </w:pPr>
      <w:r>
        <w:t xml:space="preserve">W4: </w:t>
      </w:r>
      <w:r w:rsidR="00A14B9B" w:rsidRPr="002A0D4F">
        <w:t xml:space="preserve">existence tzv. vnitřních periferií na hranicích krajů, kde dochází ke kumulaci hospodářských, sociálních a demografických problémů </w:t>
      </w:r>
    </w:p>
    <w:p w14:paraId="11678409" w14:textId="77777777" w:rsidR="00D00596" w:rsidRPr="00D00596" w:rsidRDefault="006E4E7B" w:rsidP="00D00596">
      <w:pPr>
        <w:pStyle w:val="UZEIOdrky"/>
        <w:spacing w:before="120"/>
      </w:pPr>
      <w:r w:rsidRPr="00D00596">
        <w:t xml:space="preserve">W5: </w:t>
      </w:r>
      <w:r w:rsidR="00A14B9B" w:rsidRPr="00D00596">
        <w:rPr>
          <w:bCs/>
        </w:rPr>
        <w:t xml:space="preserve">nedostatek atraktivních pracovních míst a pracovních příležitostí na </w:t>
      </w:r>
      <w:r w:rsidR="00D00596" w:rsidRPr="00D00596">
        <w:rPr>
          <w:bCs/>
        </w:rPr>
        <w:t>venkově a závislost obyvatel venkova na pracovních místech ve městech s negativními důsledky i v oblasti rozvoje sektoru služeb (zaměstnanost ve službách je ve venkovských regionech nižší).</w:t>
      </w:r>
    </w:p>
    <w:p w14:paraId="11E59320" w14:textId="5D0E8740" w:rsidR="00A14B9B" w:rsidRPr="002A0D4F" w:rsidRDefault="006E4E7B" w:rsidP="00D00596">
      <w:pPr>
        <w:pStyle w:val="UZEIOdrky"/>
        <w:spacing w:before="120"/>
      </w:pPr>
      <w:r>
        <w:t xml:space="preserve">W6: </w:t>
      </w:r>
      <w:r w:rsidR="00A14B9B" w:rsidRPr="002A0D4F">
        <w:t xml:space="preserve">převaha ekonomických činností s nižší přidanou hodnotou, a z toho vyplývající nižší mzdové ohodnocení pracovníků, omezenější nabídka služeb  </w:t>
      </w:r>
    </w:p>
    <w:p w14:paraId="2F49E80D" w14:textId="6B2774FC" w:rsidR="00A14B9B" w:rsidRPr="002A0D4F" w:rsidRDefault="006E4E7B" w:rsidP="00944DB3">
      <w:pPr>
        <w:pStyle w:val="UZEIOdrky"/>
        <w:spacing w:before="120"/>
      </w:pPr>
      <w:r>
        <w:lastRenderedPageBreak/>
        <w:t xml:space="preserve">W7: </w:t>
      </w:r>
      <w:r w:rsidR="00A14B9B" w:rsidRPr="002A0D4F">
        <w:t>nepříznivá úroveň ekonomické aktivity obyvatel na venkově, zejména pak v obcích do 200 obyvatel</w:t>
      </w:r>
    </w:p>
    <w:p w14:paraId="415801C1" w14:textId="4B539F3A" w:rsidR="00A14B9B" w:rsidRPr="002A0D4F" w:rsidRDefault="006E4E7B" w:rsidP="00944DB3">
      <w:pPr>
        <w:pStyle w:val="UZEIOdrky"/>
        <w:spacing w:before="120"/>
      </w:pPr>
      <w:r>
        <w:t xml:space="preserve">W8: </w:t>
      </w:r>
      <w:r w:rsidR="00A14B9B" w:rsidRPr="002A0D4F">
        <w:t>nedostatečně rozvinutý sektor služeb (nižší zaměstnanost ve službách, horší dostupnost služeb)</w:t>
      </w:r>
    </w:p>
    <w:p w14:paraId="68482A71" w14:textId="596E11AE" w:rsidR="00A14B9B" w:rsidRPr="002A0D4F" w:rsidRDefault="006E4E7B" w:rsidP="00944DB3">
      <w:pPr>
        <w:pStyle w:val="UZEIOdrky"/>
        <w:spacing w:before="120"/>
      </w:pPr>
      <w:r>
        <w:t xml:space="preserve">W9: </w:t>
      </w:r>
      <w:r w:rsidR="00A14B9B" w:rsidRPr="002A0D4F">
        <w:t>nedostatek pracovníků v lesním hospodářství, především pak v dělnických profesích</w:t>
      </w:r>
    </w:p>
    <w:p w14:paraId="33912F62" w14:textId="7E1D873A" w:rsidR="00A14B9B" w:rsidRPr="002A0D4F" w:rsidRDefault="006E4E7B" w:rsidP="00944DB3">
      <w:pPr>
        <w:pStyle w:val="UZEIOdrky"/>
        <w:spacing w:before="120"/>
      </w:pPr>
      <w:r>
        <w:t xml:space="preserve">W10: </w:t>
      </w:r>
      <w:r w:rsidR="00A14B9B" w:rsidRPr="002A0D4F">
        <w:t xml:space="preserve">nižší úroveň prostupnosti venkovské krajiny – nižší kvalita sítě polních cest </w:t>
      </w:r>
    </w:p>
    <w:p w14:paraId="63D37F84" w14:textId="31FAEC78" w:rsidR="00A14B9B" w:rsidRPr="002A0D4F" w:rsidRDefault="006E4E7B" w:rsidP="00944DB3">
      <w:pPr>
        <w:pStyle w:val="UZEIOdrky"/>
        <w:spacing w:before="120"/>
      </w:pPr>
      <w:r>
        <w:t xml:space="preserve">W11: </w:t>
      </w:r>
      <w:r w:rsidR="00A14B9B" w:rsidRPr="002A0D4F">
        <w:t xml:space="preserve">setrvalý pokles výměry zemědělského půdního fondu </w:t>
      </w:r>
    </w:p>
    <w:p w14:paraId="43CFDEA4" w14:textId="2D15F687" w:rsidR="00A14B9B" w:rsidRPr="002A0D4F" w:rsidRDefault="006E4E7B" w:rsidP="00944DB3">
      <w:pPr>
        <w:pStyle w:val="UZEIOdrky"/>
        <w:spacing w:before="120"/>
      </w:pPr>
      <w:r>
        <w:t xml:space="preserve">W12: </w:t>
      </w:r>
      <w:r w:rsidR="00A14B9B" w:rsidRPr="002A0D4F">
        <w:t>existence nevyužitých či opuštěných nemovitostí na venkově (</w:t>
      </w:r>
      <w:proofErr w:type="spellStart"/>
      <w:r w:rsidR="00A14B9B" w:rsidRPr="002A0D4F">
        <w:t>brownfields</w:t>
      </w:r>
      <w:proofErr w:type="spellEnd"/>
      <w:r w:rsidR="00A14B9B" w:rsidRPr="002A0D4F">
        <w:t>)</w:t>
      </w:r>
    </w:p>
    <w:p w14:paraId="189D24CE" w14:textId="3898C244" w:rsidR="00A14B9B" w:rsidRPr="002A0D4F" w:rsidRDefault="006E4E7B" w:rsidP="00944DB3">
      <w:pPr>
        <w:pStyle w:val="UZEIOdrky"/>
        <w:spacing w:before="120"/>
      </w:pPr>
      <w:r>
        <w:t xml:space="preserve">W13: </w:t>
      </w:r>
      <w:r w:rsidR="00A14B9B" w:rsidRPr="002A0D4F">
        <w:t xml:space="preserve">nedostatek volnočasových aktivit pro </w:t>
      </w:r>
      <w:r w:rsidR="00F30F99" w:rsidRPr="002A0D4F">
        <w:t>dě</w:t>
      </w:r>
      <w:r w:rsidR="00F30F99">
        <w:t>t</w:t>
      </w:r>
      <w:r w:rsidR="00F30F99" w:rsidRPr="002A0D4F">
        <w:t xml:space="preserve">i </w:t>
      </w:r>
      <w:r w:rsidR="00A14B9B" w:rsidRPr="002A0D4F">
        <w:t>a mládež, nízká sociální a kulturní participace obyvatel</w:t>
      </w:r>
    </w:p>
    <w:p w14:paraId="5F99A38A" w14:textId="1340CC00" w:rsidR="00A14B9B" w:rsidRDefault="006E4E7B" w:rsidP="00944DB3">
      <w:pPr>
        <w:pStyle w:val="UZEIOdrky"/>
        <w:spacing w:before="120"/>
      </w:pPr>
      <w:r>
        <w:t xml:space="preserve">W14: </w:t>
      </w:r>
      <w:r w:rsidR="00A14B9B" w:rsidRPr="002A0D4F">
        <w:t>nízký počet projektů spolupráce MAS v rámci Leader</w:t>
      </w:r>
    </w:p>
    <w:p w14:paraId="37DEE74E" w14:textId="29A2F6BA" w:rsidR="004857D9" w:rsidRDefault="004857D9" w:rsidP="004857D9">
      <w:pPr>
        <w:pStyle w:val="UZEIOdrky"/>
      </w:pPr>
      <w:r>
        <w:t>W15: n</w:t>
      </w:r>
      <w:r w:rsidRPr="004857D9">
        <w:t>erovné postavení žen na trhu práce (nejen na venkově a v zemědělství) včetně nižších příjmů.</w:t>
      </w:r>
    </w:p>
    <w:p w14:paraId="16A25B55" w14:textId="1CBC93EB" w:rsidR="004857D9" w:rsidRDefault="004857D9" w:rsidP="004857D9">
      <w:pPr>
        <w:pStyle w:val="UZEIOdrky"/>
        <w:numPr>
          <w:ilvl w:val="0"/>
          <w:numId w:val="0"/>
        </w:numPr>
        <w:spacing w:before="120"/>
        <w:ind w:left="720"/>
      </w:pPr>
    </w:p>
    <w:p w14:paraId="09835B37" w14:textId="77777777" w:rsidR="004857D9" w:rsidRPr="002A0D4F" w:rsidRDefault="004857D9" w:rsidP="004857D9">
      <w:pPr>
        <w:pStyle w:val="UZEIOdrky"/>
        <w:numPr>
          <w:ilvl w:val="0"/>
          <w:numId w:val="0"/>
        </w:numPr>
        <w:spacing w:before="120"/>
        <w:ind w:left="720"/>
      </w:pPr>
    </w:p>
    <w:p w14:paraId="0AC3E3BC" w14:textId="77777777" w:rsidR="00A14B9B" w:rsidRPr="008B3395" w:rsidRDefault="00A14B9B" w:rsidP="00944DB3">
      <w:pPr>
        <w:pStyle w:val="UZEINormaln"/>
        <w:rPr>
          <w:rFonts w:ascii="Calibri" w:eastAsia="Calibri" w:hAnsi="Calibri" w:cs="Calibri"/>
          <w:b/>
          <w:bCs/>
        </w:rPr>
      </w:pPr>
      <w:r w:rsidRPr="008B3395">
        <w:rPr>
          <w:b/>
          <w:bCs/>
        </w:rPr>
        <w:t>Příležitosti:</w:t>
      </w:r>
    </w:p>
    <w:p w14:paraId="180463AA" w14:textId="4ABA3AB3" w:rsidR="00A14B9B" w:rsidRPr="002A0D4F" w:rsidRDefault="006E4E7B" w:rsidP="00944DB3">
      <w:pPr>
        <w:pStyle w:val="UZEIOdrky"/>
        <w:spacing w:before="120"/>
        <w:rPr>
          <w:rFonts w:ascii="Calibri" w:eastAsia="Calibri" w:hAnsi="Calibri"/>
        </w:rPr>
      </w:pPr>
      <w:r>
        <w:t xml:space="preserve">O1: </w:t>
      </w:r>
      <w:r w:rsidR="00A14B9B" w:rsidRPr="002A0D4F">
        <w:t xml:space="preserve">kvalitní životní podmínky obyvatel venkova generujících příznivý demografický vývoj </w:t>
      </w:r>
    </w:p>
    <w:p w14:paraId="7B70255B" w14:textId="09E8203A" w:rsidR="00A14B9B" w:rsidRPr="002A0D4F" w:rsidRDefault="006E4E7B" w:rsidP="00944DB3">
      <w:pPr>
        <w:pStyle w:val="UZEIOdrky"/>
        <w:spacing w:before="120"/>
        <w:rPr>
          <w:rFonts w:ascii="Calibri" w:eastAsia="Calibri" w:hAnsi="Calibri"/>
        </w:rPr>
      </w:pPr>
      <w:r>
        <w:t xml:space="preserve">O2: </w:t>
      </w:r>
      <w:r w:rsidR="00A14B9B" w:rsidRPr="002A0D4F">
        <w:t xml:space="preserve">dostupný vysokorychlostní internet a s tím i související rozvoj nových forem výkonu pracovních činností (např. práce z domova) </w:t>
      </w:r>
    </w:p>
    <w:p w14:paraId="18560188" w14:textId="1034B3EC" w:rsidR="00A14B9B" w:rsidRPr="002A0D4F" w:rsidRDefault="006E4E7B" w:rsidP="00944DB3">
      <w:pPr>
        <w:pStyle w:val="UZEIOdrky"/>
        <w:spacing w:before="120"/>
        <w:rPr>
          <w:rFonts w:ascii="Calibri" w:eastAsia="Calibri" w:hAnsi="Calibri"/>
        </w:rPr>
      </w:pPr>
      <w:r>
        <w:t xml:space="preserve">O3: </w:t>
      </w:r>
      <w:r w:rsidR="00A14B9B" w:rsidRPr="002A0D4F">
        <w:t>využití dalších podpor mimo SZP pro rozvoj technické a občanské vybavenosti obcí, pro podporu místních partnerství a spolupráce ve venkovském prostoru, pro spuštění a rozvoj diverzifikace podniku (zvýšení stability podniku)</w:t>
      </w:r>
    </w:p>
    <w:p w14:paraId="3685806B" w14:textId="201E0ED5" w:rsidR="00A14B9B" w:rsidRPr="002A0D4F" w:rsidRDefault="006E4E7B" w:rsidP="00944DB3">
      <w:pPr>
        <w:pStyle w:val="UZEIOdrky"/>
        <w:spacing w:before="120"/>
      </w:pPr>
      <w:r>
        <w:t xml:space="preserve">O4: </w:t>
      </w:r>
      <w:r w:rsidR="00A14B9B" w:rsidRPr="002A0D4F">
        <w:t xml:space="preserve">podpora podnikání na venkově (mimo podpory SZP) jako příležitost pro rozvoj podnikání a zaměstnávání lidí, posílení stability osídlení venkova, inovační potenciál a zlepšení kvality života </w:t>
      </w:r>
    </w:p>
    <w:p w14:paraId="3A9C63AF" w14:textId="0B1A53EB" w:rsidR="00A14B9B" w:rsidRPr="002A0D4F" w:rsidRDefault="006E4E7B" w:rsidP="00944DB3">
      <w:pPr>
        <w:pStyle w:val="UZEIOdrky"/>
        <w:spacing w:before="120"/>
        <w:rPr>
          <w:rFonts w:ascii="Calibri" w:eastAsia="Calibri" w:hAnsi="Calibri"/>
        </w:rPr>
      </w:pPr>
      <w:r>
        <w:t xml:space="preserve">O5: </w:t>
      </w:r>
      <w:r w:rsidR="00A14B9B" w:rsidRPr="002A0D4F">
        <w:t>kvalitní dopravní infrastruktura v ČR (postupující výstavba a modernizace dálnic, a železničních koridorů).</w:t>
      </w:r>
    </w:p>
    <w:p w14:paraId="1CA9101C" w14:textId="3DA92EB8" w:rsidR="00A14B9B" w:rsidRPr="002A0D4F" w:rsidRDefault="006E4E7B" w:rsidP="00944DB3">
      <w:pPr>
        <w:pStyle w:val="UZEIOdrky"/>
        <w:spacing w:before="120"/>
        <w:rPr>
          <w:rFonts w:ascii="Calibri" w:eastAsia="Calibri" w:hAnsi="Calibri"/>
        </w:rPr>
      </w:pPr>
      <w:r>
        <w:t xml:space="preserve">O6: </w:t>
      </w:r>
      <w:r w:rsidR="00A14B9B" w:rsidRPr="002A0D4F">
        <w:t>dostupné vzdělávání jako prostředek k udržení a zvýšení zaměstnatelnosti obyvatelstva a konkurenceschopnosti</w:t>
      </w:r>
    </w:p>
    <w:p w14:paraId="1CDBCC5A" w14:textId="397DC64A" w:rsidR="00A14B9B" w:rsidRPr="002A0D4F" w:rsidRDefault="006E4E7B" w:rsidP="00944DB3">
      <w:pPr>
        <w:pStyle w:val="UZEIOdrky"/>
        <w:spacing w:before="120"/>
        <w:rPr>
          <w:rFonts w:ascii="Calibri" w:eastAsia="Calibri" w:hAnsi="Calibri"/>
        </w:rPr>
      </w:pPr>
      <w:r>
        <w:t xml:space="preserve">O7: </w:t>
      </w:r>
      <w:r w:rsidR="00A14B9B" w:rsidRPr="002A0D4F">
        <w:t>využití přírod</w:t>
      </w:r>
      <w:r w:rsidR="00A14B9B" w:rsidRPr="002A0D4F">
        <w:rPr>
          <w:rFonts w:ascii="Calibri" w:eastAsia="Calibri" w:hAnsi="Calibri"/>
        </w:rPr>
        <w:t>n</w:t>
      </w:r>
      <w:r w:rsidR="00A14B9B" w:rsidRPr="002A0D4F">
        <w:t>ího a kulturního dědictví</w:t>
      </w:r>
    </w:p>
    <w:p w14:paraId="373B6BCB" w14:textId="16B1372C" w:rsidR="00A14B9B" w:rsidRPr="002A0D4F" w:rsidRDefault="006E4E7B" w:rsidP="00944DB3">
      <w:pPr>
        <w:pStyle w:val="UZEIOdrky"/>
        <w:spacing w:before="120"/>
      </w:pPr>
      <w:r>
        <w:t xml:space="preserve">O8: </w:t>
      </w:r>
      <w:r w:rsidR="00A14B9B" w:rsidRPr="002A0D4F">
        <w:t xml:space="preserve">stabilní infrastruktura a příležitosti ke společenskému, kulturnímu a sportovnímu vyžití na venkově, vč. podpory nabídky volnočasových aktivit, </w:t>
      </w:r>
    </w:p>
    <w:p w14:paraId="7DA30F14" w14:textId="172493C1" w:rsidR="00A14B9B" w:rsidRPr="002A0D4F" w:rsidRDefault="006E4E7B" w:rsidP="00944DB3">
      <w:pPr>
        <w:pStyle w:val="UZEIOdrky"/>
        <w:spacing w:before="120"/>
        <w:rPr>
          <w:rFonts w:ascii="Calibri" w:eastAsia="Calibri" w:hAnsi="Calibri"/>
        </w:rPr>
      </w:pPr>
      <w:r>
        <w:t xml:space="preserve">O9: </w:t>
      </w:r>
      <w:r w:rsidR="00A14B9B" w:rsidRPr="002A0D4F">
        <w:t>podnikatelský a neziskový sektor jako aktivní článek v přípravě a implementaci strategických plánů za účelem rozvoje daného venkovského území</w:t>
      </w:r>
    </w:p>
    <w:p w14:paraId="73866547" w14:textId="12CD7926" w:rsidR="00A14B9B" w:rsidRPr="002A0D4F" w:rsidRDefault="006E4E7B" w:rsidP="00944DB3">
      <w:pPr>
        <w:pStyle w:val="UZEIOdrky"/>
        <w:spacing w:before="120"/>
      </w:pPr>
      <w:r>
        <w:t xml:space="preserve">O10: </w:t>
      </w:r>
      <w:r w:rsidR="00A14B9B" w:rsidRPr="002A0D4F">
        <w:t>rekonstrukce nevyužívaných ploch a budov (brownfieldů) a jejich následné využití</w:t>
      </w:r>
    </w:p>
    <w:p w14:paraId="05E84E1B" w14:textId="271C85FA" w:rsidR="00A14B9B" w:rsidRPr="002A0D4F" w:rsidRDefault="006E4E7B" w:rsidP="00944DB3">
      <w:pPr>
        <w:pStyle w:val="UZEIOdrky"/>
        <w:spacing w:before="120"/>
      </w:pPr>
      <w:r>
        <w:lastRenderedPageBreak/>
        <w:t xml:space="preserve">O11: </w:t>
      </w:r>
      <w:r w:rsidR="00A14B9B" w:rsidRPr="002A0D4F">
        <w:t>podpora komunitní činnosti obyvatel (spolky) vedoucí k většímu zájmu o aktivity v obci</w:t>
      </w:r>
    </w:p>
    <w:p w14:paraId="3C091848" w14:textId="4DB2824E" w:rsidR="00A14B9B" w:rsidRPr="002A0D4F" w:rsidRDefault="006E4E7B" w:rsidP="00944DB3">
      <w:pPr>
        <w:pStyle w:val="UZEIOdrky"/>
        <w:spacing w:before="120"/>
      </w:pPr>
      <w:r>
        <w:t xml:space="preserve">O12: </w:t>
      </w:r>
      <w:r w:rsidR="00A14B9B" w:rsidRPr="002A0D4F">
        <w:t xml:space="preserve">nové koncepty a technologie (tzv. Smart City/Smart </w:t>
      </w:r>
      <w:proofErr w:type="spellStart"/>
      <w:r w:rsidR="00A14B9B" w:rsidRPr="002A0D4F">
        <w:t>Village</w:t>
      </w:r>
      <w:proofErr w:type="spellEnd"/>
      <w:r w:rsidR="00A14B9B" w:rsidRPr="002A0D4F">
        <w:t>)</w:t>
      </w:r>
    </w:p>
    <w:p w14:paraId="7A10B50D" w14:textId="2F211EDD" w:rsidR="00A14B9B" w:rsidRDefault="006E4E7B" w:rsidP="00944DB3">
      <w:pPr>
        <w:pStyle w:val="UZEIOdrky"/>
        <w:spacing w:before="120"/>
      </w:pPr>
      <w:r>
        <w:t xml:space="preserve">O13: </w:t>
      </w:r>
      <w:r w:rsidR="00A14B9B" w:rsidRPr="002A0D4F">
        <w:t>nové strategické dokumenty na národní úrovni se zaměřených na rozvoj venkova – např. Strategie regionálního rozvoje ČR 2021+, Koncepce rozvoje venkova</w:t>
      </w:r>
    </w:p>
    <w:p w14:paraId="24A9D728" w14:textId="55634B6F" w:rsidR="00F30F99" w:rsidRDefault="00F30F99" w:rsidP="00F30F99">
      <w:pPr>
        <w:pStyle w:val="UZEIOdrky"/>
      </w:pPr>
      <w:r>
        <w:t>O.14: zlepšit</w:t>
      </w:r>
      <w:r w:rsidRPr="00F30F99">
        <w:t xml:space="preserve"> postavení žen na trhu práce (nejen na venkově a v zemědělství) včetně nižších příjmů</w:t>
      </w:r>
    </w:p>
    <w:p w14:paraId="5D51C37B" w14:textId="2B9C263F" w:rsidR="00F30F99" w:rsidRPr="008B3395" w:rsidRDefault="00F30F99" w:rsidP="00F30F99">
      <w:pPr>
        <w:pStyle w:val="UZEIOdrky"/>
      </w:pPr>
      <w:r>
        <w:t>O:15: rozvoj biohospodářství</w:t>
      </w:r>
    </w:p>
    <w:p w14:paraId="339AB9EC" w14:textId="77777777" w:rsidR="00944DB3" w:rsidRDefault="00944DB3">
      <w:pPr>
        <w:spacing w:after="160" w:line="259" w:lineRule="auto"/>
        <w:jc w:val="left"/>
        <w:rPr>
          <w:rFonts w:eastAsia="Times New Roman" w:cstheme="minorHAnsi"/>
          <w:b/>
          <w:bCs/>
          <w:szCs w:val="24"/>
          <w:lang w:val="cs-CZ" w:eastAsia="cs-CZ"/>
        </w:rPr>
      </w:pPr>
      <w:r>
        <w:rPr>
          <w:b/>
          <w:bCs/>
        </w:rPr>
        <w:br w:type="page"/>
      </w:r>
    </w:p>
    <w:p w14:paraId="6DFEB9D8" w14:textId="49E00E8B" w:rsidR="00A14B9B" w:rsidRPr="008B3395" w:rsidRDefault="00A14B9B" w:rsidP="00944DB3">
      <w:pPr>
        <w:pStyle w:val="UZEINormaln"/>
        <w:rPr>
          <w:rFonts w:ascii="Calibri" w:eastAsia="Calibri" w:hAnsi="Calibri" w:cs="Calibri"/>
          <w:b/>
          <w:bCs/>
        </w:rPr>
      </w:pPr>
      <w:r w:rsidRPr="008B3395">
        <w:rPr>
          <w:b/>
          <w:bCs/>
        </w:rPr>
        <w:lastRenderedPageBreak/>
        <w:t xml:space="preserve">Hrozby: </w:t>
      </w:r>
    </w:p>
    <w:p w14:paraId="602C72B3" w14:textId="565BFB23" w:rsidR="00A14B9B" w:rsidRPr="002A0D4F" w:rsidRDefault="00D76399" w:rsidP="00944DB3">
      <w:pPr>
        <w:pStyle w:val="UZEIOdrky"/>
        <w:spacing w:before="120"/>
        <w:rPr>
          <w:rFonts w:ascii="Calibri" w:eastAsia="Calibri" w:hAnsi="Calibri"/>
        </w:rPr>
      </w:pPr>
      <w:r>
        <w:t xml:space="preserve">T1: </w:t>
      </w:r>
      <w:r w:rsidR="00A14B9B" w:rsidRPr="002A0D4F">
        <w:t>trend stárnutí populace ČR (nejen na venkově, ale obecně)</w:t>
      </w:r>
    </w:p>
    <w:p w14:paraId="24393823" w14:textId="703E1B24" w:rsidR="00A14B9B" w:rsidRPr="002A0D4F" w:rsidRDefault="00D76399" w:rsidP="00944DB3">
      <w:pPr>
        <w:pStyle w:val="UZEIOdrky"/>
        <w:spacing w:before="120"/>
        <w:rPr>
          <w:rFonts w:asciiTheme="minorHAnsi" w:eastAsiaTheme="minorEastAsia" w:hAnsiTheme="minorHAnsi"/>
        </w:rPr>
      </w:pPr>
      <w:r>
        <w:t xml:space="preserve">T2: </w:t>
      </w:r>
      <w:r w:rsidR="00A14B9B" w:rsidRPr="002A0D4F">
        <w:t>nárůst nezaměstnanosti venkovského obyvatelstva jako důsledek úbytku pracovních příležitostí na venkově i ve městech v souvislosti s nepříznivou hospodářskou situací počínající rokem 2020</w:t>
      </w:r>
    </w:p>
    <w:p w14:paraId="422B5AE6" w14:textId="30846E1B" w:rsidR="00A14B9B" w:rsidRPr="002A0D4F" w:rsidRDefault="00D76399" w:rsidP="00944DB3">
      <w:pPr>
        <w:pStyle w:val="UZEIOdrky"/>
        <w:spacing w:before="120"/>
        <w:rPr>
          <w:rFonts w:ascii="Calibri" w:eastAsia="Calibri" w:hAnsi="Calibri"/>
        </w:rPr>
      </w:pPr>
      <w:r>
        <w:t xml:space="preserve">T3: </w:t>
      </w:r>
      <w:r w:rsidR="00A14B9B" w:rsidRPr="002A0D4F">
        <w:t>zaostávání vzdělanostní struktury na venkově – odliv vzdělaných a kvalifikovaných pracovních sil do měst (včetně odlivu z lokalit ohrožených chudobou)</w:t>
      </w:r>
    </w:p>
    <w:p w14:paraId="144B0EA3" w14:textId="2839D497" w:rsidR="00A14B9B" w:rsidRPr="002A0D4F" w:rsidRDefault="00D76399" w:rsidP="00944DB3">
      <w:pPr>
        <w:pStyle w:val="UZEIOdrky"/>
        <w:spacing w:before="120"/>
        <w:rPr>
          <w:rFonts w:ascii="Calibri" w:eastAsia="Calibri" w:hAnsi="Calibri"/>
        </w:rPr>
      </w:pPr>
      <w:r>
        <w:t xml:space="preserve">T4: </w:t>
      </w:r>
      <w:r w:rsidR="00A14B9B" w:rsidRPr="002A0D4F">
        <w:t>nedostatečná úroveň dopravní obslužnosti malých a odlehlých obcí nárůst sociálně vyloučených lokalit a osob ohrožených příjmovou chudobou na venkově</w:t>
      </w:r>
    </w:p>
    <w:p w14:paraId="1E7D37F7" w14:textId="704726C3" w:rsidR="00A14B9B" w:rsidRPr="002A0D4F" w:rsidRDefault="00D76399" w:rsidP="00944DB3">
      <w:pPr>
        <w:pStyle w:val="UZEIOdrky"/>
        <w:spacing w:before="120"/>
        <w:rPr>
          <w:rFonts w:ascii="Calibri" w:eastAsia="Calibri" w:hAnsi="Calibri"/>
        </w:rPr>
      </w:pPr>
      <w:r>
        <w:t xml:space="preserve">T5: </w:t>
      </w:r>
      <w:r w:rsidR="00A14B9B" w:rsidRPr="002A0D4F">
        <w:t xml:space="preserve">obecně vysoká administrativní a systémová náročnost pro získání podpor </w:t>
      </w:r>
    </w:p>
    <w:p w14:paraId="44D8D3C6" w14:textId="354E5F49" w:rsidR="00A14B9B" w:rsidRPr="002A0D4F" w:rsidRDefault="00D76399" w:rsidP="00944DB3">
      <w:pPr>
        <w:pStyle w:val="UZEIOdrky"/>
        <w:spacing w:before="120"/>
        <w:rPr>
          <w:rFonts w:ascii="Calibri" w:eastAsia="Calibri" w:hAnsi="Calibri"/>
        </w:rPr>
      </w:pPr>
      <w:r>
        <w:t xml:space="preserve">T6: </w:t>
      </w:r>
      <w:r w:rsidR="00A14B9B" w:rsidRPr="002A0D4F">
        <w:t xml:space="preserve">riziko omezení podpor veřejných zdrojů (např. fondy EU) </w:t>
      </w:r>
    </w:p>
    <w:p w14:paraId="4D4132FD" w14:textId="384C2659" w:rsidR="00A14B9B" w:rsidRPr="002A0D4F" w:rsidRDefault="00D76399" w:rsidP="00944DB3">
      <w:pPr>
        <w:pStyle w:val="UZEIOdrky"/>
        <w:spacing w:before="120"/>
        <w:rPr>
          <w:rFonts w:ascii="Calibri" w:eastAsia="Calibri" w:hAnsi="Calibri"/>
        </w:rPr>
      </w:pPr>
      <w:r>
        <w:t xml:space="preserve">T7: </w:t>
      </w:r>
      <w:r w:rsidR="00A14B9B" w:rsidRPr="002A0D4F">
        <w:t>hospodářská fluktuace (např. makroekonomické cykly)</w:t>
      </w:r>
    </w:p>
    <w:p w14:paraId="17A3DD01" w14:textId="3F324150" w:rsidR="00A14B9B" w:rsidRPr="002A0D4F" w:rsidRDefault="00A14B9B" w:rsidP="000058A1">
      <w:pPr>
        <w:pStyle w:val="Nadpis1"/>
        <w:numPr>
          <w:ilvl w:val="0"/>
          <w:numId w:val="9"/>
        </w:numPr>
        <w:ind w:left="426"/>
        <w:rPr>
          <w:b w:val="0"/>
        </w:rPr>
      </w:pPr>
      <w:r w:rsidRPr="002A0D4F">
        <w:br w:type="page"/>
      </w:r>
      <w:bookmarkStart w:id="225" w:name="_Toc525820141"/>
    </w:p>
    <w:p w14:paraId="0462313B" w14:textId="77777777" w:rsidR="00A14B9B" w:rsidRPr="00586854" w:rsidRDefault="00A14B9B" w:rsidP="00F274FA">
      <w:pPr>
        <w:pStyle w:val="UZEINadpis1stbezsla"/>
      </w:pPr>
      <w:bookmarkStart w:id="226" w:name="_Toc530577746"/>
      <w:bookmarkStart w:id="227" w:name="_Toc12277985"/>
      <w:bookmarkStart w:id="228" w:name="_Toc12282622"/>
      <w:bookmarkStart w:id="229" w:name="_Toc12283277"/>
      <w:bookmarkStart w:id="230" w:name="_Toc15623891"/>
      <w:bookmarkStart w:id="231" w:name="_Toc15627522"/>
      <w:bookmarkStart w:id="232" w:name="_Toc25919701"/>
      <w:bookmarkStart w:id="233" w:name="_Toc25919785"/>
      <w:bookmarkStart w:id="234" w:name="_Toc81757386"/>
      <w:bookmarkStart w:id="235" w:name="_Toc81815673"/>
      <w:bookmarkStart w:id="236" w:name="_Toc81816210"/>
      <w:bookmarkStart w:id="237" w:name="_Toc81817305"/>
      <w:r w:rsidRPr="00586854">
        <w:lastRenderedPageBreak/>
        <w:t>Reference</w:t>
      </w:r>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p>
    <w:p w14:paraId="20D30DB1" w14:textId="77777777" w:rsidR="00A14B9B" w:rsidRPr="002A0D4F" w:rsidRDefault="00A14B9B" w:rsidP="00005CD6">
      <w:pPr>
        <w:pStyle w:val="UZEINormaln"/>
      </w:pPr>
      <w:r w:rsidRPr="002A0D4F">
        <w:t>ČADA, K. 2015. Analýza sociálně vyloučených lokalit ČR. GAC a spol.</w:t>
      </w:r>
    </w:p>
    <w:p w14:paraId="5BC108BB" w14:textId="37823583" w:rsidR="00A14B9B" w:rsidRDefault="00A14B9B" w:rsidP="00005CD6">
      <w:pPr>
        <w:pStyle w:val="UZEINormaln"/>
        <w:rPr>
          <w:shd w:val="clear" w:color="auto" w:fill="FFFFFF"/>
        </w:rPr>
      </w:pPr>
      <w:r w:rsidRPr="002A0D4F">
        <w:t xml:space="preserve">BROWNFIELDY </w:t>
      </w:r>
      <w:r w:rsidRPr="002A0D4F">
        <w:rPr>
          <w:shd w:val="clear" w:color="auto" w:fill="FFFFFF"/>
        </w:rPr>
        <w:t xml:space="preserve">[online]. 2018 [cit. 2018-09-26].  Dostupné z: </w:t>
      </w:r>
      <w:r w:rsidR="00005CD6" w:rsidRPr="00FC40F4">
        <w:rPr>
          <w:shd w:val="clear" w:color="auto" w:fill="FFFFFF"/>
        </w:rPr>
        <w:t>https://www.czechinvest.org/cz/Sluzby-pro-municipality/Nemovitosti-pro-</w:t>
      </w:r>
      <w:r w:rsidR="00005CD6" w:rsidRPr="00FC40F4">
        <w:rPr>
          <w:shd w:val="clear" w:color="auto" w:fill="FFFFFF"/>
        </w:rPr>
        <w:tab/>
      </w:r>
      <w:proofErr w:type="spellStart"/>
      <w:r w:rsidR="00005CD6" w:rsidRPr="00FC40F4">
        <w:rPr>
          <w:shd w:val="clear" w:color="auto" w:fill="FFFFFF"/>
        </w:rPr>
        <w:t>podnikatelske-ucely</w:t>
      </w:r>
      <w:proofErr w:type="spellEnd"/>
      <w:r w:rsidR="00005CD6" w:rsidRPr="00FC40F4">
        <w:rPr>
          <w:shd w:val="clear" w:color="auto" w:fill="FFFFFF"/>
        </w:rPr>
        <w:t>/Brownfieldy</w:t>
      </w:r>
    </w:p>
    <w:p w14:paraId="091C88E9" w14:textId="3041F87B" w:rsidR="00B215F6" w:rsidRDefault="00A14B9B" w:rsidP="00005CD6">
      <w:pPr>
        <w:pStyle w:val="UZEINormaln"/>
      </w:pPr>
      <w:r w:rsidRPr="002A0D4F">
        <w:t>CENIA (2016).</w:t>
      </w:r>
      <w:r w:rsidRPr="002A0D4F">
        <w:rPr>
          <w:iCs/>
        </w:rPr>
        <w:t xml:space="preserve"> Zpráva o životním prostředí České republiky.</w:t>
      </w:r>
      <w:r w:rsidRPr="002A0D4F">
        <w:t xml:space="preserve"> Praha: Ministerstvo životního prostředí ČR. Dostupné z: </w:t>
      </w:r>
      <w:r w:rsidR="00B215F6" w:rsidRPr="00B215F6">
        <w:t>https://www.mzp.cz/C1257458002F0DC7/cz/zpravy_o_stavu_</w:t>
      </w:r>
    </w:p>
    <w:p w14:paraId="1778C813" w14:textId="0CD6B61E" w:rsidR="00A14B9B" w:rsidRDefault="00FC40F4" w:rsidP="00005CD6">
      <w:pPr>
        <w:pStyle w:val="UZEINormaln"/>
      </w:pPr>
      <w:proofErr w:type="spellStart"/>
      <w:r w:rsidRPr="00FC40F4">
        <w:t>zivotniho</w:t>
      </w:r>
      <w:proofErr w:type="spellEnd"/>
      <w:r w:rsidRPr="00FC40F4">
        <w:t xml:space="preserve"> </w:t>
      </w:r>
      <w:proofErr w:type="spellStart"/>
      <w:r w:rsidR="00A14B9B" w:rsidRPr="002A0D4F">
        <w:t>prostredi_publikace</w:t>
      </w:r>
      <w:proofErr w:type="spellEnd"/>
      <w:r w:rsidR="00A14B9B" w:rsidRPr="002A0D4F">
        <w:t>/$FILE/SOPSZP-Zprava_ZP_CR_2016-20171211.pdf</w:t>
      </w:r>
    </w:p>
    <w:p w14:paraId="0FA04816" w14:textId="399BEBA8" w:rsidR="00A14B9B" w:rsidRPr="002A0D4F" w:rsidRDefault="00A14B9B" w:rsidP="00005CD6">
      <w:pPr>
        <w:pStyle w:val="UZEINormaln"/>
      </w:pPr>
      <w:r w:rsidRPr="002A0D4F">
        <w:t xml:space="preserve">ČÚZK (2018). Souhrnné přehledy o půdním fondu z přehledu katastru nemovitostí ČR. Dostupné z </w:t>
      </w:r>
      <w:r w:rsidRPr="00B215F6">
        <w:t>https://www.cuzk.cz/Periodika-a-publikace/Statisticke-udaje/Souhrne-prehledy-pudniho-fondu.aspx</w:t>
      </w:r>
    </w:p>
    <w:p w14:paraId="12FA3CE7" w14:textId="77777777" w:rsidR="00A14B9B" w:rsidRPr="002A0D4F" w:rsidRDefault="00A14B9B" w:rsidP="00005CD6">
      <w:pPr>
        <w:pStyle w:val="UZEINormaln"/>
      </w:pPr>
      <w:r w:rsidRPr="002A0D4F">
        <w:t>EKOTOXA, IREAS (2016). Ex post hodnocení Programu rozvoje venkova za období 2007-2013. Závěrečná zpráva.</w:t>
      </w:r>
    </w:p>
    <w:p w14:paraId="24FF1348" w14:textId="77777777" w:rsidR="00A14B9B" w:rsidRPr="002A0D4F" w:rsidRDefault="00A14B9B" w:rsidP="00005CD6">
      <w:pPr>
        <w:pStyle w:val="UZEINormaln"/>
      </w:pPr>
      <w:r w:rsidRPr="002A0D4F">
        <w:t>MMR (2019). Strategie regionálního rozvoje ČR 2021+</w:t>
      </w:r>
    </w:p>
    <w:p w14:paraId="68936ED2" w14:textId="77777777" w:rsidR="00A14B9B" w:rsidRPr="002A0D4F" w:rsidRDefault="00A14B9B" w:rsidP="00005CD6">
      <w:pPr>
        <w:pStyle w:val="UZEINormaln"/>
      </w:pPr>
      <w:r w:rsidRPr="002A0D4F">
        <w:t>NAVIGA 4, EVALUATION ADVISORY CE (2019). Průběžné hodnocení k 31. 12. 2018. Hodnocení Programu rozvoje venkova na období 2014-2020.</w:t>
      </w:r>
    </w:p>
    <w:p w14:paraId="7B0F5AEF" w14:textId="77777777" w:rsidR="00A14B9B" w:rsidRPr="002A0D4F" w:rsidRDefault="00A14B9B" w:rsidP="00005CD6">
      <w:pPr>
        <w:pStyle w:val="UZEINormaln"/>
      </w:pPr>
      <w:r w:rsidRPr="002A0D4F">
        <w:t>NAVIGA 4, EVALUATION ADVISORY CE (2020). Průběžné hodnocení k 31. 12. 2019. Hodnocení Programu rozvoje venkova na období 2014-2020.</w:t>
      </w:r>
    </w:p>
    <w:p w14:paraId="17206B34" w14:textId="77777777" w:rsidR="00A14B9B" w:rsidRPr="002A0D4F" w:rsidRDefault="00A14B9B" w:rsidP="00005CD6">
      <w:pPr>
        <w:pStyle w:val="UZEINormaln"/>
      </w:pPr>
      <w:r w:rsidRPr="002A0D4F">
        <w:t xml:space="preserve">NS MAS ČR (9/2018). Průzkum potřeb v sociální oblasti ve venkovském prostředí. Ministerstvo pro místní rozvoj (2018). </w:t>
      </w:r>
    </w:p>
    <w:p w14:paraId="51BD5E6A" w14:textId="77777777" w:rsidR="00A14B9B" w:rsidRPr="002A0D4F" w:rsidRDefault="00A14B9B" w:rsidP="00005CD6">
      <w:pPr>
        <w:pStyle w:val="UZEINormaln"/>
      </w:pPr>
      <w:r w:rsidRPr="002A0D4F">
        <w:t xml:space="preserve">NS MAS ČR (2018). Analýza problémů venkova (z 23. 3. 2018). </w:t>
      </w:r>
    </w:p>
    <w:p w14:paraId="68DBEF02" w14:textId="77777777" w:rsidR="00A14B9B" w:rsidRPr="002A0D4F" w:rsidRDefault="00A14B9B" w:rsidP="00005CD6">
      <w:pPr>
        <w:pStyle w:val="UZEINormaln"/>
      </w:pPr>
      <w:r w:rsidRPr="002A0D4F">
        <w:t>Národní koncepce realizace politiky soudržnosti v ČR po roce 2020.Verze květen 2018. Praha</w:t>
      </w:r>
    </w:p>
    <w:p w14:paraId="586D0C26" w14:textId="77777777" w:rsidR="00A14B9B" w:rsidRPr="002A0D4F" w:rsidRDefault="00A14B9B" w:rsidP="00005CD6">
      <w:pPr>
        <w:pStyle w:val="UZEINormaln"/>
      </w:pPr>
      <w:r w:rsidRPr="002A0D4F">
        <w:t>Národní koncepce realizace kohezní politiky pro roce 2020: návrhy karet tematických podoblastí: podpora sociálního začleňování, boj s chudobou a systém péče o zdraví – interní materiál</w:t>
      </w:r>
    </w:p>
    <w:p w14:paraId="6A77E146" w14:textId="77777777" w:rsidR="00A14B9B" w:rsidRPr="002A0D4F" w:rsidRDefault="00A14B9B" w:rsidP="00005CD6">
      <w:pPr>
        <w:pStyle w:val="UZEINormaln"/>
      </w:pPr>
      <w:r w:rsidRPr="002A0D4F">
        <w:t xml:space="preserve">Ministerstvo pro místní rozvoj (2018). </w:t>
      </w:r>
    </w:p>
    <w:p w14:paraId="140A219C" w14:textId="77777777" w:rsidR="00A14B9B" w:rsidRPr="002A0D4F" w:rsidRDefault="00A14B9B" w:rsidP="00005CD6">
      <w:pPr>
        <w:pStyle w:val="UZEINormaln"/>
      </w:pPr>
      <w:r w:rsidRPr="002A0D4F">
        <w:t xml:space="preserve">Komunitně vedený místní rozvoj (CLLD): v programovém období 2014–2020 – rozvoj ve všech oblastech. </w:t>
      </w:r>
    </w:p>
    <w:p w14:paraId="63B815B7" w14:textId="77777777" w:rsidR="00A14B9B" w:rsidRPr="002A0D4F" w:rsidRDefault="00A14B9B" w:rsidP="00005CD6">
      <w:pPr>
        <w:pStyle w:val="UZEINormaln"/>
      </w:pPr>
      <w:proofErr w:type="spellStart"/>
      <w:r w:rsidRPr="002A0D4F">
        <w:t>MZe</w:t>
      </w:r>
      <w:proofErr w:type="spellEnd"/>
      <w:r w:rsidRPr="002A0D4F">
        <w:t xml:space="preserve"> (2017). Podpora obslužnosti venkova</w:t>
      </w:r>
    </w:p>
    <w:p w14:paraId="28260897" w14:textId="77777777" w:rsidR="00A14B9B" w:rsidRPr="002A0D4F" w:rsidRDefault="00A14B9B" w:rsidP="00005CD6">
      <w:pPr>
        <w:pStyle w:val="UZEINormaln"/>
      </w:pPr>
      <w:proofErr w:type="spellStart"/>
      <w:r w:rsidRPr="002A0D4F">
        <w:t>MZe</w:t>
      </w:r>
      <w:proofErr w:type="spellEnd"/>
      <w:r w:rsidRPr="002A0D4F">
        <w:t xml:space="preserve"> (2018). Zpráva o stavu zemědělství za rok 2017</w:t>
      </w:r>
    </w:p>
    <w:p w14:paraId="56244D0A" w14:textId="77777777" w:rsidR="00A14B9B" w:rsidRPr="002A0D4F" w:rsidRDefault="00A14B9B" w:rsidP="00005CD6">
      <w:pPr>
        <w:pStyle w:val="UZEINormaln"/>
      </w:pPr>
      <w:proofErr w:type="spellStart"/>
      <w:r w:rsidRPr="002A0D4F">
        <w:t>MZe</w:t>
      </w:r>
      <w:proofErr w:type="spellEnd"/>
      <w:r w:rsidRPr="002A0D4F">
        <w:t xml:space="preserve"> (</w:t>
      </w:r>
      <w:proofErr w:type="gramStart"/>
      <w:r w:rsidRPr="002A0D4F">
        <w:t>2019a</w:t>
      </w:r>
      <w:proofErr w:type="gramEnd"/>
      <w:r w:rsidRPr="002A0D4F">
        <w:t>). Koncepce biohospodářství v České republice z pohledu resortu Ministerstva zemědělství na léta 2019-2024.</w:t>
      </w:r>
    </w:p>
    <w:p w14:paraId="49AC5DB6" w14:textId="77777777" w:rsidR="00A14B9B" w:rsidRPr="002A0D4F" w:rsidRDefault="00A14B9B" w:rsidP="00005CD6">
      <w:pPr>
        <w:pStyle w:val="UZEINormaln"/>
      </w:pPr>
      <w:proofErr w:type="spellStart"/>
      <w:r w:rsidRPr="002A0D4F">
        <w:t>MZe</w:t>
      </w:r>
      <w:proofErr w:type="spellEnd"/>
      <w:r w:rsidRPr="002A0D4F">
        <w:t xml:space="preserve"> (</w:t>
      </w:r>
      <w:proofErr w:type="gramStart"/>
      <w:r w:rsidRPr="002A0D4F">
        <w:t>2019b</w:t>
      </w:r>
      <w:proofErr w:type="gramEnd"/>
      <w:r w:rsidRPr="002A0D4F">
        <w:t>). Zpráva o stavu lesa a lesního hospodářství České republiky za rok 2018</w:t>
      </w:r>
    </w:p>
    <w:p w14:paraId="7493EA3A" w14:textId="2D0C1448" w:rsidR="00A14B9B" w:rsidRPr="002A0D4F" w:rsidRDefault="00A14B9B" w:rsidP="00005CD6">
      <w:pPr>
        <w:pStyle w:val="UZEINormaln"/>
      </w:pPr>
      <w:r w:rsidRPr="002A0D4F">
        <w:t xml:space="preserve">SKÁLA, J., VÁCHA, R., ČECHMÁNKOVÁ, J., HORVÁTHOVÁ, V. 2012. Zemědělské brownfieldy v České republice. Urbanismus a územní rozvoj, ročník XV, č. 6. Dostupné z: </w:t>
      </w:r>
      <w:r w:rsidRPr="0080085B">
        <w:t>https://www.uur.cz/images/5-publikacni-cinnost-a-knihovna/casopis/2012/2012-06/03_zemedelske.pdf</w:t>
      </w:r>
      <w:r w:rsidRPr="002A0D4F">
        <w:t>.</w:t>
      </w:r>
      <w:bookmarkStart w:id="238" w:name="_Toc519518209"/>
      <w:bookmarkStart w:id="239" w:name="_Toc519518315"/>
      <w:bookmarkStart w:id="240" w:name="_Toc519581825"/>
    </w:p>
    <w:p w14:paraId="698DAE7A" w14:textId="77777777" w:rsidR="00A14B9B" w:rsidRPr="002A0D4F" w:rsidRDefault="00A14B9B" w:rsidP="00005CD6">
      <w:pPr>
        <w:pStyle w:val="UZEINormaln"/>
      </w:pPr>
      <w:r w:rsidRPr="002A0D4F">
        <w:t>SMO (2018). Analýza potřeb měst a obcí – financování 2018</w:t>
      </w:r>
    </w:p>
    <w:p w14:paraId="7B6B5E73" w14:textId="1E23CE7C" w:rsidR="00A14B9B" w:rsidRDefault="00A14B9B" w:rsidP="00005CD6">
      <w:pPr>
        <w:pStyle w:val="UZEINormaln"/>
      </w:pPr>
      <w:r w:rsidRPr="002A0D4F">
        <w:t xml:space="preserve">VUMOP (září, 2018). Inventarizace lokalit zemědělských </w:t>
      </w:r>
      <w:proofErr w:type="spellStart"/>
      <w:r w:rsidRPr="002A0D4F">
        <w:t>brownfields</w:t>
      </w:r>
      <w:proofErr w:type="spellEnd"/>
      <w:r w:rsidRPr="002A0D4F">
        <w:t xml:space="preserve"> v České republice. </w:t>
      </w:r>
    </w:p>
    <w:p w14:paraId="5EB53513" w14:textId="7BD8A481" w:rsidR="00B51BA1" w:rsidRDefault="00B51BA1" w:rsidP="00005CD6">
      <w:pPr>
        <w:pStyle w:val="UZEINormaln"/>
      </w:pPr>
    </w:p>
    <w:p w14:paraId="412BF0EF" w14:textId="673D9660" w:rsidR="00470758" w:rsidRPr="00470758" w:rsidRDefault="00470758" w:rsidP="00470758">
      <w:pPr>
        <w:pStyle w:val="UZEINormaln"/>
        <w:rPr>
          <w:b/>
          <w:bCs/>
        </w:rPr>
      </w:pPr>
      <w:r w:rsidRPr="00470758">
        <w:rPr>
          <w:b/>
          <w:bCs/>
        </w:rPr>
        <w:lastRenderedPageBreak/>
        <w:t>Reference přílohy</w:t>
      </w:r>
    </w:p>
    <w:p w14:paraId="73EAA3A9" w14:textId="77777777" w:rsidR="00470758" w:rsidRPr="00470758" w:rsidRDefault="00470758" w:rsidP="00470758">
      <w:pPr>
        <w:pStyle w:val="UZEINormaln"/>
      </w:pPr>
      <w:r w:rsidRPr="00470758">
        <w:t xml:space="preserve">Bernard, J., M. Šimon. 2017. „Vnitřní periferie v Česku: </w:t>
      </w:r>
      <w:proofErr w:type="spellStart"/>
      <w:r w:rsidRPr="00470758">
        <w:t>Multidimenzionalita</w:t>
      </w:r>
      <w:proofErr w:type="spellEnd"/>
      <w:r w:rsidRPr="00470758">
        <w:t xml:space="preserve"> sociálního vyloučení ve venkovských oblastech.“ Sociologický časopis 53 (1): 3-28.</w:t>
      </w:r>
    </w:p>
    <w:p w14:paraId="0B958BF3" w14:textId="77777777" w:rsidR="00470758" w:rsidRPr="00470758" w:rsidRDefault="00470758" w:rsidP="00470758">
      <w:pPr>
        <w:pStyle w:val="UZEINormaln"/>
      </w:pPr>
      <w:r w:rsidRPr="00470758">
        <w:t xml:space="preserve">Bošková, I. a kol. (2017). Přenos informací o výrobci a o výrobku napříč zemědělsko-potravinářskou vertikálou. Interní výzkumní projekt z roku 2017. ÚZEI. </w:t>
      </w:r>
    </w:p>
    <w:p w14:paraId="03269F01" w14:textId="77777777" w:rsidR="00470758" w:rsidRPr="00470758" w:rsidRDefault="00470758" w:rsidP="00470758">
      <w:pPr>
        <w:pStyle w:val="UZEINormaln"/>
      </w:pPr>
      <w:r w:rsidRPr="00470758">
        <w:t>EKOTOXA, IREAS (2016). Ex post hodnocení Programu rozvoje venkova za období 2007-2013. Závěrečná zpráva.</w:t>
      </w:r>
    </w:p>
    <w:p w14:paraId="7BAEA5E7" w14:textId="77777777" w:rsidR="00470758" w:rsidRPr="00470758" w:rsidRDefault="00470758" w:rsidP="00470758">
      <w:pPr>
        <w:pStyle w:val="UZEINormaln"/>
      </w:pPr>
      <w:r w:rsidRPr="00470758">
        <w:t>NAVIGA 4, EVALUATION ADVISORY CE (2020). Průběžné hodnocení k 31. 12. 2019. Hodnocení Programu rozvoje venkova na období 2014-2020.</w:t>
      </w:r>
    </w:p>
    <w:p w14:paraId="761F8621" w14:textId="77777777" w:rsidR="00470758" w:rsidRPr="00470758" w:rsidRDefault="00470758" w:rsidP="00470758">
      <w:pPr>
        <w:pStyle w:val="UZEINormaln"/>
      </w:pPr>
      <w:r w:rsidRPr="00470758">
        <w:t xml:space="preserve">MMR (2019). SRR21+ Strategie regionálního rozvoje ČR 2021+. </w:t>
      </w:r>
    </w:p>
    <w:p w14:paraId="32699075" w14:textId="77777777" w:rsidR="00470758" w:rsidRPr="00470758" w:rsidRDefault="00470758" w:rsidP="00470758">
      <w:pPr>
        <w:pStyle w:val="UZEINormaln"/>
      </w:pPr>
      <w:proofErr w:type="spellStart"/>
      <w:r w:rsidRPr="00470758">
        <w:t>MZe</w:t>
      </w:r>
      <w:proofErr w:type="spellEnd"/>
      <w:r w:rsidRPr="00470758">
        <w:t xml:space="preserve"> (2017). Podpora obslužnosti venkova.</w:t>
      </w:r>
    </w:p>
    <w:p w14:paraId="16D7A4B5" w14:textId="77777777" w:rsidR="00470758" w:rsidRPr="00470758" w:rsidRDefault="00470758" w:rsidP="00470758">
      <w:pPr>
        <w:pStyle w:val="UZEINormaln"/>
      </w:pPr>
      <w:proofErr w:type="spellStart"/>
      <w:r w:rsidRPr="00470758">
        <w:t>MZe</w:t>
      </w:r>
      <w:proofErr w:type="spellEnd"/>
      <w:r w:rsidRPr="00470758">
        <w:t xml:space="preserve"> (</w:t>
      </w:r>
      <w:proofErr w:type="gramStart"/>
      <w:r w:rsidRPr="00470758">
        <w:t>2019a</w:t>
      </w:r>
      <w:proofErr w:type="gramEnd"/>
      <w:r w:rsidRPr="00470758">
        <w:t>). Koncepce biohospodářství v České republice z pohledu resortu Ministerstva zemědělství na léta 2019-2024.</w:t>
      </w:r>
    </w:p>
    <w:p w14:paraId="69D6832D" w14:textId="77777777" w:rsidR="00470758" w:rsidRPr="00470758" w:rsidRDefault="00470758" w:rsidP="00470758">
      <w:pPr>
        <w:pStyle w:val="UZEINormaln"/>
      </w:pPr>
      <w:proofErr w:type="spellStart"/>
      <w:r w:rsidRPr="00470758">
        <w:t>MZe</w:t>
      </w:r>
      <w:proofErr w:type="spellEnd"/>
      <w:r w:rsidRPr="00470758">
        <w:t xml:space="preserve"> (</w:t>
      </w:r>
      <w:proofErr w:type="gramStart"/>
      <w:r w:rsidRPr="00470758">
        <w:t>2019b</w:t>
      </w:r>
      <w:proofErr w:type="gramEnd"/>
      <w:r w:rsidRPr="00470758">
        <w:t>). Zpráva o stavu lesa a lesního hospodářství České republiky za rok 2018</w:t>
      </w:r>
    </w:p>
    <w:p w14:paraId="657343DD" w14:textId="77777777" w:rsidR="00470758" w:rsidRPr="00470758" w:rsidRDefault="00470758" w:rsidP="00470758">
      <w:pPr>
        <w:pStyle w:val="UZEINormaln"/>
      </w:pPr>
      <w:r w:rsidRPr="00470758">
        <w:t xml:space="preserve">NS MAS ČR (2018). Analýza problémů venkova (z 23. 3. 2018). </w:t>
      </w:r>
    </w:p>
    <w:p w14:paraId="11FF726B" w14:textId="77777777" w:rsidR="00470758" w:rsidRPr="00470758" w:rsidRDefault="00470758" w:rsidP="00470758">
      <w:pPr>
        <w:pStyle w:val="UZEINormaln"/>
      </w:pPr>
      <w:r w:rsidRPr="00470758">
        <w:t>Musil, J., J. Müller. 2008. „Vnitřní periferie v České republice jako mechanismus sociální exkluze.“ Sociologický časopis 44 (2): 321-348.</w:t>
      </w:r>
    </w:p>
    <w:p w14:paraId="0FD53363" w14:textId="77777777" w:rsidR="00470758" w:rsidRPr="00470758" w:rsidRDefault="00470758" w:rsidP="00470758">
      <w:pPr>
        <w:pStyle w:val="UZEINormaln"/>
      </w:pPr>
      <w:r w:rsidRPr="00470758">
        <w:t xml:space="preserve">SZPI. (2016). Výzkum: český spotřebitel žádá stejně kvalitní potraviny jako evropský. On-line, </w:t>
      </w:r>
      <w:hyperlink r:id="rId10" w:history="1">
        <w:r w:rsidRPr="00470758">
          <w:rPr>
            <w:rStyle w:val="Hypertextovodkaz"/>
            <w:color w:val="auto"/>
            <w:u w:val="none"/>
          </w:rPr>
          <w:t>http://www.szpi.gov.cz/clanek/tz-2016-vyzkum-cesky-spotrebitel-zada-stejne-kvalitni-potraviny-jako-evropsky.aspx</w:t>
        </w:r>
      </w:hyperlink>
    </w:p>
    <w:p w14:paraId="40BED47D" w14:textId="77777777" w:rsidR="00470758" w:rsidRPr="00470758" w:rsidRDefault="00470758" w:rsidP="00470758">
      <w:pPr>
        <w:pStyle w:val="UZEINormaln"/>
      </w:pPr>
    </w:p>
    <w:p w14:paraId="611363B4" w14:textId="77777777" w:rsidR="00A14B9B" w:rsidRPr="002A0D4F" w:rsidRDefault="00A14B9B" w:rsidP="00005CD6">
      <w:pPr>
        <w:pStyle w:val="UZEINormaln"/>
        <w:rPr>
          <w:rFonts w:ascii="Arial" w:hAnsi="Arial" w:cs="Arial"/>
          <w:vanish/>
          <w:sz w:val="16"/>
          <w:szCs w:val="16"/>
        </w:rPr>
      </w:pPr>
      <w:r w:rsidRPr="002A0D4F">
        <w:rPr>
          <w:rFonts w:ascii="Arial" w:hAnsi="Arial" w:cs="Arial"/>
          <w:vanish/>
          <w:sz w:val="16"/>
          <w:szCs w:val="16"/>
        </w:rPr>
        <w:t>Začátek formuláře</w:t>
      </w:r>
    </w:p>
    <w:p w14:paraId="3FE4C908" w14:textId="77777777" w:rsidR="00A14B9B" w:rsidRPr="002A0D4F" w:rsidRDefault="00A14B9B" w:rsidP="00005CD6">
      <w:pPr>
        <w:pStyle w:val="UZEINormaln"/>
      </w:pPr>
    </w:p>
    <w:bookmarkEnd w:id="238"/>
    <w:bookmarkEnd w:id="239"/>
    <w:bookmarkEnd w:id="240"/>
    <w:p w14:paraId="36513308" w14:textId="3DE0F733" w:rsidR="00664ADF" w:rsidRPr="00664ADF" w:rsidRDefault="00664ADF" w:rsidP="0026782D">
      <w:pPr>
        <w:pStyle w:val="Obsah4"/>
        <w:rPr>
          <w:lang w:val="cs-CZ"/>
        </w:rPr>
      </w:pPr>
    </w:p>
    <w:p w14:paraId="4D4B0AD7" w14:textId="77777777" w:rsidR="009D49B6" w:rsidRDefault="009D49B6">
      <w:pPr>
        <w:spacing w:after="160" w:line="259" w:lineRule="auto"/>
        <w:jc w:val="left"/>
        <w:rPr>
          <w:rFonts w:eastAsiaTheme="majorEastAsia" w:cs="Times New Roman"/>
          <w:b/>
          <w:bCs/>
          <w:sz w:val="28"/>
          <w:szCs w:val="32"/>
          <w:lang w:val="cs-CZ"/>
        </w:rPr>
      </w:pPr>
      <w:bookmarkStart w:id="241" w:name="_Toc81757389"/>
      <w:bookmarkStart w:id="242" w:name="_Toc81815674"/>
      <w:bookmarkStart w:id="243" w:name="_Toc81816211"/>
      <w:r>
        <w:br w:type="page"/>
      </w:r>
    </w:p>
    <w:p w14:paraId="71C1FEA8" w14:textId="29FF29CF" w:rsidR="007A363D" w:rsidRDefault="007A363D" w:rsidP="007A363D">
      <w:pPr>
        <w:pStyle w:val="Nadpis1"/>
        <w:numPr>
          <w:ilvl w:val="0"/>
          <w:numId w:val="0"/>
        </w:numPr>
        <w:ind w:left="431" w:hanging="431"/>
      </w:pPr>
      <w:bookmarkStart w:id="244" w:name="_Toc81817306"/>
      <w:r>
        <w:lastRenderedPageBreak/>
        <w:t xml:space="preserve">Seznam </w:t>
      </w:r>
      <w:bookmarkEnd w:id="241"/>
      <w:r w:rsidR="00164B79">
        <w:t>tabulek</w:t>
      </w:r>
      <w:bookmarkEnd w:id="242"/>
      <w:bookmarkEnd w:id="243"/>
      <w:bookmarkEnd w:id="244"/>
    </w:p>
    <w:p w14:paraId="0F1D4D65" w14:textId="7AD7BB95" w:rsidR="00CA317E" w:rsidRDefault="00CA317E" w:rsidP="0026782D">
      <w:pPr>
        <w:pStyle w:val="Obsah4"/>
        <w:rPr>
          <w:rFonts w:asciiTheme="minorHAnsi" w:eastAsiaTheme="minorEastAsia" w:hAnsiTheme="minorHAnsi"/>
          <w:noProof/>
          <w:sz w:val="22"/>
          <w:szCs w:val="22"/>
          <w:lang w:val="cs-CZ" w:eastAsia="cs-CZ"/>
        </w:rPr>
      </w:pPr>
      <w:r>
        <w:rPr>
          <w:b/>
          <w:bCs/>
          <w:caps/>
          <w:szCs w:val="20"/>
          <w:lang w:val="cs-CZ"/>
        </w:rPr>
        <w:fldChar w:fldCharType="begin"/>
      </w:r>
      <w:r>
        <w:rPr>
          <w:b/>
          <w:bCs/>
          <w:caps/>
          <w:szCs w:val="20"/>
          <w:lang w:val="cs-CZ"/>
        </w:rPr>
        <w:instrText xml:space="preserve"> TOC \h \z \t "UZEI TaB;4" </w:instrText>
      </w:r>
      <w:r>
        <w:rPr>
          <w:b/>
          <w:bCs/>
          <w:caps/>
          <w:szCs w:val="20"/>
          <w:lang w:val="cs-CZ"/>
        </w:rPr>
        <w:fldChar w:fldCharType="separate"/>
      </w:r>
      <w:hyperlink w:anchor="_Toc81817509" w:history="1">
        <w:r w:rsidRPr="00F273A6">
          <w:rPr>
            <w:rStyle w:val="Hypertextovodkaz"/>
            <w:noProof/>
          </w:rPr>
          <w:t>Tabulka 1</w:t>
        </w:r>
        <w:r>
          <w:rPr>
            <w:rFonts w:asciiTheme="minorHAnsi" w:eastAsiaTheme="minorEastAsia" w:hAnsiTheme="minorHAnsi"/>
            <w:noProof/>
            <w:sz w:val="22"/>
            <w:szCs w:val="22"/>
            <w:lang w:val="cs-CZ" w:eastAsia="cs-CZ"/>
          </w:rPr>
          <w:tab/>
        </w:r>
        <w:r w:rsidRPr="00F273A6">
          <w:rPr>
            <w:rStyle w:val="Hypertextovodkaz"/>
            <w:noProof/>
          </w:rPr>
          <w:t>Výsledkové indikátory R 22/T21, R 24/T23 a podíl výdajů na celkových výdajích (M19)</w:t>
        </w:r>
        <w:r>
          <w:rPr>
            <w:noProof/>
            <w:webHidden/>
          </w:rPr>
          <w:tab/>
        </w:r>
        <w:r>
          <w:rPr>
            <w:noProof/>
            <w:webHidden/>
          </w:rPr>
          <w:fldChar w:fldCharType="begin"/>
        </w:r>
        <w:r>
          <w:rPr>
            <w:noProof/>
            <w:webHidden/>
          </w:rPr>
          <w:instrText xml:space="preserve"> PAGEREF _Toc81817509 \h </w:instrText>
        </w:r>
        <w:r>
          <w:rPr>
            <w:noProof/>
            <w:webHidden/>
          </w:rPr>
        </w:r>
        <w:r>
          <w:rPr>
            <w:noProof/>
            <w:webHidden/>
          </w:rPr>
          <w:fldChar w:fldCharType="separate"/>
        </w:r>
        <w:r>
          <w:rPr>
            <w:noProof/>
            <w:webHidden/>
          </w:rPr>
          <w:t>17</w:t>
        </w:r>
        <w:r>
          <w:rPr>
            <w:noProof/>
            <w:webHidden/>
          </w:rPr>
          <w:fldChar w:fldCharType="end"/>
        </w:r>
      </w:hyperlink>
    </w:p>
    <w:p w14:paraId="722ED5E8" w14:textId="376C075E" w:rsidR="00CA317E" w:rsidRDefault="003A4538" w:rsidP="0026782D">
      <w:pPr>
        <w:pStyle w:val="Obsah4"/>
        <w:rPr>
          <w:rFonts w:asciiTheme="minorHAnsi" w:eastAsiaTheme="minorEastAsia" w:hAnsiTheme="minorHAnsi"/>
          <w:noProof/>
          <w:sz w:val="22"/>
          <w:szCs w:val="22"/>
          <w:lang w:val="cs-CZ" w:eastAsia="cs-CZ"/>
        </w:rPr>
      </w:pPr>
      <w:hyperlink w:anchor="_Toc81817510" w:history="1">
        <w:r w:rsidR="00CA317E" w:rsidRPr="00F273A6">
          <w:rPr>
            <w:rStyle w:val="Hypertextovodkaz"/>
            <w:noProof/>
          </w:rPr>
          <w:t>Tabulka 2</w:t>
        </w:r>
        <w:r w:rsidR="00CA317E">
          <w:rPr>
            <w:rFonts w:asciiTheme="minorHAnsi" w:eastAsiaTheme="minorEastAsia" w:hAnsiTheme="minorHAnsi"/>
            <w:noProof/>
            <w:sz w:val="22"/>
            <w:szCs w:val="22"/>
            <w:lang w:val="cs-CZ" w:eastAsia="cs-CZ"/>
          </w:rPr>
          <w:tab/>
        </w:r>
        <w:r w:rsidR="00CA317E" w:rsidRPr="00F273A6">
          <w:rPr>
            <w:rStyle w:val="Hypertextovodkaz"/>
            <w:noProof/>
          </w:rPr>
          <w:t>Počet venkovských obcí a obyvatel podle velikostních kategorií obcí v ČR ve vybraných letech</w:t>
        </w:r>
        <w:r w:rsidR="00CA317E">
          <w:rPr>
            <w:noProof/>
            <w:webHidden/>
          </w:rPr>
          <w:tab/>
        </w:r>
        <w:r w:rsidR="00CA317E">
          <w:rPr>
            <w:noProof/>
            <w:webHidden/>
          </w:rPr>
          <w:fldChar w:fldCharType="begin"/>
        </w:r>
        <w:r w:rsidR="00CA317E">
          <w:rPr>
            <w:noProof/>
            <w:webHidden/>
          </w:rPr>
          <w:instrText xml:space="preserve"> PAGEREF _Toc81817510 \h </w:instrText>
        </w:r>
        <w:r w:rsidR="00CA317E">
          <w:rPr>
            <w:noProof/>
            <w:webHidden/>
          </w:rPr>
        </w:r>
        <w:r w:rsidR="00CA317E">
          <w:rPr>
            <w:noProof/>
            <w:webHidden/>
          </w:rPr>
          <w:fldChar w:fldCharType="separate"/>
        </w:r>
        <w:r w:rsidR="00CA317E">
          <w:rPr>
            <w:noProof/>
            <w:webHidden/>
          </w:rPr>
          <w:t>44</w:t>
        </w:r>
        <w:r w:rsidR="00CA317E">
          <w:rPr>
            <w:noProof/>
            <w:webHidden/>
          </w:rPr>
          <w:fldChar w:fldCharType="end"/>
        </w:r>
      </w:hyperlink>
    </w:p>
    <w:p w14:paraId="09D12AA8" w14:textId="31F6691D" w:rsidR="00CA317E" w:rsidRDefault="003A4538" w:rsidP="0026782D">
      <w:pPr>
        <w:pStyle w:val="Obsah4"/>
        <w:rPr>
          <w:rFonts w:asciiTheme="minorHAnsi" w:eastAsiaTheme="minorEastAsia" w:hAnsiTheme="minorHAnsi"/>
          <w:noProof/>
          <w:sz w:val="22"/>
          <w:szCs w:val="22"/>
          <w:lang w:val="cs-CZ" w:eastAsia="cs-CZ"/>
        </w:rPr>
      </w:pPr>
      <w:hyperlink w:anchor="_Toc81817511" w:history="1">
        <w:r w:rsidR="00CA317E" w:rsidRPr="00F273A6">
          <w:rPr>
            <w:rStyle w:val="Hypertextovodkaz"/>
            <w:noProof/>
          </w:rPr>
          <w:t>Tabulka 3</w:t>
        </w:r>
        <w:r w:rsidR="00CA317E">
          <w:rPr>
            <w:rFonts w:asciiTheme="minorHAnsi" w:eastAsiaTheme="minorEastAsia" w:hAnsiTheme="minorHAnsi"/>
            <w:noProof/>
            <w:sz w:val="22"/>
            <w:szCs w:val="22"/>
            <w:lang w:val="cs-CZ" w:eastAsia="cs-CZ"/>
          </w:rPr>
          <w:tab/>
        </w:r>
        <w:r w:rsidR="00CA317E" w:rsidRPr="00F273A6">
          <w:rPr>
            <w:rStyle w:val="Hypertextovodkaz"/>
            <w:noProof/>
          </w:rPr>
          <w:t>Vývoj výměr zemědělského půdního fondu a ostatních kultur od roku 2004 do současnosti (ha)</w:t>
        </w:r>
        <w:r w:rsidR="00CA317E">
          <w:rPr>
            <w:noProof/>
            <w:webHidden/>
          </w:rPr>
          <w:tab/>
        </w:r>
        <w:r w:rsidR="00CA317E">
          <w:rPr>
            <w:noProof/>
            <w:webHidden/>
          </w:rPr>
          <w:fldChar w:fldCharType="begin"/>
        </w:r>
        <w:r w:rsidR="00CA317E">
          <w:rPr>
            <w:noProof/>
            <w:webHidden/>
          </w:rPr>
          <w:instrText xml:space="preserve"> PAGEREF _Toc81817511 \h </w:instrText>
        </w:r>
        <w:r w:rsidR="00CA317E">
          <w:rPr>
            <w:noProof/>
            <w:webHidden/>
          </w:rPr>
        </w:r>
        <w:r w:rsidR="00CA317E">
          <w:rPr>
            <w:noProof/>
            <w:webHidden/>
          </w:rPr>
          <w:fldChar w:fldCharType="separate"/>
        </w:r>
        <w:r w:rsidR="00CA317E">
          <w:rPr>
            <w:noProof/>
            <w:webHidden/>
          </w:rPr>
          <w:t>55</w:t>
        </w:r>
        <w:r w:rsidR="00CA317E">
          <w:rPr>
            <w:noProof/>
            <w:webHidden/>
          </w:rPr>
          <w:fldChar w:fldCharType="end"/>
        </w:r>
      </w:hyperlink>
    </w:p>
    <w:p w14:paraId="385E2ECC" w14:textId="62B2471A" w:rsidR="00CA317E" w:rsidRDefault="003A4538" w:rsidP="0026782D">
      <w:pPr>
        <w:pStyle w:val="Obsah4"/>
        <w:rPr>
          <w:rFonts w:asciiTheme="minorHAnsi" w:eastAsiaTheme="minorEastAsia" w:hAnsiTheme="minorHAnsi"/>
          <w:noProof/>
          <w:sz w:val="22"/>
          <w:szCs w:val="22"/>
          <w:lang w:val="cs-CZ" w:eastAsia="cs-CZ"/>
        </w:rPr>
      </w:pPr>
      <w:hyperlink w:anchor="_Toc81817512" w:history="1">
        <w:r w:rsidR="00CA317E" w:rsidRPr="00F273A6">
          <w:rPr>
            <w:rStyle w:val="Hypertextovodkaz"/>
            <w:noProof/>
          </w:rPr>
          <w:t>Tabulka 4</w:t>
        </w:r>
        <w:r w:rsidR="00CA317E">
          <w:rPr>
            <w:rFonts w:asciiTheme="minorHAnsi" w:eastAsiaTheme="minorEastAsia" w:hAnsiTheme="minorHAnsi"/>
            <w:noProof/>
            <w:sz w:val="22"/>
            <w:szCs w:val="22"/>
            <w:lang w:val="cs-CZ" w:eastAsia="cs-CZ"/>
          </w:rPr>
          <w:tab/>
        </w:r>
        <w:r w:rsidR="00CA317E" w:rsidRPr="00F273A6">
          <w:rPr>
            <w:rStyle w:val="Hypertextovodkaz"/>
            <w:noProof/>
          </w:rPr>
          <w:t>Způsob využití pozemků klasifikovaných jako druh "ostatní plocha" k 31.12.2017</w:t>
        </w:r>
        <w:r w:rsidR="00CA317E">
          <w:rPr>
            <w:noProof/>
            <w:webHidden/>
          </w:rPr>
          <w:tab/>
        </w:r>
        <w:r w:rsidR="00CA317E">
          <w:rPr>
            <w:noProof/>
            <w:webHidden/>
          </w:rPr>
          <w:fldChar w:fldCharType="begin"/>
        </w:r>
        <w:r w:rsidR="00CA317E">
          <w:rPr>
            <w:noProof/>
            <w:webHidden/>
          </w:rPr>
          <w:instrText xml:space="preserve"> PAGEREF _Toc81817512 \h </w:instrText>
        </w:r>
        <w:r w:rsidR="00CA317E">
          <w:rPr>
            <w:noProof/>
            <w:webHidden/>
          </w:rPr>
        </w:r>
        <w:r w:rsidR="00CA317E">
          <w:rPr>
            <w:noProof/>
            <w:webHidden/>
          </w:rPr>
          <w:fldChar w:fldCharType="separate"/>
        </w:r>
        <w:r w:rsidR="00CA317E">
          <w:rPr>
            <w:noProof/>
            <w:webHidden/>
          </w:rPr>
          <w:t>57</w:t>
        </w:r>
        <w:r w:rsidR="00CA317E">
          <w:rPr>
            <w:noProof/>
            <w:webHidden/>
          </w:rPr>
          <w:fldChar w:fldCharType="end"/>
        </w:r>
      </w:hyperlink>
    </w:p>
    <w:p w14:paraId="103611B1" w14:textId="13D30758" w:rsidR="00CA317E" w:rsidRDefault="003A4538" w:rsidP="0026782D">
      <w:pPr>
        <w:pStyle w:val="Obsah4"/>
        <w:rPr>
          <w:rFonts w:asciiTheme="minorHAnsi" w:eastAsiaTheme="minorEastAsia" w:hAnsiTheme="minorHAnsi"/>
          <w:noProof/>
          <w:sz w:val="22"/>
          <w:szCs w:val="22"/>
          <w:lang w:val="cs-CZ" w:eastAsia="cs-CZ"/>
        </w:rPr>
      </w:pPr>
      <w:hyperlink w:anchor="_Toc81817513" w:history="1">
        <w:r w:rsidR="00CA317E" w:rsidRPr="00F273A6">
          <w:rPr>
            <w:rStyle w:val="Hypertextovodkaz"/>
            <w:rFonts w:eastAsiaTheme="majorEastAsia"/>
            <w:noProof/>
          </w:rPr>
          <w:t>Tabulka 5</w:t>
        </w:r>
        <w:r w:rsidR="00CA317E">
          <w:rPr>
            <w:rFonts w:asciiTheme="minorHAnsi" w:eastAsiaTheme="minorEastAsia" w:hAnsiTheme="minorHAnsi"/>
            <w:noProof/>
            <w:sz w:val="22"/>
            <w:szCs w:val="22"/>
            <w:lang w:val="cs-CZ" w:eastAsia="cs-CZ"/>
          </w:rPr>
          <w:tab/>
        </w:r>
        <w:r w:rsidR="00CA317E" w:rsidRPr="00F273A6">
          <w:rPr>
            <w:rStyle w:val="Hypertextovodkaz"/>
            <w:rFonts w:eastAsiaTheme="majorEastAsia"/>
            <w:noProof/>
          </w:rPr>
          <w:t>Vývoj HDP v cenách předchozího roku v krajích ČR v letech 2009–2019 v mil. Kč</w:t>
        </w:r>
        <w:r w:rsidR="00CA317E">
          <w:rPr>
            <w:noProof/>
            <w:webHidden/>
          </w:rPr>
          <w:tab/>
        </w:r>
        <w:r w:rsidR="00CA317E">
          <w:rPr>
            <w:noProof/>
            <w:webHidden/>
          </w:rPr>
          <w:fldChar w:fldCharType="begin"/>
        </w:r>
        <w:r w:rsidR="00CA317E">
          <w:rPr>
            <w:noProof/>
            <w:webHidden/>
          </w:rPr>
          <w:instrText xml:space="preserve"> PAGEREF _Toc81817513 \h </w:instrText>
        </w:r>
        <w:r w:rsidR="00CA317E">
          <w:rPr>
            <w:noProof/>
            <w:webHidden/>
          </w:rPr>
        </w:r>
        <w:r w:rsidR="00CA317E">
          <w:rPr>
            <w:noProof/>
            <w:webHidden/>
          </w:rPr>
          <w:fldChar w:fldCharType="separate"/>
        </w:r>
        <w:r w:rsidR="00CA317E">
          <w:rPr>
            <w:noProof/>
            <w:webHidden/>
          </w:rPr>
          <w:t>58</w:t>
        </w:r>
        <w:r w:rsidR="00CA317E">
          <w:rPr>
            <w:noProof/>
            <w:webHidden/>
          </w:rPr>
          <w:fldChar w:fldCharType="end"/>
        </w:r>
      </w:hyperlink>
    </w:p>
    <w:p w14:paraId="05517504" w14:textId="18E9C4F5" w:rsidR="00CA317E" w:rsidRDefault="003A4538" w:rsidP="0026782D">
      <w:pPr>
        <w:pStyle w:val="Obsah4"/>
        <w:rPr>
          <w:rFonts w:asciiTheme="minorHAnsi" w:eastAsiaTheme="minorEastAsia" w:hAnsiTheme="minorHAnsi"/>
          <w:noProof/>
          <w:sz w:val="22"/>
          <w:szCs w:val="22"/>
          <w:lang w:val="cs-CZ" w:eastAsia="cs-CZ"/>
        </w:rPr>
      </w:pPr>
      <w:hyperlink w:anchor="_Toc81817514" w:history="1">
        <w:r w:rsidR="00CA317E" w:rsidRPr="00F273A6">
          <w:rPr>
            <w:rStyle w:val="Hypertextovodkaz"/>
            <w:rFonts w:eastAsiaTheme="majorEastAsia"/>
            <w:noProof/>
          </w:rPr>
          <w:t>Tabulka 6</w:t>
        </w:r>
        <w:r w:rsidR="00CA317E">
          <w:rPr>
            <w:rFonts w:asciiTheme="minorHAnsi" w:eastAsiaTheme="minorEastAsia" w:hAnsiTheme="minorHAnsi"/>
            <w:noProof/>
            <w:sz w:val="22"/>
            <w:szCs w:val="22"/>
            <w:lang w:val="cs-CZ" w:eastAsia="cs-CZ"/>
          </w:rPr>
          <w:tab/>
        </w:r>
        <w:r w:rsidR="00CA317E" w:rsidRPr="00F273A6">
          <w:rPr>
            <w:rStyle w:val="Hypertextovodkaz"/>
            <w:rFonts w:eastAsiaTheme="majorEastAsia"/>
            <w:noProof/>
          </w:rPr>
          <w:t>Vývoj podílu HDP v cenách předchozího roku dle typologie městských a venkovských regionů (NUTS3) na celkovém HDP v ČR v letech 2009-2019 (%)</w:t>
        </w:r>
        <w:r w:rsidR="00CA317E">
          <w:rPr>
            <w:noProof/>
            <w:webHidden/>
          </w:rPr>
          <w:tab/>
        </w:r>
        <w:r w:rsidR="00CA317E">
          <w:rPr>
            <w:noProof/>
            <w:webHidden/>
          </w:rPr>
          <w:fldChar w:fldCharType="begin"/>
        </w:r>
        <w:r w:rsidR="00CA317E">
          <w:rPr>
            <w:noProof/>
            <w:webHidden/>
          </w:rPr>
          <w:instrText xml:space="preserve"> PAGEREF _Toc81817514 \h </w:instrText>
        </w:r>
        <w:r w:rsidR="00CA317E">
          <w:rPr>
            <w:noProof/>
            <w:webHidden/>
          </w:rPr>
        </w:r>
        <w:r w:rsidR="00CA317E">
          <w:rPr>
            <w:noProof/>
            <w:webHidden/>
          </w:rPr>
          <w:fldChar w:fldCharType="separate"/>
        </w:r>
        <w:r w:rsidR="00CA317E">
          <w:rPr>
            <w:noProof/>
            <w:webHidden/>
          </w:rPr>
          <w:t>59</w:t>
        </w:r>
        <w:r w:rsidR="00CA317E">
          <w:rPr>
            <w:noProof/>
            <w:webHidden/>
          </w:rPr>
          <w:fldChar w:fldCharType="end"/>
        </w:r>
      </w:hyperlink>
    </w:p>
    <w:p w14:paraId="2102D965" w14:textId="367E1E29" w:rsidR="00CA317E" w:rsidRDefault="003A4538" w:rsidP="0026782D">
      <w:pPr>
        <w:pStyle w:val="Obsah4"/>
        <w:rPr>
          <w:rFonts w:asciiTheme="minorHAnsi" w:eastAsiaTheme="minorEastAsia" w:hAnsiTheme="minorHAnsi"/>
          <w:noProof/>
          <w:sz w:val="22"/>
          <w:szCs w:val="22"/>
          <w:lang w:val="cs-CZ" w:eastAsia="cs-CZ"/>
        </w:rPr>
      </w:pPr>
      <w:hyperlink w:anchor="_Toc81817515" w:history="1">
        <w:r w:rsidR="00CA317E" w:rsidRPr="00F273A6">
          <w:rPr>
            <w:rStyle w:val="Hypertextovodkaz"/>
            <w:rFonts w:eastAsiaTheme="majorEastAsia"/>
            <w:noProof/>
          </w:rPr>
          <w:t>Tabulka 7</w:t>
        </w:r>
        <w:r w:rsidR="00CA317E">
          <w:rPr>
            <w:rFonts w:asciiTheme="minorHAnsi" w:eastAsiaTheme="minorEastAsia" w:hAnsiTheme="minorHAnsi"/>
            <w:noProof/>
            <w:sz w:val="22"/>
            <w:szCs w:val="22"/>
            <w:lang w:val="cs-CZ" w:eastAsia="cs-CZ"/>
          </w:rPr>
          <w:tab/>
        </w:r>
        <w:r w:rsidR="00CA317E" w:rsidRPr="00F273A6">
          <w:rPr>
            <w:rStyle w:val="Hypertextovodkaz"/>
            <w:rFonts w:eastAsiaTheme="majorEastAsia"/>
            <w:noProof/>
          </w:rPr>
          <w:t>Hrubý domácí produkt na 1 obyvatele ve standardu kupní síly (PPS) v letech 2009–2019 dle typologie městských a venkovských regionů (NUTS3). (V %; EU 28 = 100 %)</w:t>
        </w:r>
        <w:r w:rsidR="00CA317E">
          <w:rPr>
            <w:noProof/>
            <w:webHidden/>
          </w:rPr>
          <w:tab/>
        </w:r>
        <w:r w:rsidR="00CA317E">
          <w:rPr>
            <w:noProof/>
            <w:webHidden/>
          </w:rPr>
          <w:fldChar w:fldCharType="begin"/>
        </w:r>
        <w:r w:rsidR="00CA317E">
          <w:rPr>
            <w:noProof/>
            <w:webHidden/>
          </w:rPr>
          <w:instrText xml:space="preserve"> PAGEREF _Toc81817515 \h </w:instrText>
        </w:r>
        <w:r w:rsidR="00CA317E">
          <w:rPr>
            <w:noProof/>
            <w:webHidden/>
          </w:rPr>
        </w:r>
        <w:r w:rsidR="00CA317E">
          <w:rPr>
            <w:noProof/>
            <w:webHidden/>
          </w:rPr>
          <w:fldChar w:fldCharType="separate"/>
        </w:r>
        <w:r w:rsidR="00CA317E">
          <w:rPr>
            <w:noProof/>
            <w:webHidden/>
          </w:rPr>
          <w:t>60</w:t>
        </w:r>
        <w:r w:rsidR="00CA317E">
          <w:rPr>
            <w:noProof/>
            <w:webHidden/>
          </w:rPr>
          <w:fldChar w:fldCharType="end"/>
        </w:r>
      </w:hyperlink>
    </w:p>
    <w:p w14:paraId="055AC15A" w14:textId="412F72DE" w:rsidR="00CA317E" w:rsidRDefault="003A4538" w:rsidP="0026782D">
      <w:pPr>
        <w:pStyle w:val="Obsah4"/>
        <w:rPr>
          <w:rFonts w:asciiTheme="minorHAnsi" w:eastAsiaTheme="minorEastAsia" w:hAnsiTheme="minorHAnsi"/>
          <w:noProof/>
          <w:sz w:val="22"/>
          <w:szCs w:val="22"/>
          <w:lang w:val="cs-CZ" w:eastAsia="cs-CZ"/>
        </w:rPr>
      </w:pPr>
      <w:hyperlink w:anchor="_Toc81817516" w:history="1">
        <w:r w:rsidR="00CA317E" w:rsidRPr="00F273A6">
          <w:rPr>
            <w:rStyle w:val="Hypertextovodkaz"/>
            <w:rFonts w:eastAsiaTheme="majorEastAsia"/>
            <w:noProof/>
          </w:rPr>
          <w:t>Tabulka 8</w:t>
        </w:r>
        <w:r w:rsidR="00CA317E">
          <w:rPr>
            <w:rFonts w:asciiTheme="minorHAnsi" w:eastAsiaTheme="minorEastAsia" w:hAnsiTheme="minorHAnsi"/>
            <w:noProof/>
            <w:sz w:val="22"/>
            <w:szCs w:val="22"/>
            <w:lang w:val="cs-CZ" w:eastAsia="cs-CZ"/>
          </w:rPr>
          <w:tab/>
        </w:r>
        <w:r w:rsidR="00CA317E" w:rsidRPr="00F273A6">
          <w:rPr>
            <w:rStyle w:val="Hypertextovodkaz"/>
            <w:rFonts w:eastAsiaTheme="majorEastAsia"/>
            <w:noProof/>
          </w:rPr>
          <w:t>Vývoj HDP na obyvatele v běžných cenách dle typologie městských a venkovských regionů (NUTS3) v letech 2009-2019 v tis. Kč</w:t>
        </w:r>
        <w:r w:rsidR="00CA317E">
          <w:rPr>
            <w:noProof/>
            <w:webHidden/>
          </w:rPr>
          <w:tab/>
        </w:r>
        <w:r w:rsidR="00CA317E">
          <w:rPr>
            <w:noProof/>
            <w:webHidden/>
          </w:rPr>
          <w:fldChar w:fldCharType="begin"/>
        </w:r>
        <w:r w:rsidR="00CA317E">
          <w:rPr>
            <w:noProof/>
            <w:webHidden/>
          </w:rPr>
          <w:instrText xml:space="preserve"> PAGEREF _Toc81817516 \h </w:instrText>
        </w:r>
        <w:r w:rsidR="00CA317E">
          <w:rPr>
            <w:noProof/>
            <w:webHidden/>
          </w:rPr>
        </w:r>
        <w:r w:rsidR="00CA317E">
          <w:rPr>
            <w:noProof/>
            <w:webHidden/>
          </w:rPr>
          <w:fldChar w:fldCharType="separate"/>
        </w:r>
        <w:r w:rsidR="00CA317E">
          <w:rPr>
            <w:noProof/>
            <w:webHidden/>
          </w:rPr>
          <w:t>62</w:t>
        </w:r>
        <w:r w:rsidR="00CA317E">
          <w:rPr>
            <w:noProof/>
            <w:webHidden/>
          </w:rPr>
          <w:fldChar w:fldCharType="end"/>
        </w:r>
      </w:hyperlink>
    </w:p>
    <w:p w14:paraId="05B83C04" w14:textId="62135C42" w:rsidR="00CA317E" w:rsidRDefault="003A4538" w:rsidP="0026782D">
      <w:pPr>
        <w:pStyle w:val="Obsah4"/>
        <w:rPr>
          <w:rFonts w:asciiTheme="minorHAnsi" w:eastAsiaTheme="minorEastAsia" w:hAnsiTheme="minorHAnsi"/>
          <w:noProof/>
          <w:sz w:val="22"/>
          <w:szCs w:val="22"/>
          <w:lang w:val="cs-CZ" w:eastAsia="cs-CZ"/>
        </w:rPr>
      </w:pPr>
      <w:hyperlink w:anchor="_Toc81817517" w:history="1">
        <w:r w:rsidR="00CA317E" w:rsidRPr="00F273A6">
          <w:rPr>
            <w:rStyle w:val="Hypertextovodkaz"/>
            <w:rFonts w:eastAsiaTheme="majorEastAsia"/>
            <w:noProof/>
          </w:rPr>
          <w:t>Tabulka 9</w:t>
        </w:r>
        <w:r w:rsidR="00CA317E">
          <w:rPr>
            <w:rFonts w:asciiTheme="minorHAnsi" w:eastAsiaTheme="minorEastAsia" w:hAnsiTheme="minorHAnsi"/>
            <w:noProof/>
            <w:sz w:val="22"/>
            <w:szCs w:val="22"/>
            <w:lang w:val="cs-CZ" w:eastAsia="cs-CZ"/>
          </w:rPr>
          <w:tab/>
        </w:r>
        <w:r w:rsidR="00CA317E" w:rsidRPr="00F273A6">
          <w:rPr>
            <w:rStyle w:val="Hypertextovodkaz"/>
            <w:rFonts w:eastAsiaTheme="majorEastAsia"/>
            <w:noProof/>
          </w:rPr>
          <w:t>Podíly hrubé přidané hodnoty v sektorech na celkové hrubé přidané hodnotě v NH dle typologie městských a venkovských regionů (NUTS3) v letech 2009–2019 (%).</w:t>
        </w:r>
        <w:r w:rsidR="00CA317E">
          <w:rPr>
            <w:noProof/>
            <w:webHidden/>
          </w:rPr>
          <w:tab/>
        </w:r>
        <w:r w:rsidR="00CA317E">
          <w:rPr>
            <w:noProof/>
            <w:webHidden/>
          </w:rPr>
          <w:fldChar w:fldCharType="begin"/>
        </w:r>
        <w:r w:rsidR="00CA317E">
          <w:rPr>
            <w:noProof/>
            <w:webHidden/>
          </w:rPr>
          <w:instrText xml:space="preserve"> PAGEREF _Toc81817517 \h </w:instrText>
        </w:r>
        <w:r w:rsidR="00CA317E">
          <w:rPr>
            <w:noProof/>
            <w:webHidden/>
          </w:rPr>
        </w:r>
        <w:r w:rsidR="00CA317E">
          <w:rPr>
            <w:noProof/>
            <w:webHidden/>
          </w:rPr>
          <w:fldChar w:fldCharType="separate"/>
        </w:r>
        <w:r w:rsidR="00CA317E">
          <w:rPr>
            <w:noProof/>
            <w:webHidden/>
          </w:rPr>
          <w:t>64</w:t>
        </w:r>
        <w:r w:rsidR="00CA317E">
          <w:rPr>
            <w:noProof/>
            <w:webHidden/>
          </w:rPr>
          <w:fldChar w:fldCharType="end"/>
        </w:r>
      </w:hyperlink>
    </w:p>
    <w:p w14:paraId="07E32047" w14:textId="633A75DF" w:rsidR="00CA317E" w:rsidRDefault="003A4538" w:rsidP="0026782D">
      <w:pPr>
        <w:pStyle w:val="Obsah4"/>
        <w:rPr>
          <w:rFonts w:asciiTheme="minorHAnsi" w:eastAsiaTheme="minorEastAsia" w:hAnsiTheme="minorHAnsi"/>
          <w:noProof/>
          <w:sz w:val="22"/>
          <w:szCs w:val="22"/>
          <w:lang w:val="cs-CZ" w:eastAsia="cs-CZ"/>
        </w:rPr>
      </w:pPr>
      <w:hyperlink w:anchor="_Toc81817518" w:history="1">
        <w:r w:rsidR="00CA317E" w:rsidRPr="00F273A6">
          <w:rPr>
            <w:rStyle w:val="Hypertextovodkaz"/>
            <w:rFonts w:eastAsiaTheme="majorEastAsia"/>
            <w:noProof/>
          </w:rPr>
          <w:t>Tabulka 10</w:t>
        </w:r>
        <w:r w:rsidR="00CA317E">
          <w:rPr>
            <w:rFonts w:asciiTheme="minorHAnsi" w:eastAsiaTheme="minorEastAsia" w:hAnsiTheme="minorHAnsi"/>
            <w:noProof/>
            <w:sz w:val="22"/>
            <w:szCs w:val="22"/>
            <w:lang w:val="cs-CZ" w:eastAsia="cs-CZ"/>
          </w:rPr>
          <w:tab/>
        </w:r>
        <w:r w:rsidR="00CA317E" w:rsidRPr="00F273A6">
          <w:rPr>
            <w:rStyle w:val="Hypertextovodkaz"/>
            <w:rFonts w:eastAsiaTheme="majorEastAsia"/>
            <w:noProof/>
          </w:rPr>
          <w:t>Počet mikropodniků na 1 000 obyv. v krajích ČR k 31. 12. 2018</w:t>
        </w:r>
        <w:r w:rsidR="00CA317E">
          <w:rPr>
            <w:noProof/>
            <w:webHidden/>
          </w:rPr>
          <w:tab/>
        </w:r>
        <w:r w:rsidR="00CA317E">
          <w:rPr>
            <w:noProof/>
            <w:webHidden/>
          </w:rPr>
          <w:fldChar w:fldCharType="begin"/>
        </w:r>
        <w:r w:rsidR="00CA317E">
          <w:rPr>
            <w:noProof/>
            <w:webHidden/>
          </w:rPr>
          <w:instrText xml:space="preserve"> PAGEREF _Toc81817518 \h </w:instrText>
        </w:r>
        <w:r w:rsidR="00CA317E">
          <w:rPr>
            <w:noProof/>
            <w:webHidden/>
          </w:rPr>
        </w:r>
        <w:r w:rsidR="00CA317E">
          <w:rPr>
            <w:noProof/>
            <w:webHidden/>
          </w:rPr>
          <w:fldChar w:fldCharType="separate"/>
        </w:r>
        <w:r w:rsidR="00CA317E">
          <w:rPr>
            <w:noProof/>
            <w:webHidden/>
          </w:rPr>
          <w:t>67</w:t>
        </w:r>
        <w:r w:rsidR="00CA317E">
          <w:rPr>
            <w:noProof/>
            <w:webHidden/>
          </w:rPr>
          <w:fldChar w:fldCharType="end"/>
        </w:r>
      </w:hyperlink>
    </w:p>
    <w:p w14:paraId="2F59E776" w14:textId="25AC5CCB" w:rsidR="00CA317E" w:rsidRDefault="003A4538" w:rsidP="0026782D">
      <w:pPr>
        <w:pStyle w:val="Obsah4"/>
        <w:rPr>
          <w:rFonts w:asciiTheme="minorHAnsi" w:eastAsiaTheme="minorEastAsia" w:hAnsiTheme="minorHAnsi"/>
          <w:noProof/>
          <w:sz w:val="22"/>
          <w:szCs w:val="22"/>
          <w:lang w:val="cs-CZ" w:eastAsia="cs-CZ"/>
        </w:rPr>
      </w:pPr>
      <w:hyperlink w:anchor="_Toc81817519" w:history="1">
        <w:r w:rsidR="00CA317E" w:rsidRPr="00F273A6">
          <w:rPr>
            <w:rStyle w:val="Hypertextovodkaz"/>
            <w:noProof/>
          </w:rPr>
          <w:t>Tabulka 11</w:t>
        </w:r>
        <w:r w:rsidR="00CA317E">
          <w:rPr>
            <w:rFonts w:asciiTheme="minorHAnsi" w:eastAsiaTheme="minorEastAsia" w:hAnsiTheme="minorHAnsi"/>
            <w:noProof/>
            <w:sz w:val="22"/>
            <w:szCs w:val="22"/>
            <w:lang w:val="cs-CZ" w:eastAsia="cs-CZ"/>
          </w:rPr>
          <w:tab/>
        </w:r>
        <w:r w:rsidR="00CA317E" w:rsidRPr="00F273A6">
          <w:rPr>
            <w:rStyle w:val="Hypertextovodkaz"/>
            <w:rFonts w:eastAsia="Calibri"/>
            <w:noProof/>
          </w:rPr>
          <w:t>Venkovské oblasti dle podnikatelské struktury s ohledem na odvětví</w:t>
        </w:r>
        <w:r w:rsidR="00CA317E">
          <w:rPr>
            <w:noProof/>
            <w:webHidden/>
          </w:rPr>
          <w:tab/>
        </w:r>
        <w:r w:rsidR="00CA317E">
          <w:rPr>
            <w:noProof/>
            <w:webHidden/>
          </w:rPr>
          <w:fldChar w:fldCharType="begin"/>
        </w:r>
        <w:r w:rsidR="00CA317E">
          <w:rPr>
            <w:noProof/>
            <w:webHidden/>
          </w:rPr>
          <w:instrText xml:space="preserve"> PAGEREF _Toc81817519 \h </w:instrText>
        </w:r>
        <w:r w:rsidR="00CA317E">
          <w:rPr>
            <w:noProof/>
            <w:webHidden/>
          </w:rPr>
        </w:r>
        <w:r w:rsidR="00CA317E">
          <w:rPr>
            <w:noProof/>
            <w:webHidden/>
          </w:rPr>
          <w:fldChar w:fldCharType="separate"/>
        </w:r>
        <w:r w:rsidR="00CA317E">
          <w:rPr>
            <w:noProof/>
            <w:webHidden/>
          </w:rPr>
          <w:t>71</w:t>
        </w:r>
        <w:r w:rsidR="00CA317E">
          <w:rPr>
            <w:noProof/>
            <w:webHidden/>
          </w:rPr>
          <w:fldChar w:fldCharType="end"/>
        </w:r>
      </w:hyperlink>
    </w:p>
    <w:p w14:paraId="27115F07" w14:textId="739DC451" w:rsidR="00CA317E" w:rsidRDefault="003A4538" w:rsidP="0026782D">
      <w:pPr>
        <w:pStyle w:val="Obsah4"/>
        <w:rPr>
          <w:rFonts w:asciiTheme="minorHAnsi" w:eastAsiaTheme="minorEastAsia" w:hAnsiTheme="minorHAnsi"/>
          <w:noProof/>
          <w:sz w:val="22"/>
          <w:szCs w:val="22"/>
          <w:lang w:val="cs-CZ" w:eastAsia="cs-CZ"/>
        </w:rPr>
      </w:pPr>
      <w:hyperlink w:anchor="_Toc81817520" w:history="1">
        <w:r w:rsidR="00CA317E" w:rsidRPr="00F273A6">
          <w:rPr>
            <w:rStyle w:val="Hypertextovodkaz"/>
            <w:noProof/>
          </w:rPr>
          <w:t>Tabulka 13</w:t>
        </w:r>
        <w:r w:rsidR="00CA317E">
          <w:rPr>
            <w:rFonts w:asciiTheme="minorHAnsi" w:eastAsiaTheme="minorEastAsia" w:hAnsiTheme="minorHAnsi"/>
            <w:noProof/>
            <w:sz w:val="22"/>
            <w:szCs w:val="22"/>
            <w:lang w:val="cs-CZ" w:eastAsia="cs-CZ"/>
          </w:rPr>
          <w:tab/>
        </w:r>
        <w:r w:rsidR="00CA317E" w:rsidRPr="00F273A6">
          <w:rPr>
            <w:rStyle w:val="Hypertextovodkaz"/>
            <w:noProof/>
          </w:rPr>
          <w:t>Počty žádosti podle krajů (dle sídla firmy (PO)/trvalého bydliště (FO))</w:t>
        </w:r>
        <w:r w:rsidR="00CA317E">
          <w:rPr>
            <w:noProof/>
            <w:webHidden/>
          </w:rPr>
          <w:tab/>
        </w:r>
        <w:r w:rsidR="00CA317E">
          <w:rPr>
            <w:noProof/>
            <w:webHidden/>
          </w:rPr>
          <w:fldChar w:fldCharType="begin"/>
        </w:r>
        <w:r w:rsidR="00CA317E">
          <w:rPr>
            <w:noProof/>
            <w:webHidden/>
          </w:rPr>
          <w:instrText xml:space="preserve"> PAGEREF _Toc81817520 \h </w:instrText>
        </w:r>
        <w:r w:rsidR="00CA317E">
          <w:rPr>
            <w:noProof/>
            <w:webHidden/>
          </w:rPr>
        </w:r>
        <w:r w:rsidR="00CA317E">
          <w:rPr>
            <w:noProof/>
            <w:webHidden/>
          </w:rPr>
          <w:fldChar w:fldCharType="separate"/>
        </w:r>
        <w:r w:rsidR="00CA317E">
          <w:rPr>
            <w:noProof/>
            <w:webHidden/>
          </w:rPr>
          <w:t>78</w:t>
        </w:r>
        <w:r w:rsidR="00CA317E">
          <w:rPr>
            <w:noProof/>
            <w:webHidden/>
          </w:rPr>
          <w:fldChar w:fldCharType="end"/>
        </w:r>
      </w:hyperlink>
    </w:p>
    <w:p w14:paraId="60775C1E" w14:textId="726A54CE" w:rsidR="00CA317E" w:rsidRDefault="003A4538" w:rsidP="0026782D">
      <w:pPr>
        <w:pStyle w:val="Obsah4"/>
        <w:rPr>
          <w:rFonts w:asciiTheme="minorHAnsi" w:eastAsiaTheme="minorEastAsia" w:hAnsiTheme="minorHAnsi"/>
          <w:noProof/>
          <w:sz w:val="22"/>
          <w:szCs w:val="22"/>
          <w:lang w:val="cs-CZ" w:eastAsia="cs-CZ"/>
        </w:rPr>
      </w:pPr>
      <w:hyperlink w:anchor="_Toc81817521" w:history="1">
        <w:r w:rsidR="00CA317E" w:rsidRPr="00F273A6">
          <w:rPr>
            <w:rStyle w:val="Hypertextovodkaz"/>
            <w:noProof/>
          </w:rPr>
          <w:t>Tabulka 14</w:t>
        </w:r>
        <w:r w:rsidR="00CA317E">
          <w:rPr>
            <w:rFonts w:asciiTheme="minorHAnsi" w:eastAsiaTheme="minorEastAsia" w:hAnsiTheme="minorHAnsi"/>
            <w:noProof/>
            <w:sz w:val="22"/>
            <w:szCs w:val="22"/>
            <w:lang w:val="cs-CZ" w:eastAsia="cs-CZ"/>
          </w:rPr>
          <w:tab/>
        </w:r>
        <w:r w:rsidR="00CA317E" w:rsidRPr="00F273A6">
          <w:rPr>
            <w:rStyle w:val="Hypertextovodkaz"/>
            <w:noProof/>
          </w:rPr>
          <w:t>Počet žádosti podaných jedním subjektem</w:t>
        </w:r>
        <w:r w:rsidR="00CA317E">
          <w:rPr>
            <w:noProof/>
            <w:webHidden/>
          </w:rPr>
          <w:tab/>
        </w:r>
        <w:r w:rsidR="00CA317E">
          <w:rPr>
            <w:noProof/>
            <w:webHidden/>
          </w:rPr>
          <w:fldChar w:fldCharType="begin"/>
        </w:r>
        <w:r w:rsidR="00CA317E">
          <w:rPr>
            <w:noProof/>
            <w:webHidden/>
          </w:rPr>
          <w:instrText xml:space="preserve"> PAGEREF _Toc81817521 \h </w:instrText>
        </w:r>
        <w:r w:rsidR="00CA317E">
          <w:rPr>
            <w:noProof/>
            <w:webHidden/>
          </w:rPr>
        </w:r>
        <w:r w:rsidR="00CA317E">
          <w:rPr>
            <w:noProof/>
            <w:webHidden/>
          </w:rPr>
          <w:fldChar w:fldCharType="separate"/>
        </w:r>
        <w:r w:rsidR="00CA317E">
          <w:rPr>
            <w:noProof/>
            <w:webHidden/>
          </w:rPr>
          <w:t>79</w:t>
        </w:r>
        <w:r w:rsidR="00CA317E">
          <w:rPr>
            <w:noProof/>
            <w:webHidden/>
          </w:rPr>
          <w:fldChar w:fldCharType="end"/>
        </w:r>
      </w:hyperlink>
    </w:p>
    <w:p w14:paraId="5E15DD2A" w14:textId="775CC615" w:rsidR="00CA317E" w:rsidRDefault="003A4538" w:rsidP="0026782D">
      <w:pPr>
        <w:pStyle w:val="Obsah4"/>
        <w:rPr>
          <w:rFonts w:asciiTheme="minorHAnsi" w:eastAsiaTheme="minorEastAsia" w:hAnsiTheme="minorHAnsi"/>
          <w:noProof/>
          <w:sz w:val="22"/>
          <w:szCs w:val="22"/>
          <w:lang w:val="cs-CZ" w:eastAsia="cs-CZ"/>
        </w:rPr>
      </w:pPr>
      <w:hyperlink w:anchor="_Toc81817522" w:history="1">
        <w:r w:rsidR="00CA317E" w:rsidRPr="00F273A6">
          <w:rPr>
            <w:rStyle w:val="Hypertextovodkaz"/>
            <w:noProof/>
          </w:rPr>
          <w:t>Tabulka 15</w:t>
        </w:r>
        <w:r w:rsidR="00CA317E">
          <w:rPr>
            <w:rFonts w:asciiTheme="minorHAnsi" w:eastAsiaTheme="minorEastAsia" w:hAnsiTheme="minorHAnsi"/>
            <w:noProof/>
            <w:sz w:val="22"/>
            <w:szCs w:val="22"/>
            <w:lang w:val="cs-CZ" w:eastAsia="cs-CZ"/>
          </w:rPr>
          <w:tab/>
        </w:r>
        <w:r w:rsidR="00CA317E" w:rsidRPr="00F273A6">
          <w:rPr>
            <w:rStyle w:val="Hypertextovodkaz"/>
            <w:noProof/>
          </w:rPr>
          <w:t>Charakteristika celkových výdajů u operace 6.4.1</w:t>
        </w:r>
        <w:r w:rsidR="00CA317E">
          <w:rPr>
            <w:noProof/>
            <w:webHidden/>
          </w:rPr>
          <w:tab/>
        </w:r>
        <w:r w:rsidR="00CA317E">
          <w:rPr>
            <w:noProof/>
            <w:webHidden/>
          </w:rPr>
          <w:fldChar w:fldCharType="begin"/>
        </w:r>
        <w:r w:rsidR="00CA317E">
          <w:rPr>
            <w:noProof/>
            <w:webHidden/>
          </w:rPr>
          <w:instrText xml:space="preserve"> PAGEREF _Toc81817522 \h </w:instrText>
        </w:r>
        <w:r w:rsidR="00CA317E">
          <w:rPr>
            <w:noProof/>
            <w:webHidden/>
          </w:rPr>
        </w:r>
        <w:r w:rsidR="00CA317E">
          <w:rPr>
            <w:noProof/>
            <w:webHidden/>
          </w:rPr>
          <w:fldChar w:fldCharType="separate"/>
        </w:r>
        <w:r w:rsidR="00CA317E">
          <w:rPr>
            <w:noProof/>
            <w:webHidden/>
          </w:rPr>
          <w:t>83</w:t>
        </w:r>
        <w:r w:rsidR="00CA317E">
          <w:rPr>
            <w:noProof/>
            <w:webHidden/>
          </w:rPr>
          <w:fldChar w:fldCharType="end"/>
        </w:r>
      </w:hyperlink>
    </w:p>
    <w:p w14:paraId="07D26E2D" w14:textId="2F73C2B2" w:rsidR="00CA317E" w:rsidRDefault="003A4538" w:rsidP="0026782D">
      <w:pPr>
        <w:pStyle w:val="Obsah4"/>
        <w:rPr>
          <w:rFonts w:asciiTheme="minorHAnsi" w:eastAsiaTheme="minorEastAsia" w:hAnsiTheme="minorHAnsi"/>
          <w:noProof/>
          <w:sz w:val="22"/>
          <w:szCs w:val="22"/>
          <w:lang w:val="cs-CZ" w:eastAsia="cs-CZ"/>
        </w:rPr>
      </w:pPr>
      <w:hyperlink w:anchor="_Toc81817523" w:history="1">
        <w:r w:rsidR="00CA317E" w:rsidRPr="00F273A6">
          <w:rPr>
            <w:rStyle w:val="Hypertextovodkaz"/>
            <w:noProof/>
          </w:rPr>
          <w:t>Tabulka 16</w:t>
        </w:r>
        <w:r w:rsidR="00CA317E">
          <w:rPr>
            <w:rFonts w:asciiTheme="minorHAnsi" w:eastAsiaTheme="minorEastAsia" w:hAnsiTheme="minorHAnsi"/>
            <w:noProof/>
            <w:sz w:val="22"/>
            <w:szCs w:val="22"/>
            <w:lang w:val="cs-CZ" w:eastAsia="cs-CZ"/>
          </w:rPr>
          <w:tab/>
        </w:r>
        <w:r w:rsidR="00CA317E" w:rsidRPr="00F273A6">
          <w:rPr>
            <w:rStyle w:val="Hypertextovodkaz"/>
            <w:noProof/>
          </w:rPr>
          <w:t>Charakteristika celkových výdajů u operace 6.4.1</w:t>
        </w:r>
        <w:r w:rsidR="00CA317E">
          <w:rPr>
            <w:noProof/>
            <w:webHidden/>
          </w:rPr>
          <w:tab/>
        </w:r>
        <w:r w:rsidR="00CA317E">
          <w:rPr>
            <w:noProof/>
            <w:webHidden/>
          </w:rPr>
          <w:fldChar w:fldCharType="begin"/>
        </w:r>
        <w:r w:rsidR="00CA317E">
          <w:rPr>
            <w:noProof/>
            <w:webHidden/>
          </w:rPr>
          <w:instrText xml:space="preserve"> PAGEREF _Toc81817523 \h </w:instrText>
        </w:r>
        <w:r w:rsidR="00CA317E">
          <w:rPr>
            <w:noProof/>
            <w:webHidden/>
          </w:rPr>
        </w:r>
        <w:r w:rsidR="00CA317E">
          <w:rPr>
            <w:noProof/>
            <w:webHidden/>
          </w:rPr>
          <w:fldChar w:fldCharType="separate"/>
        </w:r>
        <w:r w:rsidR="00CA317E">
          <w:rPr>
            <w:noProof/>
            <w:webHidden/>
          </w:rPr>
          <w:t>83</w:t>
        </w:r>
        <w:r w:rsidR="00CA317E">
          <w:rPr>
            <w:noProof/>
            <w:webHidden/>
          </w:rPr>
          <w:fldChar w:fldCharType="end"/>
        </w:r>
      </w:hyperlink>
    </w:p>
    <w:p w14:paraId="2ED966A0" w14:textId="491DD3DC" w:rsidR="00CA317E" w:rsidRDefault="003A4538" w:rsidP="0026782D">
      <w:pPr>
        <w:pStyle w:val="Obsah4"/>
        <w:rPr>
          <w:rFonts w:asciiTheme="minorHAnsi" w:eastAsiaTheme="minorEastAsia" w:hAnsiTheme="minorHAnsi"/>
          <w:noProof/>
          <w:sz w:val="22"/>
          <w:szCs w:val="22"/>
          <w:lang w:val="cs-CZ" w:eastAsia="cs-CZ"/>
        </w:rPr>
      </w:pPr>
      <w:hyperlink w:anchor="_Toc81817524" w:history="1">
        <w:r w:rsidR="00CA317E" w:rsidRPr="00F273A6">
          <w:rPr>
            <w:rStyle w:val="Hypertextovodkaz"/>
            <w:noProof/>
          </w:rPr>
          <w:t>Tabulka 17</w:t>
        </w:r>
        <w:r w:rsidR="00CA317E">
          <w:rPr>
            <w:rFonts w:asciiTheme="minorHAnsi" w:eastAsiaTheme="minorEastAsia" w:hAnsiTheme="minorHAnsi"/>
            <w:noProof/>
            <w:sz w:val="22"/>
            <w:szCs w:val="22"/>
            <w:lang w:val="cs-CZ" w:eastAsia="cs-CZ"/>
          </w:rPr>
          <w:tab/>
        </w:r>
        <w:r w:rsidR="00CA317E" w:rsidRPr="00F273A6">
          <w:rPr>
            <w:rStyle w:val="Hypertextovodkaz"/>
            <w:noProof/>
          </w:rPr>
          <w:t>Charakteristika výdajů pro spolufinancování – dotace u operace 6.4.1</w:t>
        </w:r>
        <w:r w:rsidR="00CA317E">
          <w:rPr>
            <w:noProof/>
            <w:webHidden/>
          </w:rPr>
          <w:tab/>
        </w:r>
        <w:r w:rsidR="00CA317E">
          <w:rPr>
            <w:noProof/>
            <w:webHidden/>
          </w:rPr>
          <w:fldChar w:fldCharType="begin"/>
        </w:r>
        <w:r w:rsidR="00CA317E">
          <w:rPr>
            <w:noProof/>
            <w:webHidden/>
          </w:rPr>
          <w:instrText xml:space="preserve"> PAGEREF _Toc81817524 \h </w:instrText>
        </w:r>
        <w:r w:rsidR="00CA317E">
          <w:rPr>
            <w:noProof/>
            <w:webHidden/>
          </w:rPr>
        </w:r>
        <w:r w:rsidR="00CA317E">
          <w:rPr>
            <w:noProof/>
            <w:webHidden/>
          </w:rPr>
          <w:fldChar w:fldCharType="separate"/>
        </w:r>
        <w:r w:rsidR="00CA317E">
          <w:rPr>
            <w:noProof/>
            <w:webHidden/>
          </w:rPr>
          <w:t>84</w:t>
        </w:r>
        <w:r w:rsidR="00CA317E">
          <w:rPr>
            <w:noProof/>
            <w:webHidden/>
          </w:rPr>
          <w:fldChar w:fldCharType="end"/>
        </w:r>
      </w:hyperlink>
    </w:p>
    <w:p w14:paraId="6542DD64" w14:textId="047E2A0C" w:rsidR="00CA317E" w:rsidRDefault="003A4538" w:rsidP="0026782D">
      <w:pPr>
        <w:pStyle w:val="Obsah4"/>
        <w:rPr>
          <w:rFonts w:asciiTheme="minorHAnsi" w:eastAsiaTheme="minorEastAsia" w:hAnsiTheme="minorHAnsi"/>
          <w:noProof/>
          <w:sz w:val="22"/>
          <w:szCs w:val="22"/>
          <w:lang w:val="cs-CZ" w:eastAsia="cs-CZ"/>
        </w:rPr>
      </w:pPr>
      <w:hyperlink w:anchor="_Toc81817525" w:history="1">
        <w:r w:rsidR="00CA317E" w:rsidRPr="00F273A6">
          <w:rPr>
            <w:rStyle w:val="Hypertextovodkaz"/>
            <w:noProof/>
          </w:rPr>
          <w:t>Tabulka 18</w:t>
        </w:r>
        <w:r w:rsidR="00CA317E">
          <w:rPr>
            <w:rFonts w:asciiTheme="minorHAnsi" w:eastAsiaTheme="minorEastAsia" w:hAnsiTheme="minorHAnsi"/>
            <w:noProof/>
            <w:sz w:val="22"/>
            <w:szCs w:val="22"/>
            <w:lang w:val="cs-CZ" w:eastAsia="cs-CZ"/>
          </w:rPr>
          <w:tab/>
        </w:r>
        <w:r w:rsidR="00CA317E" w:rsidRPr="00F273A6">
          <w:rPr>
            <w:rStyle w:val="Hypertextovodkaz"/>
            <w:noProof/>
          </w:rPr>
          <w:t>Chrakteristika výdajů právnických osob v operaci 6.4.1 dle velikosti podniku</w:t>
        </w:r>
        <w:r w:rsidR="00CA317E">
          <w:rPr>
            <w:noProof/>
            <w:webHidden/>
          </w:rPr>
          <w:tab/>
        </w:r>
        <w:r w:rsidR="00CA317E">
          <w:rPr>
            <w:noProof/>
            <w:webHidden/>
          </w:rPr>
          <w:fldChar w:fldCharType="begin"/>
        </w:r>
        <w:r w:rsidR="00CA317E">
          <w:rPr>
            <w:noProof/>
            <w:webHidden/>
          </w:rPr>
          <w:instrText xml:space="preserve"> PAGEREF _Toc81817525 \h </w:instrText>
        </w:r>
        <w:r w:rsidR="00CA317E">
          <w:rPr>
            <w:noProof/>
            <w:webHidden/>
          </w:rPr>
        </w:r>
        <w:r w:rsidR="00CA317E">
          <w:rPr>
            <w:noProof/>
            <w:webHidden/>
          </w:rPr>
          <w:fldChar w:fldCharType="separate"/>
        </w:r>
        <w:r w:rsidR="00CA317E">
          <w:rPr>
            <w:noProof/>
            <w:webHidden/>
          </w:rPr>
          <w:t>85</w:t>
        </w:r>
        <w:r w:rsidR="00CA317E">
          <w:rPr>
            <w:noProof/>
            <w:webHidden/>
          </w:rPr>
          <w:fldChar w:fldCharType="end"/>
        </w:r>
      </w:hyperlink>
    </w:p>
    <w:p w14:paraId="51343A4A" w14:textId="03C193A3" w:rsidR="00CA317E" w:rsidRDefault="003A4538" w:rsidP="0026782D">
      <w:pPr>
        <w:pStyle w:val="Obsah4"/>
        <w:rPr>
          <w:rFonts w:asciiTheme="minorHAnsi" w:eastAsiaTheme="minorEastAsia" w:hAnsiTheme="minorHAnsi"/>
          <w:noProof/>
          <w:sz w:val="22"/>
          <w:szCs w:val="22"/>
          <w:lang w:val="cs-CZ" w:eastAsia="cs-CZ"/>
        </w:rPr>
      </w:pPr>
      <w:hyperlink w:anchor="_Toc81817526" w:history="1">
        <w:r w:rsidR="00CA317E" w:rsidRPr="00F273A6">
          <w:rPr>
            <w:rStyle w:val="Hypertextovodkaz"/>
            <w:noProof/>
          </w:rPr>
          <w:t>Tabulka 19</w:t>
        </w:r>
        <w:r w:rsidR="00CA317E">
          <w:rPr>
            <w:rFonts w:asciiTheme="minorHAnsi" w:eastAsiaTheme="minorEastAsia" w:hAnsiTheme="minorHAnsi"/>
            <w:noProof/>
            <w:sz w:val="22"/>
            <w:szCs w:val="22"/>
            <w:lang w:val="cs-CZ" w:eastAsia="cs-CZ"/>
          </w:rPr>
          <w:tab/>
        </w:r>
        <w:r w:rsidR="00CA317E" w:rsidRPr="00F273A6">
          <w:rPr>
            <w:rStyle w:val="Hypertextovodkaz"/>
            <w:noProof/>
          </w:rPr>
          <w:t>Charakteristika výdajů fyzických osob v operaci 6.4.1 dle velikosti podniku</w:t>
        </w:r>
        <w:r w:rsidR="00CA317E">
          <w:rPr>
            <w:noProof/>
            <w:webHidden/>
          </w:rPr>
          <w:tab/>
        </w:r>
        <w:r w:rsidR="00CA317E">
          <w:rPr>
            <w:noProof/>
            <w:webHidden/>
          </w:rPr>
          <w:fldChar w:fldCharType="begin"/>
        </w:r>
        <w:r w:rsidR="00CA317E">
          <w:rPr>
            <w:noProof/>
            <w:webHidden/>
          </w:rPr>
          <w:instrText xml:space="preserve"> PAGEREF _Toc81817526 \h </w:instrText>
        </w:r>
        <w:r w:rsidR="00CA317E">
          <w:rPr>
            <w:noProof/>
            <w:webHidden/>
          </w:rPr>
        </w:r>
        <w:r w:rsidR="00CA317E">
          <w:rPr>
            <w:noProof/>
            <w:webHidden/>
          </w:rPr>
          <w:fldChar w:fldCharType="separate"/>
        </w:r>
        <w:r w:rsidR="00CA317E">
          <w:rPr>
            <w:noProof/>
            <w:webHidden/>
          </w:rPr>
          <w:t>85</w:t>
        </w:r>
        <w:r w:rsidR="00CA317E">
          <w:rPr>
            <w:noProof/>
            <w:webHidden/>
          </w:rPr>
          <w:fldChar w:fldCharType="end"/>
        </w:r>
      </w:hyperlink>
    </w:p>
    <w:p w14:paraId="5BAD177A" w14:textId="0678BD62" w:rsidR="00CA317E" w:rsidRDefault="003A4538" w:rsidP="0026782D">
      <w:pPr>
        <w:pStyle w:val="Obsah4"/>
        <w:rPr>
          <w:rFonts w:asciiTheme="minorHAnsi" w:eastAsiaTheme="minorEastAsia" w:hAnsiTheme="minorHAnsi"/>
          <w:noProof/>
          <w:sz w:val="22"/>
          <w:szCs w:val="22"/>
          <w:lang w:val="cs-CZ" w:eastAsia="cs-CZ"/>
        </w:rPr>
      </w:pPr>
      <w:hyperlink w:anchor="_Toc81817527" w:history="1">
        <w:r w:rsidR="00CA317E" w:rsidRPr="00F273A6">
          <w:rPr>
            <w:rStyle w:val="Hypertextovodkaz"/>
            <w:noProof/>
          </w:rPr>
          <w:t>Tabulka 20</w:t>
        </w:r>
        <w:r w:rsidR="00CA317E">
          <w:rPr>
            <w:rFonts w:asciiTheme="minorHAnsi" w:eastAsiaTheme="minorEastAsia" w:hAnsiTheme="minorHAnsi"/>
            <w:noProof/>
            <w:sz w:val="22"/>
            <w:szCs w:val="22"/>
            <w:lang w:val="cs-CZ" w:eastAsia="cs-CZ"/>
          </w:rPr>
          <w:tab/>
        </w:r>
        <w:r w:rsidR="00CA317E" w:rsidRPr="00F273A6">
          <w:rPr>
            <w:rStyle w:val="Hypertextovodkaz"/>
            <w:noProof/>
          </w:rPr>
          <w:t>Charakteristika výdajů v operaci 6.4.1 dle velikosti podniku</w:t>
        </w:r>
        <w:r w:rsidR="00CA317E">
          <w:rPr>
            <w:noProof/>
            <w:webHidden/>
          </w:rPr>
          <w:tab/>
        </w:r>
        <w:r w:rsidR="00CA317E">
          <w:rPr>
            <w:noProof/>
            <w:webHidden/>
          </w:rPr>
          <w:fldChar w:fldCharType="begin"/>
        </w:r>
        <w:r w:rsidR="00CA317E">
          <w:rPr>
            <w:noProof/>
            <w:webHidden/>
          </w:rPr>
          <w:instrText xml:space="preserve"> PAGEREF _Toc81817527 \h </w:instrText>
        </w:r>
        <w:r w:rsidR="00CA317E">
          <w:rPr>
            <w:noProof/>
            <w:webHidden/>
          </w:rPr>
        </w:r>
        <w:r w:rsidR="00CA317E">
          <w:rPr>
            <w:noProof/>
            <w:webHidden/>
          </w:rPr>
          <w:fldChar w:fldCharType="separate"/>
        </w:r>
        <w:r w:rsidR="00CA317E">
          <w:rPr>
            <w:noProof/>
            <w:webHidden/>
          </w:rPr>
          <w:t>85</w:t>
        </w:r>
        <w:r w:rsidR="00CA317E">
          <w:rPr>
            <w:noProof/>
            <w:webHidden/>
          </w:rPr>
          <w:fldChar w:fldCharType="end"/>
        </w:r>
      </w:hyperlink>
    </w:p>
    <w:p w14:paraId="1A6A810F" w14:textId="69988CC5" w:rsidR="00CA317E" w:rsidRDefault="003A4538" w:rsidP="0026782D">
      <w:pPr>
        <w:pStyle w:val="Obsah4"/>
        <w:rPr>
          <w:rFonts w:asciiTheme="minorHAnsi" w:eastAsiaTheme="minorEastAsia" w:hAnsiTheme="minorHAnsi"/>
          <w:noProof/>
          <w:sz w:val="22"/>
          <w:szCs w:val="22"/>
          <w:lang w:val="cs-CZ" w:eastAsia="cs-CZ"/>
        </w:rPr>
      </w:pPr>
      <w:hyperlink w:anchor="_Toc81817528" w:history="1">
        <w:r w:rsidR="00CA317E" w:rsidRPr="00F273A6">
          <w:rPr>
            <w:rStyle w:val="Hypertextovodkaz"/>
            <w:noProof/>
          </w:rPr>
          <w:t>Tabulka 21</w:t>
        </w:r>
        <w:r w:rsidR="00CA317E">
          <w:rPr>
            <w:rFonts w:asciiTheme="minorHAnsi" w:eastAsiaTheme="minorEastAsia" w:hAnsiTheme="minorHAnsi"/>
            <w:noProof/>
            <w:sz w:val="22"/>
            <w:szCs w:val="22"/>
            <w:lang w:val="cs-CZ" w:eastAsia="cs-CZ"/>
          </w:rPr>
          <w:tab/>
        </w:r>
        <w:r w:rsidR="00CA317E" w:rsidRPr="00F273A6">
          <w:rPr>
            <w:rStyle w:val="Hypertextovodkaz"/>
            <w:noProof/>
          </w:rPr>
          <w:t>Popisy kódů způsobilých výdajů</w:t>
        </w:r>
        <w:r w:rsidR="00CA317E">
          <w:rPr>
            <w:noProof/>
            <w:webHidden/>
          </w:rPr>
          <w:tab/>
        </w:r>
        <w:r w:rsidR="00CA317E">
          <w:rPr>
            <w:noProof/>
            <w:webHidden/>
          </w:rPr>
          <w:fldChar w:fldCharType="begin"/>
        </w:r>
        <w:r w:rsidR="00CA317E">
          <w:rPr>
            <w:noProof/>
            <w:webHidden/>
          </w:rPr>
          <w:instrText xml:space="preserve"> PAGEREF _Toc81817528 \h </w:instrText>
        </w:r>
        <w:r w:rsidR="00CA317E">
          <w:rPr>
            <w:noProof/>
            <w:webHidden/>
          </w:rPr>
        </w:r>
        <w:r w:rsidR="00CA317E">
          <w:rPr>
            <w:noProof/>
            <w:webHidden/>
          </w:rPr>
          <w:fldChar w:fldCharType="separate"/>
        </w:r>
        <w:r w:rsidR="00CA317E">
          <w:rPr>
            <w:noProof/>
            <w:webHidden/>
          </w:rPr>
          <w:t>86</w:t>
        </w:r>
        <w:r w:rsidR="00CA317E">
          <w:rPr>
            <w:noProof/>
            <w:webHidden/>
          </w:rPr>
          <w:fldChar w:fldCharType="end"/>
        </w:r>
      </w:hyperlink>
    </w:p>
    <w:p w14:paraId="02E5D8D8" w14:textId="6240F85C" w:rsidR="00CA317E" w:rsidRDefault="003A4538" w:rsidP="0026782D">
      <w:pPr>
        <w:pStyle w:val="Obsah4"/>
        <w:rPr>
          <w:rFonts w:asciiTheme="minorHAnsi" w:eastAsiaTheme="minorEastAsia" w:hAnsiTheme="minorHAnsi"/>
          <w:noProof/>
          <w:sz w:val="22"/>
          <w:szCs w:val="22"/>
          <w:lang w:val="cs-CZ" w:eastAsia="cs-CZ"/>
        </w:rPr>
      </w:pPr>
      <w:hyperlink w:anchor="_Toc81817529" w:history="1">
        <w:r w:rsidR="00CA317E" w:rsidRPr="00F273A6">
          <w:rPr>
            <w:rStyle w:val="Hypertextovodkaz"/>
            <w:noProof/>
          </w:rPr>
          <w:t>Tabulka 22</w:t>
        </w:r>
        <w:r w:rsidR="00CA317E">
          <w:rPr>
            <w:rFonts w:asciiTheme="minorHAnsi" w:eastAsiaTheme="minorEastAsia" w:hAnsiTheme="minorHAnsi"/>
            <w:noProof/>
            <w:sz w:val="22"/>
            <w:szCs w:val="22"/>
            <w:lang w:val="cs-CZ" w:eastAsia="cs-CZ"/>
          </w:rPr>
          <w:tab/>
        </w:r>
        <w:r w:rsidR="00CA317E" w:rsidRPr="00F273A6">
          <w:rPr>
            <w:rStyle w:val="Hypertextovodkaz"/>
            <w:noProof/>
          </w:rPr>
          <w:t>Klasifikace ekonomických činností u žádostí operace 6.4.1</w:t>
        </w:r>
        <w:r w:rsidR="00CA317E">
          <w:rPr>
            <w:noProof/>
            <w:webHidden/>
          </w:rPr>
          <w:tab/>
        </w:r>
        <w:r w:rsidR="00CA317E">
          <w:rPr>
            <w:noProof/>
            <w:webHidden/>
          </w:rPr>
          <w:fldChar w:fldCharType="begin"/>
        </w:r>
        <w:r w:rsidR="00CA317E">
          <w:rPr>
            <w:noProof/>
            <w:webHidden/>
          </w:rPr>
          <w:instrText xml:space="preserve"> PAGEREF _Toc81817529 \h </w:instrText>
        </w:r>
        <w:r w:rsidR="00CA317E">
          <w:rPr>
            <w:noProof/>
            <w:webHidden/>
          </w:rPr>
        </w:r>
        <w:r w:rsidR="00CA317E">
          <w:rPr>
            <w:noProof/>
            <w:webHidden/>
          </w:rPr>
          <w:fldChar w:fldCharType="separate"/>
        </w:r>
        <w:r w:rsidR="00CA317E">
          <w:rPr>
            <w:noProof/>
            <w:webHidden/>
          </w:rPr>
          <w:t>88</w:t>
        </w:r>
        <w:r w:rsidR="00CA317E">
          <w:rPr>
            <w:noProof/>
            <w:webHidden/>
          </w:rPr>
          <w:fldChar w:fldCharType="end"/>
        </w:r>
      </w:hyperlink>
    </w:p>
    <w:p w14:paraId="46BC9961" w14:textId="731F8B4C" w:rsidR="00CA317E" w:rsidRDefault="003A4538" w:rsidP="0026782D">
      <w:pPr>
        <w:pStyle w:val="Obsah4"/>
        <w:rPr>
          <w:rFonts w:asciiTheme="minorHAnsi" w:eastAsiaTheme="minorEastAsia" w:hAnsiTheme="minorHAnsi"/>
          <w:noProof/>
          <w:sz w:val="22"/>
          <w:szCs w:val="22"/>
          <w:lang w:val="cs-CZ" w:eastAsia="cs-CZ"/>
        </w:rPr>
      </w:pPr>
      <w:hyperlink w:anchor="_Toc81817530" w:history="1">
        <w:r w:rsidR="00CA317E" w:rsidRPr="00F273A6">
          <w:rPr>
            <w:rStyle w:val="Hypertextovodkaz"/>
            <w:noProof/>
          </w:rPr>
          <w:t>Tabulka 23</w:t>
        </w:r>
        <w:r w:rsidR="00CA317E">
          <w:rPr>
            <w:rFonts w:asciiTheme="minorHAnsi" w:eastAsiaTheme="minorEastAsia" w:hAnsiTheme="minorHAnsi"/>
            <w:noProof/>
            <w:sz w:val="22"/>
            <w:szCs w:val="22"/>
            <w:lang w:val="cs-CZ" w:eastAsia="cs-CZ"/>
          </w:rPr>
          <w:tab/>
        </w:r>
        <w:r w:rsidR="00CA317E" w:rsidRPr="00F273A6">
          <w:rPr>
            <w:rStyle w:val="Hypertextovodkaz"/>
            <w:noProof/>
          </w:rPr>
          <w:t>Charakteristika celkových výdajů u operace 6.4.2</w:t>
        </w:r>
        <w:r w:rsidR="00CA317E">
          <w:rPr>
            <w:noProof/>
            <w:webHidden/>
          </w:rPr>
          <w:tab/>
        </w:r>
        <w:r w:rsidR="00CA317E">
          <w:rPr>
            <w:noProof/>
            <w:webHidden/>
          </w:rPr>
          <w:fldChar w:fldCharType="begin"/>
        </w:r>
        <w:r w:rsidR="00CA317E">
          <w:rPr>
            <w:noProof/>
            <w:webHidden/>
          </w:rPr>
          <w:instrText xml:space="preserve"> PAGEREF _Toc81817530 \h </w:instrText>
        </w:r>
        <w:r w:rsidR="00CA317E">
          <w:rPr>
            <w:noProof/>
            <w:webHidden/>
          </w:rPr>
        </w:r>
        <w:r w:rsidR="00CA317E">
          <w:rPr>
            <w:noProof/>
            <w:webHidden/>
          </w:rPr>
          <w:fldChar w:fldCharType="separate"/>
        </w:r>
        <w:r w:rsidR="00CA317E">
          <w:rPr>
            <w:noProof/>
            <w:webHidden/>
          </w:rPr>
          <w:t>91</w:t>
        </w:r>
        <w:r w:rsidR="00CA317E">
          <w:rPr>
            <w:noProof/>
            <w:webHidden/>
          </w:rPr>
          <w:fldChar w:fldCharType="end"/>
        </w:r>
      </w:hyperlink>
    </w:p>
    <w:p w14:paraId="4C54FFF2" w14:textId="52914DA9" w:rsidR="00CA317E" w:rsidRDefault="003A4538" w:rsidP="0026782D">
      <w:pPr>
        <w:pStyle w:val="Obsah4"/>
        <w:rPr>
          <w:rFonts w:asciiTheme="minorHAnsi" w:eastAsiaTheme="minorEastAsia" w:hAnsiTheme="minorHAnsi"/>
          <w:noProof/>
          <w:sz w:val="22"/>
          <w:szCs w:val="22"/>
          <w:lang w:val="cs-CZ" w:eastAsia="cs-CZ"/>
        </w:rPr>
      </w:pPr>
      <w:hyperlink w:anchor="_Toc81817531" w:history="1">
        <w:r w:rsidR="00CA317E" w:rsidRPr="00F273A6">
          <w:rPr>
            <w:rStyle w:val="Hypertextovodkaz"/>
            <w:noProof/>
          </w:rPr>
          <w:t>Tabulka 24</w:t>
        </w:r>
        <w:r w:rsidR="00CA317E">
          <w:rPr>
            <w:rFonts w:asciiTheme="minorHAnsi" w:eastAsiaTheme="minorEastAsia" w:hAnsiTheme="minorHAnsi"/>
            <w:noProof/>
            <w:sz w:val="22"/>
            <w:szCs w:val="22"/>
            <w:lang w:val="cs-CZ" w:eastAsia="cs-CZ"/>
          </w:rPr>
          <w:tab/>
        </w:r>
        <w:r w:rsidR="00CA317E" w:rsidRPr="00F273A6">
          <w:rPr>
            <w:rStyle w:val="Hypertextovodkaz"/>
            <w:noProof/>
          </w:rPr>
          <w:t>Charakteristika celkových výdajů u operace 6.4.2</w:t>
        </w:r>
        <w:r w:rsidR="00CA317E">
          <w:rPr>
            <w:noProof/>
            <w:webHidden/>
          </w:rPr>
          <w:tab/>
        </w:r>
        <w:r w:rsidR="00CA317E">
          <w:rPr>
            <w:noProof/>
            <w:webHidden/>
          </w:rPr>
          <w:fldChar w:fldCharType="begin"/>
        </w:r>
        <w:r w:rsidR="00CA317E">
          <w:rPr>
            <w:noProof/>
            <w:webHidden/>
          </w:rPr>
          <w:instrText xml:space="preserve"> PAGEREF _Toc81817531 \h </w:instrText>
        </w:r>
        <w:r w:rsidR="00CA317E">
          <w:rPr>
            <w:noProof/>
            <w:webHidden/>
          </w:rPr>
        </w:r>
        <w:r w:rsidR="00CA317E">
          <w:rPr>
            <w:noProof/>
            <w:webHidden/>
          </w:rPr>
          <w:fldChar w:fldCharType="separate"/>
        </w:r>
        <w:r w:rsidR="00CA317E">
          <w:rPr>
            <w:noProof/>
            <w:webHidden/>
          </w:rPr>
          <w:t>92</w:t>
        </w:r>
        <w:r w:rsidR="00CA317E">
          <w:rPr>
            <w:noProof/>
            <w:webHidden/>
          </w:rPr>
          <w:fldChar w:fldCharType="end"/>
        </w:r>
      </w:hyperlink>
    </w:p>
    <w:p w14:paraId="73EBD25C" w14:textId="51CB237A" w:rsidR="00CA317E" w:rsidRDefault="003A4538" w:rsidP="0026782D">
      <w:pPr>
        <w:pStyle w:val="Obsah4"/>
        <w:rPr>
          <w:rFonts w:asciiTheme="minorHAnsi" w:eastAsiaTheme="minorEastAsia" w:hAnsiTheme="minorHAnsi"/>
          <w:noProof/>
          <w:sz w:val="22"/>
          <w:szCs w:val="22"/>
          <w:lang w:val="cs-CZ" w:eastAsia="cs-CZ"/>
        </w:rPr>
      </w:pPr>
      <w:hyperlink w:anchor="_Toc81817532" w:history="1">
        <w:r w:rsidR="00CA317E" w:rsidRPr="00F273A6">
          <w:rPr>
            <w:rStyle w:val="Hypertextovodkaz"/>
            <w:noProof/>
          </w:rPr>
          <w:t>Tabulka 25</w:t>
        </w:r>
        <w:r w:rsidR="00CA317E">
          <w:rPr>
            <w:rFonts w:asciiTheme="minorHAnsi" w:eastAsiaTheme="minorEastAsia" w:hAnsiTheme="minorHAnsi"/>
            <w:noProof/>
            <w:sz w:val="22"/>
            <w:szCs w:val="22"/>
            <w:lang w:val="cs-CZ" w:eastAsia="cs-CZ"/>
          </w:rPr>
          <w:tab/>
        </w:r>
        <w:r w:rsidR="00CA317E" w:rsidRPr="00F273A6">
          <w:rPr>
            <w:rStyle w:val="Hypertextovodkaz"/>
            <w:noProof/>
          </w:rPr>
          <w:t>Charakteristika výdajů pro spolufinancování – dotace u operace 6.4.2</w:t>
        </w:r>
        <w:r w:rsidR="00CA317E">
          <w:rPr>
            <w:noProof/>
            <w:webHidden/>
          </w:rPr>
          <w:tab/>
        </w:r>
        <w:r w:rsidR="00CA317E">
          <w:rPr>
            <w:noProof/>
            <w:webHidden/>
          </w:rPr>
          <w:fldChar w:fldCharType="begin"/>
        </w:r>
        <w:r w:rsidR="00CA317E">
          <w:rPr>
            <w:noProof/>
            <w:webHidden/>
          </w:rPr>
          <w:instrText xml:space="preserve"> PAGEREF _Toc81817532 \h </w:instrText>
        </w:r>
        <w:r w:rsidR="00CA317E">
          <w:rPr>
            <w:noProof/>
            <w:webHidden/>
          </w:rPr>
        </w:r>
        <w:r w:rsidR="00CA317E">
          <w:rPr>
            <w:noProof/>
            <w:webHidden/>
          </w:rPr>
          <w:fldChar w:fldCharType="separate"/>
        </w:r>
        <w:r w:rsidR="00CA317E">
          <w:rPr>
            <w:noProof/>
            <w:webHidden/>
          </w:rPr>
          <w:t>92</w:t>
        </w:r>
        <w:r w:rsidR="00CA317E">
          <w:rPr>
            <w:noProof/>
            <w:webHidden/>
          </w:rPr>
          <w:fldChar w:fldCharType="end"/>
        </w:r>
      </w:hyperlink>
    </w:p>
    <w:p w14:paraId="38F1FF65" w14:textId="0C3119B6" w:rsidR="00CA317E" w:rsidRDefault="003A4538" w:rsidP="0026782D">
      <w:pPr>
        <w:pStyle w:val="Obsah4"/>
        <w:rPr>
          <w:rFonts w:asciiTheme="minorHAnsi" w:eastAsiaTheme="minorEastAsia" w:hAnsiTheme="minorHAnsi"/>
          <w:noProof/>
          <w:sz w:val="22"/>
          <w:szCs w:val="22"/>
          <w:lang w:val="cs-CZ" w:eastAsia="cs-CZ"/>
        </w:rPr>
      </w:pPr>
      <w:hyperlink w:anchor="_Toc81817533" w:history="1">
        <w:r w:rsidR="00CA317E" w:rsidRPr="00F273A6">
          <w:rPr>
            <w:rStyle w:val="Hypertextovodkaz"/>
            <w:noProof/>
          </w:rPr>
          <w:t>Tabulka 26</w:t>
        </w:r>
        <w:r w:rsidR="00CA317E">
          <w:rPr>
            <w:rFonts w:asciiTheme="minorHAnsi" w:eastAsiaTheme="minorEastAsia" w:hAnsiTheme="minorHAnsi"/>
            <w:noProof/>
            <w:sz w:val="22"/>
            <w:szCs w:val="22"/>
            <w:lang w:val="cs-CZ" w:eastAsia="cs-CZ"/>
          </w:rPr>
          <w:tab/>
        </w:r>
        <w:r w:rsidR="00CA317E" w:rsidRPr="00F273A6">
          <w:rPr>
            <w:rStyle w:val="Hypertextovodkaz"/>
            <w:noProof/>
          </w:rPr>
          <w:t>Charakteristika výdajů právnických osob v operaci 6.4.2 dle velikosti podniku</w:t>
        </w:r>
        <w:r w:rsidR="00CA317E">
          <w:rPr>
            <w:noProof/>
            <w:webHidden/>
          </w:rPr>
          <w:tab/>
        </w:r>
        <w:r w:rsidR="00CA317E">
          <w:rPr>
            <w:noProof/>
            <w:webHidden/>
          </w:rPr>
          <w:fldChar w:fldCharType="begin"/>
        </w:r>
        <w:r w:rsidR="00CA317E">
          <w:rPr>
            <w:noProof/>
            <w:webHidden/>
          </w:rPr>
          <w:instrText xml:space="preserve"> PAGEREF _Toc81817533 \h </w:instrText>
        </w:r>
        <w:r w:rsidR="00CA317E">
          <w:rPr>
            <w:noProof/>
            <w:webHidden/>
          </w:rPr>
        </w:r>
        <w:r w:rsidR="00CA317E">
          <w:rPr>
            <w:noProof/>
            <w:webHidden/>
          </w:rPr>
          <w:fldChar w:fldCharType="separate"/>
        </w:r>
        <w:r w:rsidR="00CA317E">
          <w:rPr>
            <w:noProof/>
            <w:webHidden/>
          </w:rPr>
          <w:t>93</w:t>
        </w:r>
        <w:r w:rsidR="00CA317E">
          <w:rPr>
            <w:noProof/>
            <w:webHidden/>
          </w:rPr>
          <w:fldChar w:fldCharType="end"/>
        </w:r>
      </w:hyperlink>
    </w:p>
    <w:p w14:paraId="36DF95CA" w14:textId="6CC4E3B9" w:rsidR="00CA317E" w:rsidRDefault="003A4538" w:rsidP="0026782D">
      <w:pPr>
        <w:pStyle w:val="Obsah4"/>
        <w:rPr>
          <w:rFonts w:asciiTheme="minorHAnsi" w:eastAsiaTheme="minorEastAsia" w:hAnsiTheme="minorHAnsi"/>
          <w:noProof/>
          <w:sz w:val="22"/>
          <w:szCs w:val="22"/>
          <w:lang w:val="cs-CZ" w:eastAsia="cs-CZ"/>
        </w:rPr>
      </w:pPr>
      <w:hyperlink w:anchor="_Toc81817534" w:history="1">
        <w:r w:rsidR="00CA317E" w:rsidRPr="00F273A6">
          <w:rPr>
            <w:rStyle w:val="Hypertextovodkaz"/>
            <w:noProof/>
          </w:rPr>
          <w:t>Tabulka 27</w:t>
        </w:r>
        <w:r w:rsidR="00CA317E">
          <w:rPr>
            <w:rFonts w:asciiTheme="minorHAnsi" w:eastAsiaTheme="minorEastAsia" w:hAnsiTheme="minorHAnsi"/>
            <w:noProof/>
            <w:sz w:val="22"/>
            <w:szCs w:val="22"/>
            <w:lang w:val="cs-CZ" w:eastAsia="cs-CZ"/>
          </w:rPr>
          <w:tab/>
        </w:r>
        <w:r w:rsidR="00CA317E" w:rsidRPr="00F273A6">
          <w:rPr>
            <w:rStyle w:val="Hypertextovodkaz"/>
            <w:noProof/>
          </w:rPr>
          <w:t>Charakteristika výdajů fyzických osob v operaci 6.4.2 dle velikosti podniku</w:t>
        </w:r>
        <w:r w:rsidR="00CA317E">
          <w:rPr>
            <w:noProof/>
            <w:webHidden/>
          </w:rPr>
          <w:tab/>
        </w:r>
        <w:r w:rsidR="00CA317E">
          <w:rPr>
            <w:noProof/>
            <w:webHidden/>
          </w:rPr>
          <w:fldChar w:fldCharType="begin"/>
        </w:r>
        <w:r w:rsidR="00CA317E">
          <w:rPr>
            <w:noProof/>
            <w:webHidden/>
          </w:rPr>
          <w:instrText xml:space="preserve"> PAGEREF _Toc81817534 \h </w:instrText>
        </w:r>
        <w:r w:rsidR="00CA317E">
          <w:rPr>
            <w:noProof/>
            <w:webHidden/>
          </w:rPr>
        </w:r>
        <w:r w:rsidR="00CA317E">
          <w:rPr>
            <w:noProof/>
            <w:webHidden/>
          </w:rPr>
          <w:fldChar w:fldCharType="separate"/>
        </w:r>
        <w:r w:rsidR="00CA317E">
          <w:rPr>
            <w:noProof/>
            <w:webHidden/>
          </w:rPr>
          <w:t>93</w:t>
        </w:r>
        <w:r w:rsidR="00CA317E">
          <w:rPr>
            <w:noProof/>
            <w:webHidden/>
          </w:rPr>
          <w:fldChar w:fldCharType="end"/>
        </w:r>
      </w:hyperlink>
    </w:p>
    <w:p w14:paraId="3A8246E4" w14:textId="43B8A7AF" w:rsidR="00CA317E" w:rsidRDefault="003A4538" w:rsidP="0026782D">
      <w:pPr>
        <w:pStyle w:val="Obsah4"/>
        <w:rPr>
          <w:rFonts w:asciiTheme="minorHAnsi" w:eastAsiaTheme="minorEastAsia" w:hAnsiTheme="minorHAnsi"/>
          <w:noProof/>
          <w:sz w:val="22"/>
          <w:szCs w:val="22"/>
          <w:lang w:val="cs-CZ" w:eastAsia="cs-CZ"/>
        </w:rPr>
      </w:pPr>
      <w:hyperlink w:anchor="_Toc81817535" w:history="1">
        <w:r w:rsidR="00CA317E" w:rsidRPr="00F273A6">
          <w:rPr>
            <w:rStyle w:val="Hypertextovodkaz"/>
            <w:noProof/>
          </w:rPr>
          <w:t>Tabulka 28</w:t>
        </w:r>
        <w:r w:rsidR="00CA317E">
          <w:rPr>
            <w:rFonts w:asciiTheme="minorHAnsi" w:eastAsiaTheme="minorEastAsia" w:hAnsiTheme="minorHAnsi"/>
            <w:noProof/>
            <w:sz w:val="22"/>
            <w:szCs w:val="22"/>
            <w:lang w:val="cs-CZ" w:eastAsia="cs-CZ"/>
          </w:rPr>
          <w:tab/>
        </w:r>
        <w:r w:rsidR="00CA317E" w:rsidRPr="00F273A6">
          <w:rPr>
            <w:rStyle w:val="Hypertextovodkaz"/>
            <w:noProof/>
          </w:rPr>
          <w:t>Charakteristika výdajů v operaci 6.4.2 dle velikosti podniku</w:t>
        </w:r>
        <w:r w:rsidR="00CA317E">
          <w:rPr>
            <w:noProof/>
            <w:webHidden/>
          </w:rPr>
          <w:tab/>
        </w:r>
        <w:r w:rsidR="00CA317E">
          <w:rPr>
            <w:noProof/>
            <w:webHidden/>
          </w:rPr>
          <w:fldChar w:fldCharType="begin"/>
        </w:r>
        <w:r w:rsidR="00CA317E">
          <w:rPr>
            <w:noProof/>
            <w:webHidden/>
          </w:rPr>
          <w:instrText xml:space="preserve"> PAGEREF _Toc81817535 \h </w:instrText>
        </w:r>
        <w:r w:rsidR="00CA317E">
          <w:rPr>
            <w:noProof/>
            <w:webHidden/>
          </w:rPr>
        </w:r>
        <w:r w:rsidR="00CA317E">
          <w:rPr>
            <w:noProof/>
            <w:webHidden/>
          </w:rPr>
          <w:fldChar w:fldCharType="separate"/>
        </w:r>
        <w:r w:rsidR="00CA317E">
          <w:rPr>
            <w:noProof/>
            <w:webHidden/>
          </w:rPr>
          <w:t>94</w:t>
        </w:r>
        <w:r w:rsidR="00CA317E">
          <w:rPr>
            <w:noProof/>
            <w:webHidden/>
          </w:rPr>
          <w:fldChar w:fldCharType="end"/>
        </w:r>
      </w:hyperlink>
    </w:p>
    <w:p w14:paraId="32E670DF" w14:textId="7BB58A22" w:rsidR="00CA317E" w:rsidRDefault="003A4538" w:rsidP="0026782D">
      <w:pPr>
        <w:pStyle w:val="Obsah4"/>
        <w:rPr>
          <w:rFonts w:asciiTheme="minorHAnsi" w:eastAsiaTheme="minorEastAsia" w:hAnsiTheme="minorHAnsi"/>
          <w:noProof/>
          <w:sz w:val="22"/>
          <w:szCs w:val="22"/>
          <w:lang w:val="cs-CZ" w:eastAsia="cs-CZ"/>
        </w:rPr>
      </w:pPr>
      <w:hyperlink w:anchor="_Toc81817536" w:history="1">
        <w:r w:rsidR="00CA317E" w:rsidRPr="00F273A6">
          <w:rPr>
            <w:rStyle w:val="Hypertextovodkaz"/>
            <w:noProof/>
          </w:rPr>
          <w:t>Tabulka 29</w:t>
        </w:r>
        <w:r w:rsidR="00CA317E">
          <w:rPr>
            <w:rFonts w:asciiTheme="minorHAnsi" w:eastAsiaTheme="minorEastAsia" w:hAnsiTheme="minorHAnsi"/>
            <w:noProof/>
            <w:sz w:val="22"/>
            <w:szCs w:val="22"/>
            <w:lang w:val="cs-CZ" w:eastAsia="cs-CZ"/>
          </w:rPr>
          <w:tab/>
        </w:r>
        <w:r w:rsidR="00CA317E" w:rsidRPr="00F273A6">
          <w:rPr>
            <w:rStyle w:val="Hypertextovodkaz"/>
            <w:noProof/>
          </w:rPr>
          <w:t>Počet žádostí u operací 6.4.1 a 6.4.2</w:t>
        </w:r>
        <w:r w:rsidR="00CA317E">
          <w:rPr>
            <w:noProof/>
            <w:webHidden/>
          </w:rPr>
          <w:tab/>
        </w:r>
        <w:r w:rsidR="00CA317E">
          <w:rPr>
            <w:noProof/>
            <w:webHidden/>
          </w:rPr>
          <w:fldChar w:fldCharType="begin"/>
        </w:r>
        <w:r w:rsidR="00CA317E">
          <w:rPr>
            <w:noProof/>
            <w:webHidden/>
          </w:rPr>
          <w:instrText xml:space="preserve"> PAGEREF _Toc81817536 \h </w:instrText>
        </w:r>
        <w:r w:rsidR="00CA317E">
          <w:rPr>
            <w:noProof/>
            <w:webHidden/>
          </w:rPr>
        </w:r>
        <w:r w:rsidR="00CA317E">
          <w:rPr>
            <w:noProof/>
            <w:webHidden/>
          </w:rPr>
          <w:fldChar w:fldCharType="separate"/>
        </w:r>
        <w:r w:rsidR="00CA317E">
          <w:rPr>
            <w:noProof/>
            <w:webHidden/>
          </w:rPr>
          <w:t>95</w:t>
        </w:r>
        <w:r w:rsidR="00CA317E">
          <w:rPr>
            <w:noProof/>
            <w:webHidden/>
          </w:rPr>
          <w:fldChar w:fldCharType="end"/>
        </w:r>
      </w:hyperlink>
    </w:p>
    <w:p w14:paraId="4D84DEE5" w14:textId="4EC42845" w:rsidR="00CA317E" w:rsidRDefault="003A4538" w:rsidP="0026782D">
      <w:pPr>
        <w:pStyle w:val="Obsah4"/>
        <w:rPr>
          <w:rFonts w:asciiTheme="minorHAnsi" w:eastAsiaTheme="minorEastAsia" w:hAnsiTheme="minorHAnsi"/>
          <w:noProof/>
          <w:sz w:val="22"/>
          <w:szCs w:val="22"/>
          <w:lang w:val="cs-CZ" w:eastAsia="cs-CZ"/>
        </w:rPr>
      </w:pPr>
      <w:hyperlink w:anchor="_Toc81817537" w:history="1">
        <w:r w:rsidR="00CA317E" w:rsidRPr="00F273A6">
          <w:rPr>
            <w:rStyle w:val="Hypertextovodkaz"/>
            <w:noProof/>
          </w:rPr>
          <w:t>Tabulka 30</w:t>
        </w:r>
        <w:r w:rsidR="00CA317E">
          <w:rPr>
            <w:rFonts w:asciiTheme="minorHAnsi" w:eastAsiaTheme="minorEastAsia" w:hAnsiTheme="minorHAnsi"/>
            <w:noProof/>
            <w:sz w:val="22"/>
            <w:szCs w:val="22"/>
            <w:lang w:val="cs-CZ" w:eastAsia="cs-CZ"/>
          </w:rPr>
          <w:tab/>
        </w:r>
        <w:r w:rsidR="00CA317E" w:rsidRPr="00F273A6">
          <w:rPr>
            <w:rStyle w:val="Hypertextovodkaz"/>
            <w:noProof/>
          </w:rPr>
          <w:t>Počet žádostí dle krajů</w:t>
        </w:r>
        <w:r w:rsidR="00CA317E">
          <w:rPr>
            <w:noProof/>
            <w:webHidden/>
          </w:rPr>
          <w:tab/>
        </w:r>
        <w:r w:rsidR="00CA317E">
          <w:rPr>
            <w:noProof/>
            <w:webHidden/>
          </w:rPr>
          <w:fldChar w:fldCharType="begin"/>
        </w:r>
        <w:r w:rsidR="00CA317E">
          <w:rPr>
            <w:noProof/>
            <w:webHidden/>
          </w:rPr>
          <w:instrText xml:space="preserve"> PAGEREF _Toc81817537 \h </w:instrText>
        </w:r>
        <w:r w:rsidR="00CA317E">
          <w:rPr>
            <w:noProof/>
            <w:webHidden/>
          </w:rPr>
        </w:r>
        <w:r w:rsidR="00CA317E">
          <w:rPr>
            <w:noProof/>
            <w:webHidden/>
          </w:rPr>
          <w:fldChar w:fldCharType="separate"/>
        </w:r>
        <w:r w:rsidR="00CA317E">
          <w:rPr>
            <w:noProof/>
            <w:webHidden/>
          </w:rPr>
          <w:t>96</w:t>
        </w:r>
        <w:r w:rsidR="00CA317E">
          <w:rPr>
            <w:noProof/>
            <w:webHidden/>
          </w:rPr>
          <w:fldChar w:fldCharType="end"/>
        </w:r>
      </w:hyperlink>
    </w:p>
    <w:p w14:paraId="7D67E6C2" w14:textId="079B26F2" w:rsidR="00CA317E" w:rsidRDefault="003A4538" w:rsidP="0026782D">
      <w:pPr>
        <w:pStyle w:val="Obsah4"/>
        <w:rPr>
          <w:rFonts w:asciiTheme="minorHAnsi" w:eastAsiaTheme="minorEastAsia" w:hAnsiTheme="minorHAnsi"/>
          <w:noProof/>
          <w:sz w:val="22"/>
          <w:szCs w:val="22"/>
          <w:lang w:val="cs-CZ" w:eastAsia="cs-CZ"/>
        </w:rPr>
      </w:pPr>
      <w:hyperlink w:anchor="_Toc81817538" w:history="1">
        <w:r w:rsidR="00CA317E" w:rsidRPr="00F273A6">
          <w:rPr>
            <w:rStyle w:val="Hypertextovodkaz"/>
            <w:noProof/>
          </w:rPr>
          <w:t>Tabulka 31</w:t>
        </w:r>
        <w:r w:rsidR="00CA317E">
          <w:rPr>
            <w:rFonts w:asciiTheme="minorHAnsi" w:eastAsiaTheme="minorEastAsia" w:hAnsiTheme="minorHAnsi"/>
            <w:noProof/>
            <w:sz w:val="22"/>
            <w:szCs w:val="22"/>
            <w:lang w:val="cs-CZ" w:eastAsia="cs-CZ"/>
          </w:rPr>
          <w:tab/>
        </w:r>
        <w:r w:rsidR="00CA317E" w:rsidRPr="00F273A6">
          <w:rPr>
            <w:rStyle w:val="Hypertextovodkaz"/>
            <w:noProof/>
          </w:rPr>
          <w:t>Výměra lesních pozemků</w:t>
        </w:r>
        <w:r w:rsidR="00CA317E">
          <w:rPr>
            <w:noProof/>
            <w:webHidden/>
          </w:rPr>
          <w:tab/>
        </w:r>
        <w:r w:rsidR="00CA317E">
          <w:rPr>
            <w:noProof/>
            <w:webHidden/>
          </w:rPr>
          <w:fldChar w:fldCharType="begin"/>
        </w:r>
        <w:r w:rsidR="00CA317E">
          <w:rPr>
            <w:noProof/>
            <w:webHidden/>
          </w:rPr>
          <w:instrText xml:space="preserve"> PAGEREF _Toc81817538 \h </w:instrText>
        </w:r>
        <w:r w:rsidR="00CA317E">
          <w:rPr>
            <w:noProof/>
            <w:webHidden/>
          </w:rPr>
        </w:r>
        <w:r w:rsidR="00CA317E">
          <w:rPr>
            <w:noProof/>
            <w:webHidden/>
          </w:rPr>
          <w:fldChar w:fldCharType="separate"/>
        </w:r>
        <w:r w:rsidR="00CA317E">
          <w:rPr>
            <w:noProof/>
            <w:webHidden/>
          </w:rPr>
          <w:t>97</w:t>
        </w:r>
        <w:r w:rsidR="00CA317E">
          <w:rPr>
            <w:noProof/>
            <w:webHidden/>
          </w:rPr>
          <w:fldChar w:fldCharType="end"/>
        </w:r>
      </w:hyperlink>
    </w:p>
    <w:p w14:paraId="160C8C14" w14:textId="19688C35" w:rsidR="00CA317E" w:rsidRDefault="003A4538" w:rsidP="0026782D">
      <w:pPr>
        <w:pStyle w:val="Obsah4"/>
        <w:rPr>
          <w:rFonts w:asciiTheme="minorHAnsi" w:eastAsiaTheme="minorEastAsia" w:hAnsiTheme="minorHAnsi"/>
          <w:noProof/>
          <w:sz w:val="22"/>
          <w:szCs w:val="22"/>
          <w:lang w:val="cs-CZ" w:eastAsia="cs-CZ"/>
        </w:rPr>
      </w:pPr>
      <w:hyperlink w:anchor="_Toc81817539" w:history="1">
        <w:r w:rsidR="00CA317E" w:rsidRPr="00F273A6">
          <w:rPr>
            <w:rStyle w:val="Hypertextovodkaz"/>
            <w:noProof/>
          </w:rPr>
          <w:t>Tabulka 32</w:t>
        </w:r>
        <w:r w:rsidR="00CA317E">
          <w:rPr>
            <w:rFonts w:asciiTheme="minorHAnsi" w:eastAsiaTheme="minorEastAsia" w:hAnsiTheme="minorHAnsi"/>
            <w:noProof/>
            <w:sz w:val="22"/>
            <w:szCs w:val="22"/>
            <w:lang w:val="cs-CZ" w:eastAsia="cs-CZ"/>
          </w:rPr>
          <w:tab/>
        </w:r>
        <w:r w:rsidR="00CA317E" w:rsidRPr="00F273A6">
          <w:rPr>
            <w:rStyle w:val="Hypertextovodkaz"/>
            <w:noProof/>
          </w:rPr>
          <w:t>Výměra zemědělské půdy</w:t>
        </w:r>
        <w:r w:rsidR="00CA317E">
          <w:rPr>
            <w:noProof/>
            <w:webHidden/>
          </w:rPr>
          <w:tab/>
        </w:r>
        <w:r w:rsidR="00CA317E">
          <w:rPr>
            <w:noProof/>
            <w:webHidden/>
          </w:rPr>
          <w:fldChar w:fldCharType="begin"/>
        </w:r>
        <w:r w:rsidR="00CA317E">
          <w:rPr>
            <w:noProof/>
            <w:webHidden/>
          </w:rPr>
          <w:instrText xml:space="preserve"> PAGEREF _Toc81817539 \h </w:instrText>
        </w:r>
        <w:r w:rsidR="00CA317E">
          <w:rPr>
            <w:noProof/>
            <w:webHidden/>
          </w:rPr>
        </w:r>
        <w:r w:rsidR="00CA317E">
          <w:rPr>
            <w:noProof/>
            <w:webHidden/>
          </w:rPr>
          <w:fldChar w:fldCharType="separate"/>
        </w:r>
        <w:r w:rsidR="00CA317E">
          <w:rPr>
            <w:noProof/>
            <w:webHidden/>
          </w:rPr>
          <w:t>97</w:t>
        </w:r>
        <w:r w:rsidR="00CA317E">
          <w:rPr>
            <w:noProof/>
            <w:webHidden/>
          </w:rPr>
          <w:fldChar w:fldCharType="end"/>
        </w:r>
      </w:hyperlink>
    </w:p>
    <w:p w14:paraId="7A668872" w14:textId="4048120C" w:rsidR="00CA317E" w:rsidRDefault="003A4538" w:rsidP="0026782D">
      <w:pPr>
        <w:pStyle w:val="Obsah4"/>
        <w:rPr>
          <w:rFonts w:asciiTheme="minorHAnsi" w:eastAsiaTheme="minorEastAsia" w:hAnsiTheme="minorHAnsi"/>
          <w:noProof/>
          <w:sz w:val="22"/>
          <w:szCs w:val="22"/>
          <w:lang w:val="cs-CZ" w:eastAsia="cs-CZ"/>
        </w:rPr>
      </w:pPr>
      <w:hyperlink w:anchor="_Toc81817540" w:history="1">
        <w:r w:rsidR="00CA317E" w:rsidRPr="00F273A6">
          <w:rPr>
            <w:rStyle w:val="Hypertextovodkaz"/>
            <w:noProof/>
          </w:rPr>
          <w:t>Tabulka 33</w:t>
        </w:r>
        <w:r w:rsidR="00CA317E">
          <w:rPr>
            <w:rFonts w:asciiTheme="minorHAnsi" w:eastAsiaTheme="minorEastAsia" w:hAnsiTheme="minorHAnsi"/>
            <w:noProof/>
            <w:sz w:val="22"/>
            <w:szCs w:val="22"/>
            <w:lang w:val="cs-CZ" w:eastAsia="cs-CZ"/>
          </w:rPr>
          <w:tab/>
        </w:r>
        <w:r w:rsidR="00CA317E" w:rsidRPr="00F273A6">
          <w:rPr>
            <w:rStyle w:val="Hypertextovodkaz"/>
            <w:noProof/>
          </w:rPr>
          <w:t>Počet žádostí dle krajů</w:t>
        </w:r>
        <w:r w:rsidR="00CA317E">
          <w:rPr>
            <w:noProof/>
            <w:webHidden/>
          </w:rPr>
          <w:tab/>
        </w:r>
        <w:r w:rsidR="00CA317E">
          <w:rPr>
            <w:noProof/>
            <w:webHidden/>
          </w:rPr>
          <w:fldChar w:fldCharType="begin"/>
        </w:r>
        <w:r w:rsidR="00CA317E">
          <w:rPr>
            <w:noProof/>
            <w:webHidden/>
          </w:rPr>
          <w:instrText xml:space="preserve"> PAGEREF _Toc81817540 \h </w:instrText>
        </w:r>
        <w:r w:rsidR="00CA317E">
          <w:rPr>
            <w:noProof/>
            <w:webHidden/>
          </w:rPr>
        </w:r>
        <w:r w:rsidR="00CA317E">
          <w:rPr>
            <w:noProof/>
            <w:webHidden/>
          </w:rPr>
          <w:fldChar w:fldCharType="separate"/>
        </w:r>
        <w:r w:rsidR="00CA317E">
          <w:rPr>
            <w:noProof/>
            <w:webHidden/>
          </w:rPr>
          <w:t>97</w:t>
        </w:r>
        <w:r w:rsidR="00CA317E">
          <w:rPr>
            <w:noProof/>
            <w:webHidden/>
          </w:rPr>
          <w:fldChar w:fldCharType="end"/>
        </w:r>
      </w:hyperlink>
    </w:p>
    <w:p w14:paraId="4A8D6B8F" w14:textId="725607DA" w:rsidR="00CA317E" w:rsidRDefault="003A4538" w:rsidP="0026782D">
      <w:pPr>
        <w:pStyle w:val="Obsah4"/>
        <w:rPr>
          <w:rFonts w:asciiTheme="minorHAnsi" w:eastAsiaTheme="minorEastAsia" w:hAnsiTheme="minorHAnsi"/>
          <w:noProof/>
          <w:sz w:val="22"/>
          <w:szCs w:val="22"/>
          <w:lang w:val="cs-CZ" w:eastAsia="cs-CZ"/>
        </w:rPr>
      </w:pPr>
      <w:hyperlink w:anchor="_Toc81817541" w:history="1">
        <w:r w:rsidR="00CA317E" w:rsidRPr="00F273A6">
          <w:rPr>
            <w:rStyle w:val="Hypertextovodkaz"/>
            <w:noProof/>
          </w:rPr>
          <w:t>Tabulka 34</w:t>
        </w:r>
        <w:r w:rsidR="00CA317E">
          <w:rPr>
            <w:rFonts w:asciiTheme="minorHAnsi" w:eastAsiaTheme="minorEastAsia" w:hAnsiTheme="minorHAnsi"/>
            <w:noProof/>
            <w:sz w:val="22"/>
            <w:szCs w:val="22"/>
            <w:lang w:val="cs-CZ" w:eastAsia="cs-CZ"/>
          </w:rPr>
          <w:tab/>
        </w:r>
        <w:r w:rsidR="00CA317E" w:rsidRPr="00F273A6">
          <w:rPr>
            <w:rStyle w:val="Hypertextovodkaz"/>
            <w:noProof/>
          </w:rPr>
          <w:t>Počet žádostí dle krajů</w:t>
        </w:r>
        <w:r w:rsidR="00CA317E">
          <w:rPr>
            <w:noProof/>
            <w:webHidden/>
          </w:rPr>
          <w:tab/>
        </w:r>
        <w:r w:rsidR="00CA317E">
          <w:rPr>
            <w:noProof/>
            <w:webHidden/>
          </w:rPr>
          <w:fldChar w:fldCharType="begin"/>
        </w:r>
        <w:r w:rsidR="00CA317E">
          <w:rPr>
            <w:noProof/>
            <w:webHidden/>
          </w:rPr>
          <w:instrText xml:space="preserve"> PAGEREF _Toc81817541 \h </w:instrText>
        </w:r>
        <w:r w:rsidR="00CA317E">
          <w:rPr>
            <w:noProof/>
            <w:webHidden/>
          </w:rPr>
        </w:r>
        <w:r w:rsidR="00CA317E">
          <w:rPr>
            <w:noProof/>
            <w:webHidden/>
          </w:rPr>
          <w:fldChar w:fldCharType="separate"/>
        </w:r>
        <w:r w:rsidR="00CA317E">
          <w:rPr>
            <w:noProof/>
            <w:webHidden/>
          </w:rPr>
          <w:t>98</w:t>
        </w:r>
        <w:r w:rsidR="00CA317E">
          <w:rPr>
            <w:noProof/>
            <w:webHidden/>
          </w:rPr>
          <w:fldChar w:fldCharType="end"/>
        </w:r>
      </w:hyperlink>
    </w:p>
    <w:p w14:paraId="2E642764" w14:textId="7BF22A99" w:rsidR="00CA317E" w:rsidRDefault="003A4538" w:rsidP="0026782D">
      <w:pPr>
        <w:pStyle w:val="Obsah4"/>
        <w:rPr>
          <w:rFonts w:asciiTheme="minorHAnsi" w:eastAsiaTheme="minorEastAsia" w:hAnsiTheme="minorHAnsi"/>
          <w:noProof/>
          <w:sz w:val="22"/>
          <w:szCs w:val="22"/>
          <w:lang w:val="cs-CZ" w:eastAsia="cs-CZ"/>
        </w:rPr>
      </w:pPr>
      <w:hyperlink w:anchor="_Toc81817542" w:history="1">
        <w:r w:rsidR="00CA317E" w:rsidRPr="00F273A6">
          <w:rPr>
            <w:rStyle w:val="Hypertextovodkaz"/>
            <w:noProof/>
          </w:rPr>
          <w:t>Tabulka 35</w:t>
        </w:r>
        <w:r w:rsidR="00CA317E">
          <w:rPr>
            <w:rFonts w:asciiTheme="minorHAnsi" w:eastAsiaTheme="minorEastAsia" w:hAnsiTheme="minorHAnsi"/>
            <w:noProof/>
            <w:sz w:val="22"/>
            <w:szCs w:val="22"/>
            <w:lang w:val="cs-CZ" w:eastAsia="cs-CZ"/>
          </w:rPr>
          <w:tab/>
        </w:r>
        <w:r w:rsidR="00CA317E" w:rsidRPr="00F273A6">
          <w:rPr>
            <w:rStyle w:val="Hypertextovodkaz"/>
            <w:noProof/>
          </w:rPr>
          <w:t>celkové výdaje na všechny projekty v operaci 6.4.1</w:t>
        </w:r>
        <w:r w:rsidR="00CA317E">
          <w:rPr>
            <w:noProof/>
            <w:webHidden/>
          </w:rPr>
          <w:tab/>
        </w:r>
        <w:r w:rsidR="00CA317E">
          <w:rPr>
            <w:noProof/>
            <w:webHidden/>
          </w:rPr>
          <w:fldChar w:fldCharType="begin"/>
        </w:r>
        <w:r w:rsidR="00CA317E">
          <w:rPr>
            <w:noProof/>
            <w:webHidden/>
          </w:rPr>
          <w:instrText xml:space="preserve"> PAGEREF _Toc81817542 \h </w:instrText>
        </w:r>
        <w:r w:rsidR="00CA317E">
          <w:rPr>
            <w:noProof/>
            <w:webHidden/>
          </w:rPr>
        </w:r>
        <w:r w:rsidR="00CA317E">
          <w:rPr>
            <w:noProof/>
            <w:webHidden/>
          </w:rPr>
          <w:fldChar w:fldCharType="separate"/>
        </w:r>
        <w:r w:rsidR="00CA317E">
          <w:rPr>
            <w:noProof/>
            <w:webHidden/>
          </w:rPr>
          <w:t>99</w:t>
        </w:r>
        <w:r w:rsidR="00CA317E">
          <w:rPr>
            <w:noProof/>
            <w:webHidden/>
          </w:rPr>
          <w:fldChar w:fldCharType="end"/>
        </w:r>
      </w:hyperlink>
    </w:p>
    <w:p w14:paraId="5347E405" w14:textId="30F64030" w:rsidR="00CA317E" w:rsidRDefault="003A4538" w:rsidP="0026782D">
      <w:pPr>
        <w:pStyle w:val="Obsah4"/>
        <w:rPr>
          <w:rFonts w:asciiTheme="minorHAnsi" w:eastAsiaTheme="minorEastAsia" w:hAnsiTheme="minorHAnsi"/>
          <w:noProof/>
          <w:sz w:val="22"/>
          <w:szCs w:val="22"/>
          <w:lang w:val="cs-CZ" w:eastAsia="cs-CZ"/>
        </w:rPr>
      </w:pPr>
      <w:hyperlink w:anchor="_Toc81817543" w:history="1">
        <w:r w:rsidR="00CA317E" w:rsidRPr="00F273A6">
          <w:rPr>
            <w:rStyle w:val="Hypertextovodkaz"/>
            <w:noProof/>
          </w:rPr>
          <w:t>Tabulka 36</w:t>
        </w:r>
        <w:r w:rsidR="00CA317E">
          <w:rPr>
            <w:rFonts w:asciiTheme="minorHAnsi" w:eastAsiaTheme="minorEastAsia" w:hAnsiTheme="minorHAnsi"/>
            <w:noProof/>
            <w:sz w:val="22"/>
            <w:szCs w:val="22"/>
            <w:lang w:val="cs-CZ" w:eastAsia="cs-CZ"/>
          </w:rPr>
          <w:tab/>
        </w:r>
        <w:r w:rsidR="00CA317E" w:rsidRPr="00F273A6">
          <w:rPr>
            <w:rStyle w:val="Hypertextovodkaz"/>
            <w:noProof/>
          </w:rPr>
          <w:t>Počty žádostí dle krajů</w:t>
        </w:r>
        <w:r w:rsidR="00CA317E">
          <w:rPr>
            <w:noProof/>
            <w:webHidden/>
          </w:rPr>
          <w:tab/>
        </w:r>
        <w:r w:rsidR="00CA317E">
          <w:rPr>
            <w:noProof/>
            <w:webHidden/>
          </w:rPr>
          <w:fldChar w:fldCharType="begin"/>
        </w:r>
        <w:r w:rsidR="00CA317E">
          <w:rPr>
            <w:noProof/>
            <w:webHidden/>
          </w:rPr>
          <w:instrText xml:space="preserve"> PAGEREF _Toc81817543 \h </w:instrText>
        </w:r>
        <w:r w:rsidR="00CA317E">
          <w:rPr>
            <w:noProof/>
            <w:webHidden/>
          </w:rPr>
        </w:r>
        <w:r w:rsidR="00CA317E">
          <w:rPr>
            <w:noProof/>
            <w:webHidden/>
          </w:rPr>
          <w:fldChar w:fldCharType="separate"/>
        </w:r>
        <w:r w:rsidR="00CA317E">
          <w:rPr>
            <w:noProof/>
            <w:webHidden/>
          </w:rPr>
          <w:t>101</w:t>
        </w:r>
        <w:r w:rsidR="00CA317E">
          <w:rPr>
            <w:noProof/>
            <w:webHidden/>
          </w:rPr>
          <w:fldChar w:fldCharType="end"/>
        </w:r>
      </w:hyperlink>
    </w:p>
    <w:p w14:paraId="0803729B" w14:textId="74FC441E" w:rsidR="00CA317E" w:rsidRDefault="003A4538" w:rsidP="0026782D">
      <w:pPr>
        <w:pStyle w:val="Obsah4"/>
        <w:rPr>
          <w:rFonts w:asciiTheme="minorHAnsi" w:eastAsiaTheme="minorEastAsia" w:hAnsiTheme="minorHAnsi"/>
          <w:noProof/>
          <w:sz w:val="22"/>
          <w:szCs w:val="22"/>
          <w:lang w:val="cs-CZ" w:eastAsia="cs-CZ"/>
        </w:rPr>
      </w:pPr>
      <w:hyperlink w:anchor="_Toc81817544" w:history="1">
        <w:r w:rsidR="00CA317E" w:rsidRPr="00F273A6">
          <w:rPr>
            <w:rStyle w:val="Hypertextovodkaz"/>
            <w:noProof/>
          </w:rPr>
          <w:t>Tabulka 37</w:t>
        </w:r>
        <w:r w:rsidR="00CA317E">
          <w:rPr>
            <w:rFonts w:asciiTheme="minorHAnsi" w:eastAsiaTheme="minorEastAsia" w:hAnsiTheme="minorHAnsi"/>
            <w:noProof/>
            <w:sz w:val="22"/>
            <w:szCs w:val="22"/>
            <w:lang w:val="cs-CZ" w:eastAsia="cs-CZ"/>
          </w:rPr>
          <w:tab/>
        </w:r>
        <w:r w:rsidR="00CA317E" w:rsidRPr="00F273A6">
          <w:rPr>
            <w:rStyle w:val="Hypertextovodkaz"/>
            <w:noProof/>
          </w:rPr>
          <w:t>Celkové výdaje na projekty v operaci 6.4.2</w:t>
        </w:r>
        <w:r w:rsidR="00CA317E">
          <w:rPr>
            <w:noProof/>
            <w:webHidden/>
          </w:rPr>
          <w:tab/>
        </w:r>
        <w:r w:rsidR="00CA317E">
          <w:rPr>
            <w:noProof/>
            <w:webHidden/>
          </w:rPr>
          <w:fldChar w:fldCharType="begin"/>
        </w:r>
        <w:r w:rsidR="00CA317E">
          <w:rPr>
            <w:noProof/>
            <w:webHidden/>
          </w:rPr>
          <w:instrText xml:space="preserve"> PAGEREF _Toc81817544 \h </w:instrText>
        </w:r>
        <w:r w:rsidR="00CA317E">
          <w:rPr>
            <w:noProof/>
            <w:webHidden/>
          </w:rPr>
        </w:r>
        <w:r w:rsidR="00CA317E">
          <w:rPr>
            <w:noProof/>
            <w:webHidden/>
          </w:rPr>
          <w:fldChar w:fldCharType="separate"/>
        </w:r>
        <w:r w:rsidR="00CA317E">
          <w:rPr>
            <w:noProof/>
            <w:webHidden/>
          </w:rPr>
          <w:t>102</w:t>
        </w:r>
        <w:r w:rsidR="00CA317E">
          <w:rPr>
            <w:noProof/>
            <w:webHidden/>
          </w:rPr>
          <w:fldChar w:fldCharType="end"/>
        </w:r>
      </w:hyperlink>
    </w:p>
    <w:p w14:paraId="07504F2C" w14:textId="037E0B03" w:rsidR="00CA317E" w:rsidRDefault="003A4538" w:rsidP="0026782D">
      <w:pPr>
        <w:pStyle w:val="Obsah4"/>
        <w:rPr>
          <w:rFonts w:asciiTheme="minorHAnsi" w:eastAsiaTheme="minorEastAsia" w:hAnsiTheme="minorHAnsi"/>
          <w:noProof/>
          <w:sz w:val="22"/>
          <w:szCs w:val="22"/>
          <w:lang w:val="cs-CZ" w:eastAsia="cs-CZ"/>
        </w:rPr>
      </w:pPr>
      <w:hyperlink w:anchor="_Toc81817545" w:history="1">
        <w:r w:rsidR="00CA317E" w:rsidRPr="00F273A6">
          <w:rPr>
            <w:rStyle w:val="Hypertextovodkaz"/>
            <w:noProof/>
          </w:rPr>
          <w:t>Tabulka 38</w:t>
        </w:r>
        <w:r w:rsidR="00CA317E">
          <w:rPr>
            <w:rFonts w:asciiTheme="minorHAnsi" w:eastAsiaTheme="minorEastAsia" w:hAnsiTheme="minorHAnsi"/>
            <w:noProof/>
            <w:sz w:val="22"/>
            <w:szCs w:val="22"/>
            <w:lang w:val="cs-CZ" w:eastAsia="cs-CZ"/>
          </w:rPr>
          <w:tab/>
        </w:r>
        <w:r w:rsidR="00CA317E" w:rsidRPr="00F273A6">
          <w:rPr>
            <w:rStyle w:val="Hypertextovodkaz"/>
            <w:noProof/>
          </w:rPr>
          <w:t>Počty žádostí podle kódu právní formy</w:t>
        </w:r>
        <w:r w:rsidR="00CA317E">
          <w:rPr>
            <w:noProof/>
            <w:webHidden/>
          </w:rPr>
          <w:tab/>
        </w:r>
        <w:r w:rsidR="00CA317E">
          <w:rPr>
            <w:noProof/>
            <w:webHidden/>
          </w:rPr>
          <w:fldChar w:fldCharType="begin"/>
        </w:r>
        <w:r w:rsidR="00CA317E">
          <w:rPr>
            <w:noProof/>
            <w:webHidden/>
          </w:rPr>
          <w:instrText xml:space="preserve"> PAGEREF _Toc81817545 \h </w:instrText>
        </w:r>
        <w:r w:rsidR="00CA317E">
          <w:rPr>
            <w:noProof/>
            <w:webHidden/>
          </w:rPr>
        </w:r>
        <w:r w:rsidR="00CA317E">
          <w:rPr>
            <w:noProof/>
            <w:webHidden/>
          </w:rPr>
          <w:fldChar w:fldCharType="separate"/>
        </w:r>
        <w:r w:rsidR="00CA317E">
          <w:rPr>
            <w:noProof/>
            <w:webHidden/>
          </w:rPr>
          <w:t>103</w:t>
        </w:r>
        <w:r w:rsidR="00CA317E">
          <w:rPr>
            <w:noProof/>
            <w:webHidden/>
          </w:rPr>
          <w:fldChar w:fldCharType="end"/>
        </w:r>
      </w:hyperlink>
    </w:p>
    <w:p w14:paraId="2EF9FA91" w14:textId="45B5C3BB" w:rsidR="00CA317E" w:rsidRDefault="003A4538" w:rsidP="0026782D">
      <w:pPr>
        <w:pStyle w:val="Obsah4"/>
        <w:rPr>
          <w:rFonts w:asciiTheme="minorHAnsi" w:eastAsiaTheme="minorEastAsia" w:hAnsiTheme="minorHAnsi"/>
          <w:noProof/>
          <w:sz w:val="22"/>
          <w:szCs w:val="22"/>
          <w:lang w:val="cs-CZ" w:eastAsia="cs-CZ"/>
        </w:rPr>
      </w:pPr>
      <w:hyperlink w:anchor="_Toc81817546" w:history="1">
        <w:r w:rsidR="00CA317E" w:rsidRPr="00F273A6">
          <w:rPr>
            <w:rStyle w:val="Hypertextovodkaz"/>
            <w:noProof/>
          </w:rPr>
          <w:t>Tabulka 39</w:t>
        </w:r>
        <w:r w:rsidR="00CA317E">
          <w:rPr>
            <w:rFonts w:asciiTheme="minorHAnsi" w:eastAsiaTheme="minorEastAsia" w:hAnsiTheme="minorHAnsi"/>
            <w:noProof/>
            <w:sz w:val="22"/>
            <w:szCs w:val="22"/>
            <w:lang w:val="cs-CZ" w:eastAsia="cs-CZ"/>
          </w:rPr>
          <w:tab/>
        </w:r>
        <w:r w:rsidR="00CA317E" w:rsidRPr="00F273A6">
          <w:rPr>
            <w:rStyle w:val="Hypertextovodkaz"/>
            <w:noProof/>
          </w:rPr>
          <w:t>Počty žádostí v operaci 19.2.1 podle krajů</w:t>
        </w:r>
        <w:r w:rsidR="00CA317E">
          <w:rPr>
            <w:noProof/>
            <w:webHidden/>
          </w:rPr>
          <w:tab/>
        </w:r>
        <w:r w:rsidR="00CA317E">
          <w:rPr>
            <w:noProof/>
            <w:webHidden/>
          </w:rPr>
          <w:fldChar w:fldCharType="begin"/>
        </w:r>
        <w:r w:rsidR="00CA317E">
          <w:rPr>
            <w:noProof/>
            <w:webHidden/>
          </w:rPr>
          <w:instrText xml:space="preserve"> PAGEREF _Toc81817546 \h </w:instrText>
        </w:r>
        <w:r w:rsidR="00CA317E">
          <w:rPr>
            <w:noProof/>
            <w:webHidden/>
          </w:rPr>
        </w:r>
        <w:r w:rsidR="00CA317E">
          <w:rPr>
            <w:noProof/>
            <w:webHidden/>
          </w:rPr>
          <w:fldChar w:fldCharType="separate"/>
        </w:r>
        <w:r w:rsidR="00CA317E">
          <w:rPr>
            <w:noProof/>
            <w:webHidden/>
          </w:rPr>
          <w:t>105</w:t>
        </w:r>
        <w:r w:rsidR="00CA317E">
          <w:rPr>
            <w:noProof/>
            <w:webHidden/>
          </w:rPr>
          <w:fldChar w:fldCharType="end"/>
        </w:r>
      </w:hyperlink>
    </w:p>
    <w:p w14:paraId="470E4D44" w14:textId="0BE1AEF9" w:rsidR="00CA317E" w:rsidRDefault="003A4538" w:rsidP="0026782D">
      <w:pPr>
        <w:pStyle w:val="Obsah4"/>
        <w:rPr>
          <w:rFonts w:asciiTheme="minorHAnsi" w:eastAsiaTheme="minorEastAsia" w:hAnsiTheme="minorHAnsi"/>
          <w:noProof/>
          <w:sz w:val="22"/>
          <w:szCs w:val="22"/>
          <w:lang w:val="cs-CZ" w:eastAsia="cs-CZ"/>
        </w:rPr>
      </w:pPr>
      <w:hyperlink w:anchor="_Toc81817547" w:history="1">
        <w:r w:rsidR="00CA317E" w:rsidRPr="00F273A6">
          <w:rPr>
            <w:rStyle w:val="Hypertextovodkaz"/>
            <w:noProof/>
          </w:rPr>
          <w:t>Tabulka 40</w:t>
        </w:r>
        <w:r w:rsidR="00CA317E">
          <w:rPr>
            <w:rFonts w:asciiTheme="minorHAnsi" w:eastAsiaTheme="minorEastAsia" w:hAnsiTheme="minorHAnsi"/>
            <w:noProof/>
            <w:sz w:val="22"/>
            <w:szCs w:val="22"/>
            <w:lang w:val="cs-CZ" w:eastAsia="cs-CZ"/>
          </w:rPr>
          <w:tab/>
        </w:r>
        <w:r w:rsidR="00CA317E" w:rsidRPr="00F273A6">
          <w:rPr>
            <w:rStyle w:val="Hypertextovodkaz"/>
            <w:noProof/>
          </w:rPr>
          <w:t>Podíl žádostí podle kódu článku nařízení</w:t>
        </w:r>
        <w:r w:rsidR="00CA317E">
          <w:rPr>
            <w:noProof/>
            <w:webHidden/>
          </w:rPr>
          <w:tab/>
        </w:r>
        <w:r w:rsidR="00CA317E">
          <w:rPr>
            <w:noProof/>
            <w:webHidden/>
          </w:rPr>
          <w:fldChar w:fldCharType="begin"/>
        </w:r>
        <w:r w:rsidR="00CA317E">
          <w:rPr>
            <w:noProof/>
            <w:webHidden/>
          </w:rPr>
          <w:instrText xml:space="preserve"> PAGEREF _Toc81817547 \h </w:instrText>
        </w:r>
        <w:r w:rsidR="00CA317E">
          <w:rPr>
            <w:noProof/>
            <w:webHidden/>
          </w:rPr>
        </w:r>
        <w:r w:rsidR="00CA317E">
          <w:rPr>
            <w:noProof/>
            <w:webHidden/>
          </w:rPr>
          <w:fldChar w:fldCharType="separate"/>
        </w:r>
        <w:r w:rsidR="00CA317E">
          <w:rPr>
            <w:noProof/>
            <w:webHidden/>
          </w:rPr>
          <w:t>106</w:t>
        </w:r>
        <w:r w:rsidR="00CA317E">
          <w:rPr>
            <w:noProof/>
            <w:webHidden/>
          </w:rPr>
          <w:fldChar w:fldCharType="end"/>
        </w:r>
      </w:hyperlink>
    </w:p>
    <w:p w14:paraId="0AB6F336" w14:textId="09FB86C1" w:rsidR="00CA317E" w:rsidRDefault="003A4538" w:rsidP="0026782D">
      <w:pPr>
        <w:pStyle w:val="Obsah4"/>
        <w:rPr>
          <w:rFonts w:asciiTheme="minorHAnsi" w:eastAsiaTheme="minorEastAsia" w:hAnsiTheme="minorHAnsi"/>
          <w:noProof/>
          <w:sz w:val="22"/>
          <w:szCs w:val="22"/>
          <w:lang w:val="cs-CZ" w:eastAsia="cs-CZ"/>
        </w:rPr>
      </w:pPr>
      <w:hyperlink w:anchor="_Toc81817548" w:history="1">
        <w:r w:rsidR="00CA317E" w:rsidRPr="00F273A6">
          <w:rPr>
            <w:rStyle w:val="Hypertextovodkaz"/>
            <w:noProof/>
          </w:rPr>
          <w:t>Tabulka 41</w:t>
        </w:r>
        <w:r w:rsidR="00CA317E">
          <w:rPr>
            <w:rFonts w:asciiTheme="minorHAnsi" w:eastAsiaTheme="minorEastAsia" w:hAnsiTheme="minorHAnsi"/>
            <w:noProof/>
            <w:sz w:val="22"/>
            <w:szCs w:val="22"/>
            <w:lang w:val="cs-CZ" w:eastAsia="cs-CZ"/>
          </w:rPr>
          <w:tab/>
        </w:r>
        <w:r w:rsidR="00CA317E" w:rsidRPr="00F273A6">
          <w:rPr>
            <w:rStyle w:val="Hypertextovodkaz"/>
            <w:noProof/>
          </w:rPr>
          <w:t>Charakteristika celkových výdajů u operace 19.2.1</w:t>
        </w:r>
        <w:r w:rsidR="00CA317E">
          <w:rPr>
            <w:noProof/>
            <w:webHidden/>
          </w:rPr>
          <w:tab/>
        </w:r>
        <w:r w:rsidR="00CA317E">
          <w:rPr>
            <w:noProof/>
            <w:webHidden/>
          </w:rPr>
          <w:fldChar w:fldCharType="begin"/>
        </w:r>
        <w:r w:rsidR="00CA317E">
          <w:rPr>
            <w:noProof/>
            <w:webHidden/>
          </w:rPr>
          <w:instrText xml:space="preserve"> PAGEREF _Toc81817548 \h </w:instrText>
        </w:r>
        <w:r w:rsidR="00CA317E">
          <w:rPr>
            <w:noProof/>
            <w:webHidden/>
          </w:rPr>
        </w:r>
        <w:r w:rsidR="00CA317E">
          <w:rPr>
            <w:noProof/>
            <w:webHidden/>
          </w:rPr>
          <w:fldChar w:fldCharType="separate"/>
        </w:r>
        <w:r w:rsidR="00CA317E">
          <w:rPr>
            <w:noProof/>
            <w:webHidden/>
          </w:rPr>
          <w:t>106</w:t>
        </w:r>
        <w:r w:rsidR="00CA317E">
          <w:rPr>
            <w:noProof/>
            <w:webHidden/>
          </w:rPr>
          <w:fldChar w:fldCharType="end"/>
        </w:r>
      </w:hyperlink>
    </w:p>
    <w:p w14:paraId="279D195D" w14:textId="315D901D" w:rsidR="00CA317E" w:rsidRDefault="003A4538" w:rsidP="0026782D">
      <w:pPr>
        <w:pStyle w:val="Obsah4"/>
        <w:rPr>
          <w:rFonts w:asciiTheme="minorHAnsi" w:eastAsiaTheme="minorEastAsia" w:hAnsiTheme="minorHAnsi"/>
          <w:noProof/>
          <w:sz w:val="22"/>
          <w:szCs w:val="22"/>
          <w:lang w:val="cs-CZ" w:eastAsia="cs-CZ"/>
        </w:rPr>
      </w:pPr>
      <w:hyperlink w:anchor="_Toc81817549" w:history="1">
        <w:r w:rsidR="00CA317E" w:rsidRPr="00F273A6">
          <w:rPr>
            <w:rStyle w:val="Hypertextovodkaz"/>
            <w:noProof/>
          </w:rPr>
          <w:t>Tabulka 42</w:t>
        </w:r>
        <w:r w:rsidR="00CA317E">
          <w:rPr>
            <w:rFonts w:asciiTheme="minorHAnsi" w:eastAsiaTheme="minorEastAsia" w:hAnsiTheme="minorHAnsi"/>
            <w:noProof/>
            <w:sz w:val="22"/>
            <w:szCs w:val="22"/>
            <w:lang w:val="cs-CZ" w:eastAsia="cs-CZ"/>
          </w:rPr>
          <w:tab/>
        </w:r>
        <w:r w:rsidR="00CA317E" w:rsidRPr="00F273A6">
          <w:rPr>
            <w:rStyle w:val="Hypertextovodkaz"/>
            <w:noProof/>
          </w:rPr>
          <w:t>Podíl zaměstnaných osob podle odvětví ekonomické činnosti (%)</w:t>
        </w:r>
        <w:r w:rsidR="00CA317E">
          <w:rPr>
            <w:noProof/>
            <w:webHidden/>
          </w:rPr>
          <w:tab/>
        </w:r>
        <w:r w:rsidR="00CA317E">
          <w:rPr>
            <w:noProof/>
            <w:webHidden/>
          </w:rPr>
          <w:fldChar w:fldCharType="begin"/>
        </w:r>
        <w:r w:rsidR="00CA317E">
          <w:rPr>
            <w:noProof/>
            <w:webHidden/>
          </w:rPr>
          <w:instrText xml:space="preserve"> PAGEREF _Toc81817549 \h </w:instrText>
        </w:r>
        <w:r w:rsidR="00CA317E">
          <w:rPr>
            <w:noProof/>
            <w:webHidden/>
          </w:rPr>
        </w:r>
        <w:r w:rsidR="00CA317E">
          <w:rPr>
            <w:noProof/>
            <w:webHidden/>
          </w:rPr>
          <w:fldChar w:fldCharType="separate"/>
        </w:r>
        <w:r w:rsidR="00CA317E">
          <w:rPr>
            <w:noProof/>
            <w:webHidden/>
          </w:rPr>
          <w:t>107</w:t>
        </w:r>
        <w:r w:rsidR="00CA317E">
          <w:rPr>
            <w:noProof/>
            <w:webHidden/>
          </w:rPr>
          <w:fldChar w:fldCharType="end"/>
        </w:r>
      </w:hyperlink>
    </w:p>
    <w:p w14:paraId="50E2C7D8" w14:textId="4ECE42CF" w:rsidR="00CA317E" w:rsidRDefault="003A4538" w:rsidP="0026782D">
      <w:pPr>
        <w:pStyle w:val="Obsah4"/>
        <w:rPr>
          <w:rFonts w:asciiTheme="minorHAnsi" w:eastAsiaTheme="minorEastAsia" w:hAnsiTheme="minorHAnsi"/>
          <w:noProof/>
          <w:sz w:val="22"/>
          <w:szCs w:val="22"/>
          <w:lang w:val="cs-CZ" w:eastAsia="cs-CZ"/>
        </w:rPr>
      </w:pPr>
      <w:hyperlink w:anchor="_Toc81817550" w:history="1">
        <w:r w:rsidR="00CA317E" w:rsidRPr="00F273A6">
          <w:rPr>
            <w:rStyle w:val="Hypertextovodkaz"/>
            <w:noProof/>
          </w:rPr>
          <w:t>Tabulka 43</w:t>
        </w:r>
        <w:r w:rsidR="00CA317E">
          <w:rPr>
            <w:rFonts w:asciiTheme="minorHAnsi" w:eastAsiaTheme="minorEastAsia" w:hAnsiTheme="minorHAnsi"/>
            <w:noProof/>
            <w:sz w:val="22"/>
            <w:szCs w:val="22"/>
            <w:lang w:val="cs-CZ" w:eastAsia="cs-CZ"/>
          </w:rPr>
          <w:tab/>
        </w:r>
        <w:r w:rsidR="00CA317E" w:rsidRPr="00F273A6">
          <w:rPr>
            <w:rStyle w:val="Hypertextovodkaz"/>
            <w:noProof/>
          </w:rPr>
          <w:t>Zaměstnanost v NH dle typologie městských a venkovských regionů NUTS 3 (abs.)</w:t>
        </w:r>
        <w:r w:rsidR="00CA317E">
          <w:rPr>
            <w:noProof/>
            <w:webHidden/>
          </w:rPr>
          <w:tab/>
        </w:r>
        <w:r w:rsidR="00CA317E">
          <w:rPr>
            <w:noProof/>
            <w:webHidden/>
          </w:rPr>
          <w:fldChar w:fldCharType="begin"/>
        </w:r>
        <w:r w:rsidR="00CA317E">
          <w:rPr>
            <w:noProof/>
            <w:webHidden/>
          </w:rPr>
          <w:instrText xml:space="preserve"> PAGEREF _Toc81817550 \h </w:instrText>
        </w:r>
        <w:r w:rsidR="00CA317E">
          <w:rPr>
            <w:noProof/>
            <w:webHidden/>
          </w:rPr>
        </w:r>
        <w:r w:rsidR="00CA317E">
          <w:rPr>
            <w:noProof/>
            <w:webHidden/>
          </w:rPr>
          <w:fldChar w:fldCharType="separate"/>
        </w:r>
        <w:r w:rsidR="00CA317E">
          <w:rPr>
            <w:noProof/>
            <w:webHidden/>
          </w:rPr>
          <w:t>108</w:t>
        </w:r>
        <w:r w:rsidR="00CA317E">
          <w:rPr>
            <w:noProof/>
            <w:webHidden/>
          </w:rPr>
          <w:fldChar w:fldCharType="end"/>
        </w:r>
      </w:hyperlink>
    </w:p>
    <w:p w14:paraId="2719991D" w14:textId="6D7BA343" w:rsidR="00CA317E" w:rsidRDefault="003A4538" w:rsidP="0026782D">
      <w:pPr>
        <w:pStyle w:val="Obsah4"/>
        <w:rPr>
          <w:rFonts w:asciiTheme="minorHAnsi" w:eastAsiaTheme="minorEastAsia" w:hAnsiTheme="minorHAnsi"/>
          <w:noProof/>
          <w:sz w:val="22"/>
          <w:szCs w:val="22"/>
          <w:lang w:val="cs-CZ" w:eastAsia="cs-CZ"/>
        </w:rPr>
      </w:pPr>
      <w:hyperlink w:anchor="_Toc81817551" w:history="1">
        <w:r w:rsidR="00CA317E" w:rsidRPr="00F273A6">
          <w:rPr>
            <w:rStyle w:val="Hypertextovodkaz"/>
            <w:noProof/>
          </w:rPr>
          <w:t>Tabulka 44</w:t>
        </w:r>
        <w:r w:rsidR="00CA317E">
          <w:rPr>
            <w:rFonts w:asciiTheme="minorHAnsi" w:eastAsiaTheme="minorEastAsia" w:hAnsiTheme="minorHAnsi"/>
            <w:noProof/>
            <w:sz w:val="22"/>
            <w:szCs w:val="22"/>
            <w:lang w:val="cs-CZ" w:eastAsia="cs-CZ"/>
          </w:rPr>
          <w:tab/>
        </w:r>
        <w:r w:rsidR="00CA317E" w:rsidRPr="00F273A6">
          <w:rPr>
            <w:rStyle w:val="Hypertextovodkaz"/>
            <w:noProof/>
          </w:rPr>
          <w:t>Zaměstnanost v sektorech NH dle typologie městských a venkovských regionů NUTS 3 (%)</w:t>
        </w:r>
        <w:r w:rsidR="00CA317E">
          <w:rPr>
            <w:noProof/>
            <w:webHidden/>
          </w:rPr>
          <w:tab/>
        </w:r>
        <w:r w:rsidR="00CA317E">
          <w:rPr>
            <w:noProof/>
            <w:webHidden/>
          </w:rPr>
          <w:fldChar w:fldCharType="begin"/>
        </w:r>
        <w:r w:rsidR="00CA317E">
          <w:rPr>
            <w:noProof/>
            <w:webHidden/>
          </w:rPr>
          <w:instrText xml:space="preserve"> PAGEREF _Toc81817551 \h </w:instrText>
        </w:r>
        <w:r w:rsidR="00CA317E">
          <w:rPr>
            <w:noProof/>
            <w:webHidden/>
          </w:rPr>
        </w:r>
        <w:r w:rsidR="00CA317E">
          <w:rPr>
            <w:noProof/>
            <w:webHidden/>
          </w:rPr>
          <w:fldChar w:fldCharType="separate"/>
        </w:r>
        <w:r w:rsidR="00CA317E">
          <w:rPr>
            <w:noProof/>
            <w:webHidden/>
          </w:rPr>
          <w:t>108</w:t>
        </w:r>
        <w:r w:rsidR="00CA317E">
          <w:rPr>
            <w:noProof/>
            <w:webHidden/>
          </w:rPr>
          <w:fldChar w:fldCharType="end"/>
        </w:r>
      </w:hyperlink>
    </w:p>
    <w:p w14:paraId="1C13B9BD" w14:textId="35CC3F3D" w:rsidR="00CA317E" w:rsidRDefault="003A4538" w:rsidP="0026782D">
      <w:pPr>
        <w:pStyle w:val="Obsah4"/>
        <w:rPr>
          <w:rFonts w:asciiTheme="minorHAnsi" w:eastAsiaTheme="minorEastAsia" w:hAnsiTheme="minorHAnsi"/>
          <w:noProof/>
          <w:sz w:val="22"/>
          <w:szCs w:val="22"/>
          <w:lang w:val="cs-CZ" w:eastAsia="cs-CZ"/>
        </w:rPr>
      </w:pPr>
      <w:hyperlink w:anchor="_Toc81817552" w:history="1">
        <w:r w:rsidR="00CA317E" w:rsidRPr="00F273A6">
          <w:rPr>
            <w:rStyle w:val="Hypertextovodkaz"/>
            <w:noProof/>
          </w:rPr>
          <w:t>Tabulka 45</w:t>
        </w:r>
        <w:r w:rsidR="00CA317E">
          <w:rPr>
            <w:rFonts w:asciiTheme="minorHAnsi" w:eastAsiaTheme="minorEastAsia" w:hAnsiTheme="minorHAnsi"/>
            <w:noProof/>
            <w:sz w:val="22"/>
            <w:szCs w:val="22"/>
            <w:lang w:val="cs-CZ" w:eastAsia="cs-CZ"/>
          </w:rPr>
          <w:tab/>
        </w:r>
        <w:r w:rsidR="00CA317E" w:rsidRPr="00F273A6">
          <w:rPr>
            <w:rStyle w:val="Hypertextovodkaz"/>
            <w:noProof/>
          </w:rPr>
          <w:t>Vstup pracovní síly do odvětví lesního hospodářství</w:t>
        </w:r>
        <w:r w:rsidR="00CA317E">
          <w:rPr>
            <w:noProof/>
            <w:webHidden/>
          </w:rPr>
          <w:tab/>
        </w:r>
        <w:r w:rsidR="00CA317E">
          <w:rPr>
            <w:noProof/>
            <w:webHidden/>
          </w:rPr>
          <w:fldChar w:fldCharType="begin"/>
        </w:r>
        <w:r w:rsidR="00CA317E">
          <w:rPr>
            <w:noProof/>
            <w:webHidden/>
          </w:rPr>
          <w:instrText xml:space="preserve"> PAGEREF _Toc81817552 \h </w:instrText>
        </w:r>
        <w:r w:rsidR="00CA317E">
          <w:rPr>
            <w:noProof/>
            <w:webHidden/>
          </w:rPr>
        </w:r>
        <w:r w:rsidR="00CA317E">
          <w:rPr>
            <w:noProof/>
            <w:webHidden/>
          </w:rPr>
          <w:fldChar w:fldCharType="separate"/>
        </w:r>
        <w:r w:rsidR="00CA317E">
          <w:rPr>
            <w:noProof/>
            <w:webHidden/>
          </w:rPr>
          <w:t>118</w:t>
        </w:r>
        <w:r w:rsidR="00CA317E">
          <w:rPr>
            <w:noProof/>
            <w:webHidden/>
          </w:rPr>
          <w:fldChar w:fldCharType="end"/>
        </w:r>
      </w:hyperlink>
    </w:p>
    <w:p w14:paraId="3BC95716" w14:textId="42CDC289" w:rsidR="00CA317E" w:rsidRDefault="003A4538" w:rsidP="0026782D">
      <w:pPr>
        <w:pStyle w:val="Obsah4"/>
        <w:rPr>
          <w:rFonts w:asciiTheme="minorHAnsi" w:eastAsiaTheme="minorEastAsia" w:hAnsiTheme="minorHAnsi"/>
          <w:noProof/>
          <w:sz w:val="22"/>
          <w:szCs w:val="22"/>
          <w:lang w:val="cs-CZ" w:eastAsia="cs-CZ"/>
        </w:rPr>
      </w:pPr>
      <w:hyperlink w:anchor="_Toc81817553" w:history="1">
        <w:r w:rsidR="00CA317E" w:rsidRPr="00F273A6">
          <w:rPr>
            <w:rStyle w:val="Hypertextovodkaz"/>
            <w:noProof/>
          </w:rPr>
          <w:t>Tabulka 46</w:t>
        </w:r>
        <w:r w:rsidR="00CA317E">
          <w:rPr>
            <w:rFonts w:asciiTheme="minorHAnsi" w:eastAsiaTheme="minorEastAsia" w:hAnsiTheme="minorHAnsi"/>
            <w:noProof/>
            <w:sz w:val="22"/>
            <w:szCs w:val="22"/>
            <w:lang w:val="cs-CZ" w:eastAsia="cs-CZ"/>
          </w:rPr>
          <w:tab/>
        </w:r>
        <w:r w:rsidR="00CA317E" w:rsidRPr="00F273A6">
          <w:rPr>
            <w:rStyle w:val="Hypertextovodkaz"/>
            <w:rFonts w:eastAsiaTheme="majorEastAsia"/>
            <w:noProof/>
          </w:rPr>
          <w:t xml:space="preserve">Vývoj průměrných mezd v krajích a </w:t>
        </w:r>
        <w:r w:rsidR="00CA317E" w:rsidRPr="00F273A6">
          <w:rPr>
            <w:rStyle w:val="Hypertextovodkaz"/>
            <w:noProof/>
          </w:rPr>
          <w:t>dle typologie městských a venkovských regionů (NUTS3)</w:t>
        </w:r>
        <w:r w:rsidR="00CA317E" w:rsidRPr="00F273A6">
          <w:rPr>
            <w:rStyle w:val="Hypertextovodkaz"/>
            <w:rFonts w:eastAsiaTheme="majorEastAsia"/>
            <w:noProof/>
          </w:rPr>
          <w:t xml:space="preserve"> v letech 2011-2019 (Kč)</w:t>
        </w:r>
        <w:r w:rsidR="00CA317E">
          <w:rPr>
            <w:noProof/>
            <w:webHidden/>
          </w:rPr>
          <w:tab/>
        </w:r>
        <w:r w:rsidR="00CA317E">
          <w:rPr>
            <w:noProof/>
            <w:webHidden/>
          </w:rPr>
          <w:fldChar w:fldCharType="begin"/>
        </w:r>
        <w:r w:rsidR="00CA317E">
          <w:rPr>
            <w:noProof/>
            <w:webHidden/>
          </w:rPr>
          <w:instrText xml:space="preserve"> PAGEREF _Toc81817553 \h </w:instrText>
        </w:r>
        <w:r w:rsidR="00CA317E">
          <w:rPr>
            <w:noProof/>
            <w:webHidden/>
          </w:rPr>
        </w:r>
        <w:r w:rsidR="00CA317E">
          <w:rPr>
            <w:noProof/>
            <w:webHidden/>
          </w:rPr>
          <w:fldChar w:fldCharType="separate"/>
        </w:r>
        <w:r w:rsidR="00CA317E">
          <w:rPr>
            <w:noProof/>
            <w:webHidden/>
          </w:rPr>
          <w:t>119</w:t>
        </w:r>
        <w:r w:rsidR="00CA317E">
          <w:rPr>
            <w:noProof/>
            <w:webHidden/>
          </w:rPr>
          <w:fldChar w:fldCharType="end"/>
        </w:r>
      </w:hyperlink>
    </w:p>
    <w:p w14:paraId="361EAF26" w14:textId="2840F7DA" w:rsidR="00CA317E" w:rsidRDefault="003A4538" w:rsidP="0026782D">
      <w:pPr>
        <w:pStyle w:val="Obsah4"/>
        <w:rPr>
          <w:rFonts w:asciiTheme="minorHAnsi" w:eastAsiaTheme="minorEastAsia" w:hAnsiTheme="minorHAnsi"/>
          <w:noProof/>
          <w:sz w:val="22"/>
          <w:szCs w:val="22"/>
          <w:lang w:val="cs-CZ" w:eastAsia="cs-CZ"/>
        </w:rPr>
      </w:pPr>
      <w:hyperlink w:anchor="_Toc81817554" w:history="1">
        <w:r w:rsidR="00CA317E" w:rsidRPr="00F273A6">
          <w:rPr>
            <w:rStyle w:val="Hypertextovodkaz"/>
            <w:noProof/>
          </w:rPr>
          <w:t>Tabulka 47</w:t>
        </w:r>
        <w:r w:rsidR="00CA317E">
          <w:rPr>
            <w:rFonts w:asciiTheme="minorHAnsi" w:eastAsiaTheme="minorEastAsia" w:hAnsiTheme="minorHAnsi"/>
            <w:noProof/>
            <w:sz w:val="22"/>
            <w:szCs w:val="22"/>
            <w:lang w:val="cs-CZ" w:eastAsia="cs-CZ"/>
          </w:rPr>
          <w:tab/>
        </w:r>
        <w:r w:rsidR="00CA317E" w:rsidRPr="00F273A6">
          <w:rPr>
            <w:rStyle w:val="Hypertextovodkaz"/>
            <w:noProof/>
          </w:rPr>
          <w:t>Průměrná mzda v lesním hospodářství</w:t>
        </w:r>
        <w:r w:rsidR="00CA317E">
          <w:rPr>
            <w:noProof/>
            <w:webHidden/>
          </w:rPr>
          <w:tab/>
        </w:r>
        <w:r w:rsidR="00CA317E">
          <w:rPr>
            <w:noProof/>
            <w:webHidden/>
          </w:rPr>
          <w:fldChar w:fldCharType="begin"/>
        </w:r>
        <w:r w:rsidR="00CA317E">
          <w:rPr>
            <w:noProof/>
            <w:webHidden/>
          </w:rPr>
          <w:instrText xml:space="preserve"> PAGEREF _Toc81817554 \h </w:instrText>
        </w:r>
        <w:r w:rsidR="00CA317E">
          <w:rPr>
            <w:noProof/>
            <w:webHidden/>
          </w:rPr>
        </w:r>
        <w:r w:rsidR="00CA317E">
          <w:rPr>
            <w:noProof/>
            <w:webHidden/>
          </w:rPr>
          <w:fldChar w:fldCharType="separate"/>
        </w:r>
        <w:r w:rsidR="00CA317E">
          <w:rPr>
            <w:noProof/>
            <w:webHidden/>
          </w:rPr>
          <w:t>128</w:t>
        </w:r>
        <w:r w:rsidR="00CA317E">
          <w:rPr>
            <w:noProof/>
            <w:webHidden/>
          </w:rPr>
          <w:fldChar w:fldCharType="end"/>
        </w:r>
      </w:hyperlink>
    </w:p>
    <w:p w14:paraId="52321B92" w14:textId="5DE6A9F6" w:rsidR="00CA317E" w:rsidRDefault="003A4538" w:rsidP="0026782D">
      <w:pPr>
        <w:pStyle w:val="Obsah4"/>
        <w:rPr>
          <w:rFonts w:asciiTheme="minorHAnsi" w:eastAsiaTheme="minorEastAsia" w:hAnsiTheme="minorHAnsi"/>
          <w:noProof/>
          <w:sz w:val="22"/>
          <w:szCs w:val="22"/>
          <w:lang w:val="cs-CZ" w:eastAsia="cs-CZ"/>
        </w:rPr>
      </w:pPr>
      <w:hyperlink w:anchor="_Toc81817555" w:history="1">
        <w:r w:rsidR="00CA317E" w:rsidRPr="00F273A6">
          <w:rPr>
            <w:rStyle w:val="Hypertextovodkaz"/>
            <w:noProof/>
          </w:rPr>
          <w:t>Tabulka 48</w:t>
        </w:r>
        <w:r w:rsidR="00CA317E">
          <w:rPr>
            <w:rFonts w:asciiTheme="minorHAnsi" w:eastAsiaTheme="minorEastAsia" w:hAnsiTheme="minorHAnsi"/>
            <w:noProof/>
            <w:sz w:val="22"/>
            <w:szCs w:val="22"/>
            <w:lang w:val="cs-CZ" w:eastAsia="cs-CZ"/>
          </w:rPr>
          <w:tab/>
        </w:r>
        <w:r w:rsidR="00CA317E" w:rsidRPr="00F273A6">
          <w:rPr>
            <w:rStyle w:val="Hypertextovodkaz"/>
            <w:noProof/>
          </w:rPr>
          <w:t>Přehled příjmů domácností v roce 2016 podle velikosti obce (počtu obyvatel obce) (průměry na osobu v Kč za rok)</w:t>
        </w:r>
        <w:r w:rsidR="00CA317E">
          <w:rPr>
            <w:noProof/>
            <w:webHidden/>
          </w:rPr>
          <w:tab/>
        </w:r>
        <w:r w:rsidR="00CA317E">
          <w:rPr>
            <w:noProof/>
            <w:webHidden/>
          </w:rPr>
          <w:fldChar w:fldCharType="begin"/>
        </w:r>
        <w:r w:rsidR="00CA317E">
          <w:rPr>
            <w:noProof/>
            <w:webHidden/>
          </w:rPr>
          <w:instrText xml:space="preserve"> PAGEREF _Toc81817555 \h </w:instrText>
        </w:r>
        <w:r w:rsidR="00CA317E">
          <w:rPr>
            <w:noProof/>
            <w:webHidden/>
          </w:rPr>
        </w:r>
        <w:r w:rsidR="00CA317E">
          <w:rPr>
            <w:noProof/>
            <w:webHidden/>
          </w:rPr>
          <w:fldChar w:fldCharType="separate"/>
        </w:r>
        <w:r w:rsidR="00CA317E">
          <w:rPr>
            <w:noProof/>
            <w:webHidden/>
          </w:rPr>
          <w:t>128</w:t>
        </w:r>
        <w:r w:rsidR="00CA317E">
          <w:rPr>
            <w:noProof/>
            <w:webHidden/>
          </w:rPr>
          <w:fldChar w:fldCharType="end"/>
        </w:r>
      </w:hyperlink>
    </w:p>
    <w:p w14:paraId="675896EA" w14:textId="24251628" w:rsidR="00CA317E" w:rsidRDefault="003A4538" w:rsidP="0026782D">
      <w:pPr>
        <w:pStyle w:val="Obsah4"/>
        <w:rPr>
          <w:rFonts w:asciiTheme="minorHAnsi" w:eastAsiaTheme="minorEastAsia" w:hAnsiTheme="minorHAnsi"/>
          <w:noProof/>
          <w:sz w:val="22"/>
          <w:szCs w:val="22"/>
          <w:lang w:val="cs-CZ" w:eastAsia="cs-CZ"/>
        </w:rPr>
      </w:pPr>
      <w:hyperlink w:anchor="_Toc81817556" w:history="1">
        <w:r w:rsidR="00CA317E" w:rsidRPr="00F273A6">
          <w:rPr>
            <w:rStyle w:val="Hypertextovodkaz"/>
            <w:noProof/>
          </w:rPr>
          <w:t>Tabulka 49</w:t>
        </w:r>
        <w:r w:rsidR="00CA317E">
          <w:rPr>
            <w:rFonts w:asciiTheme="minorHAnsi" w:eastAsiaTheme="minorEastAsia" w:hAnsiTheme="minorHAnsi"/>
            <w:noProof/>
            <w:sz w:val="22"/>
            <w:szCs w:val="22"/>
            <w:lang w:val="cs-CZ" w:eastAsia="cs-CZ"/>
          </w:rPr>
          <w:tab/>
        </w:r>
        <w:r w:rsidR="00CA317E" w:rsidRPr="00F273A6">
          <w:rPr>
            <w:rStyle w:val="Hypertextovodkaz"/>
            <w:noProof/>
          </w:rPr>
          <w:t>Podíl osob v domácnostech, které si nemohly dovolit z finančních důvodů danou položku v roce 2020</w:t>
        </w:r>
        <w:r w:rsidR="00CA317E">
          <w:rPr>
            <w:noProof/>
            <w:webHidden/>
          </w:rPr>
          <w:tab/>
        </w:r>
        <w:r w:rsidR="0026782D">
          <w:rPr>
            <w:noProof/>
            <w:webHidden/>
          </w:rPr>
          <w:tab/>
        </w:r>
        <w:r w:rsidR="00CA317E">
          <w:rPr>
            <w:noProof/>
            <w:webHidden/>
          </w:rPr>
          <w:fldChar w:fldCharType="begin"/>
        </w:r>
        <w:r w:rsidR="00CA317E">
          <w:rPr>
            <w:noProof/>
            <w:webHidden/>
          </w:rPr>
          <w:instrText xml:space="preserve"> PAGEREF _Toc81817556 \h </w:instrText>
        </w:r>
        <w:r w:rsidR="00CA317E">
          <w:rPr>
            <w:noProof/>
            <w:webHidden/>
          </w:rPr>
        </w:r>
        <w:r w:rsidR="00CA317E">
          <w:rPr>
            <w:noProof/>
            <w:webHidden/>
          </w:rPr>
          <w:fldChar w:fldCharType="separate"/>
        </w:r>
        <w:r w:rsidR="00CA317E">
          <w:rPr>
            <w:noProof/>
            <w:webHidden/>
          </w:rPr>
          <w:t>133</w:t>
        </w:r>
        <w:r w:rsidR="00CA317E">
          <w:rPr>
            <w:noProof/>
            <w:webHidden/>
          </w:rPr>
          <w:fldChar w:fldCharType="end"/>
        </w:r>
      </w:hyperlink>
    </w:p>
    <w:p w14:paraId="4CA277E8" w14:textId="11A92425" w:rsidR="00CA317E" w:rsidRDefault="003A4538" w:rsidP="0026782D">
      <w:pPr>
        <w:pStyle w:val="Obsah4"/>
        <w:rPr>
          <w:rFonts w:asciiTheme="minorHAnsi" w:eastAsiaTheme="minorEastAsia" w:hAnsiTheme="minorHAnsi"/>
          <w:noProof/>
          <w:sz w:val="22"/>
          <w:szCs w:val="22"/>
          <w:lang w:val="cs-CZ" w:eastAsia="cs-CZ"/>
        </w:rPr>
      </w:pPr>
      <w:hyperlink w:anchor="_Toc81817557" w:history="1">
        <w:r w:rsidR="00CA317E" w:rsidRPr="00F273A6">
          <w:rPr>
            <w:rStyle w:val="Hypertextovodkaz"/>
            <w:noProof/>
          </w:rPr>
          <w:t>Tabulka 50</w:t>
        </w:r>
        <w:r w:rsidR="00CA317E">
          <w:rPr>
            <w:rFonts w:asciiTheme="minorHAnsi" w:eastAsiaTheme="minorEastAsia" w:hAnsiTheme="minorHAnsi"/>
            <w:noProof/>
            <w:sz w:val="22"/>
            <w:szCs w:val="22"/>
            <w:lang w:val="cs-CZ" w:eastAsia="cs-CZ"/>
          </w:rPr>
          <w:tab/>
        </w:r>
        <w:r w:rsidR="00CA317E" w:rsidRPr="00F273A6">
          <w:rPr>
            <w:rStyle w:val="Hypertextovodkaz"/>
            <w:noProof/>
          </w:rPr>
          <w:t>Občanská vybavenost venkovských obcí v roce 2016</w:t>
        </w:r>
        <w:r w:rsidR="00CA317E">
          <w:rPr>
            <w:noProof/>
            <w:webHidden/>
          </w:rPr>
          <w:tab/>
        </w:r>
        <w:r w:rsidR="00CA317E">
          <w:rPr>
            <w:noProof/>
            <w:webHidden/>
          </w:rPr>
          <w:fldChar w:fldCharType="begin"/>
        </w:r>
        <w:r w:rsidR="00CA317E">
          <w:rPr>
            <w:noProof/>
            <w:webHidden/>
          </w:rPr>
          <w:instrText xml:space="preserve"> PAGEREF _Toc81817557 \h </w:instrText>
        </w:r>
        <w:r w:rsidR="00CA317E">
          <w:rPr>
            <w:noProof/>
            <w:webHidden/>
          </w:rPr>
        </w:r>
        <w:r w:rsidR="00CA317E">
          <w:rPr>
            <w:noProof/>
            <w:webHidden/>
          </w:rPr>
          <w:fldChar w:fldCharType="separate"/>
        </w:r>
        <w:r w:rsidR="00CA317E">
          <w:rPr>
            <w:noProof/>
            <w:webHidden/>
          </w:rPr>
          <w:t>137</w:t>
        </w:r>
        <w:r w:rsidR="00CA317E">
          <w:rPr>
            <w:noProof/>
            <w:webHidden/>
          </w:rPr>
          <w:fldChar w:fldCharType="end"/>
        </w:r>
      </w:hyperlink>
    </w:p>
    <w:p w14:paraId="0FDEE483" w14:textId="59ED3013" w:rsidR="00CA317E" w:rsidRDefault="003A4538" w:rsidP="0026782D">
      <w:pPr>
        <w:pStyle w:val="Obsah4"/>
        <w:rPr>
          <w:rFonts w:asciiTheme="minorHAnsi" w:eastAsiaTheme="minorEastAsia" w:hAnsiTheme="minorHAnsi"/>
          <w:noProof/>
          <w:sz w:val="22"/>
          <w:szCs w:val="22"/>
          <w:lang w:val="cs-CZ" w:eastAsia="cs-CZ"/>
        </w:rPr>
      </w:pPr>
      <w:hyperlink w:anchor="_Toc81817558" w:history="1">
        <w:r w:rsidR="00CA317E" w:rsidRPr="00F273A6">
          <w:rPr>
            <w:rStyle w:val="Hypertextovodkaz"/>
            <w:noProof/>
          </w:rPr>
          <w:t>Tabulka 51</w:t>
        </w:r>
        <w:r w:rsidR="00CA317E">
          <w:rPr>
            <w:rFonts w:asciiTheme="minorHAnsi" w:eastAsiaTheme="minorEastAsia" w:hAnsiTheme="minorHAnsi"/>
            <w:noProof/>
            <w:sz w:val="22"/>
            <w:szCs w:val="22"/>
            <w:lang w:val="cs-CZ" w:eastAsia="cs-CZ"/>
          </w:rPr>
          <w:tab/>
        </w:r>
        <w:r w:rsidR="00CA317E" w:rsidRPr="00F273A6">
          <w:rPr>
            <w:rStyle w:val="Hypertextovodkaz"/>
            <w:noProof/>
          </w:rPr>
          <w:t>Občanská vybavenost obcí v roce 2016</w:t>
        </w:r>
        <w:r w:rsidR="00CA317E">
          <w:rPr>
            <w:noProof/>
            <w:webHidden/>
          </w:rPr>
          <w:tab/>
        </w:r>
        <w:r w:rsidR="00CA317E">
          <w:rPr>
            <w:noProof/>
            <w:webHidden/>
          </w:rPr>
          <w:fldChar w:fldCharType="begin"/>
        </w:r>
        <w:r w:rsidR="00CA317E">
          <w:rPr>
            <w:noProof/>
            <w:webHidden/>
          </w:rPr>
          <w:instrText xml:space="preserve"> PAGEREF _Toc81817558 \h </w:instrText>
        </w:r>
        <w:r w:rsidR="00CA317E">
          <w:rPr>
            <w:noProof/>
            <w:webHidden/>
          </w:rPr>
        </w:r>
        <w:r w:rsidR="00CA317E">
          <w:rPr>
            <w:noProof/>
            <w:webHidden/>
          </w:rPr>
          <w:fldChar w:fldCharType="separate"/>
        </w:r>
        <w:r w:rsidR="00CA317E">
          <w:rPr>
            <w:noProof/>
            <w:webHidden/>
          </w:rPr>
          <w:t>138</w:t>
        </w:r>
        <w:r w:rsidR="00CA317E">
          <w:rPr>
            <w:noProof/>
            <w:webHidden/>
          </w:rPr>
          <w:fldChar w:fldCharType="end"/>
        </w:r>
      </w:hyperlink>
    </w:p>
    <w:p w14:paraId="74F13846" w14:textId="7D1E9168" w:rsidR="00CA317E" w:rsidRDefault="003A4538" w:rsidP="0026782D">
      <w:pPr>
        <w:pStyle w:val="Obsah4"/>
        <w:rPr>
          <w:rFonts w:asciiTheme="minorHAnsi" w:eastAsiaTheme="minorEastAsia" w:hAnsiTheme="minorHAnsi"/>
          <w:noProof/>
          <w:sz w:val="22"/>
          <w:szCs w:val="22"/>
          <w:lang w:val="cs-CZ" w:eastAsia="cs-CZ"/>
        </w:rPr>
      </w:pPr>
      <w:hyperlink w:anchor="_Toc81817559" w:history="1">
        <w:r w:rsidR="00CA317E" w:rsidRPr="00F273A6">
          <w:rPr>
            <w:rStyle w:val="Hypertextovodkaz"/>
            <w:noProof/>
          </w:rPr>
          <w:t>Tabulka 52</w:t>
        </w:r>
        <w:r w:rsidR="00CA317E">
          <w:rPr>
            <w:rFonts w:asciiTheme="minorHAnsi" w:eastAsiaTheme="minorEastAsia" w:hAnsiTheme="minorHAnsi"/>
            <w:noProof/>
            <w:sz w:val="22"/>
            <w:szCs w:val="22"/>
            <w:lang w:val="cs-CZ" w:eastAsia="cs-CZ"/>
          </w:rPr>
          <w:tab/>
        </w:r>
        <w:r w:rsidR="00CA317E" w:rsidRPr="00F273A6">
          <w:rPr>
            <w:rStyle w:val="Hypertextovodkaz"/>
            <w:noProof/>
          </w:rPr>
          <w:t>Podíl obcí vybavených kanalizací v roce 2016</w:t>
        </w:r>
        <w:r w:rsidR="00CA317E">
          <w:rPr>
            <w:noProof/>
            <w:webHidden/>
          </w:rPr>
          <w:tab/>
        </w:r>
        <w:r w:rsidR="00CA317E">
          <w:rPr>
            <w:noProof/>
            <w:webHidden/>
          </w:rPr>
          <w:fldChar w:fldCharType="begin"/>
        </w:r>
        <w:r w:rsidR="00CA317E">
          <w:rPr>
            <w:noProof/>
            <w:webHidden/>
          </w:rPr>
          <w:instrText xml:space="preserve"> PAGEREF _Toc81817559 \h </w:instrText>
        </w:r>
        <w:r w:rsidR="00CA317E">
          <w:rPr>
            <w:noProof/>
            <w:webHidden/>
          </w:rPr>
        </w:r>
        <w:r w:rsidR="00CA317E">
          <w:rPr>
            <w:noProof/>
            <w:webHidden/>
          </w:rPr>
          <w:fldChar w:fldCharType="separate"/>
        </w:r>
        <w:r w:rsidR="00CA317E">
          <w:rPr>
            <w:noProof/>
            <w:webHidden/>
          </w:rPr>
          <w:t>138</w:t>
        </w:r>
        <w:r w:rsidR="00CA317E">
          <w:rPr>
            <w:noProof/>
            <w:webHidden/>
          </w:rPr>
          <w:fldChar w:fldCharType="end"/>
        </w:r>
      </w:hyperlink>
    </w:p>
    <w:p w14:paraId="6508C898" w14:textId="0D174C5F" w:rsidR="00CA317E" w:rsidRDefault="003A4538" w:rsidP="0026782D">
      <w:pPr>
        <w:pStyle w:val="Obsah4"/>
        <w:rPr>
          <w:rFonts w:asciiTheme="minorHAnsi" w:eastAsiaTheme="minorEastAsia" w:hAnsiTheme="minorHAnsi"/>
          <w:noProof/>
          <w:sz w:val="22"/>
          <w:szCs w:val="22"/>
          <w:lang w:val="cs-CZ" w:eastAsia="cs-CZ"/>
        </w:rPr>
      </w:pPr>
      <w:hyperlink w:anchor="_Toc81817560" w:history="1">
        <w:r w:rsidR="00CA317E" w:rsidRPr="00F273A6">
          <w:rPr>
            <w:rStyle w:val="Hypertextovodkaz"/>
            <w:noProof/>
          </w:rPr>
          <w:t>Tabulka 53</w:t>
        </w:r>
        <w:r w:rsidR="00CA317E">
          <w:rPr>
            <w:rFonts w:asciiTheme="minorHAnsi" w:eastAsiaTheme="minorEastAsia" w:hAnsiTheme="minorHAnsi"/>
            <w:noProof/>
            <w:sz w:val="22"/>
            <w:szCs w:val="22"/>
            <w:lang w:val="cs-CZ" w:eastAsia="cs-CZ"/>
          </w:rPr>
          <w:tab/>
        </w:r>
        <w:r w:rsidR="00CA317E" w:rsidRPr="00F273A6">
          <w:rPr>
            <w:rStyle w:val="Hypertextovodkaz"/>
            <w:noProof/>
          </w:rPr>
          <w:t>Podíl obcí vybavených kanalizací s napojením na ČOV v roce 2016</w:t>
        </w:r>
        <w:r w:rsidR="00CA317E">
          <w:rPr>
            <w:noProof/>
            <w:webHidden/>
          </w:rPr>
          <w:tab/>
        </w:r>
        <w:r w:rsidR="00CA317E">
          <w:rPr>
            <w:noProof/>
            <w:webHidden/>
          </w:rPr>
          <w:fldChar w:fldCharType="begin"/>
        </w:r>
        <w:r w:rsidR="00CA317E">
          <w:rPr>
            <w:noProof/>
            <w:webHidden/>
          </w:rPr>
          <w:instrText xml:space="preserve"> PAGEREF _Toc81817560 \h </w:instrText>
        </w:r>
        <w:r w:rsidR="00CA317E">
          <w:rPr>
            <w:noProof/>
            <w:webHidden/>
          </w:rPr>
        </w:r>
        <w:r w:rsidR="00CA317E">
          <w:rPr>
            <w:noProof/>
            <w:webHidden/>
          </w:rPr>
          <w:fldChar w:fldCharType="separate"/>
        </w:r>
        <w:r w:rsidR="00CA317E">
          <w:rPr>
            <w:noProof/>
            <w:webHidden/>
          </w:rPr>
          <w:t>139</w:t>
        </w:r>
        <w:r w:rsidR="00CA317E">
          <w:rPr>
            <w:noProof/>
            <w:webHidden/>
          </w:rPr>
          <w:fldChar w:fldCharType="end"/>
        </w:r>
      </w:hyperlink>
    </w:p>
    <w:p w14:paraId="1D04501A" w14:textId="6ADB8862" w:rsidR="00CA317E" w:rsidRDefault="003A4538" w:rsidP="0026782D">
      <w:pPr>
        <w:pStyle w:val="Obsah4"/>
        <w:rPr>
          <w:rFonts w:asciiTheme="minorHAnsi" w:eastAsiaTheme="minorEastAsia" w:hAnsiTheme="minorHAnsi"/>
          <w:noProof/>
          <w:sz w:val="22"/>
          <w:szCs w:val="22"/>
          <w:lang w:val="cs-CZ" w:eastAsia="cs-CZ"/>
        </w:rPr>
      </w:pPr>
      <w:hyperlink w:anchor="_Toc81817561" w:history="1">
        <w:r w:rsidR="00CA317E" w:rsidRPr="00F273A6">
          <w:rPr>
            <w:rStyle w:val="Hypertextovodkaz"/>
            <w:noProof/>
          </w:rPr>
          <w:t>Tabulka 54</w:t>
        </w:r>
        <w:r w:rsidR="00CA317E">
          <w:rPr>
            <w:rFonts w:asciiTheme="minorHAnsi" w:eastAsiaTheme="minorEastAsia" w:hAnsiTheme="minorHAnsi"/>
            <w:noProof/>
            <w:sz w:val="22"/>
            <w:szCs w:val="22"/>
            <w:lang w:val="cs-CZ" w:eastAsia="cs-CZ"/>
          </w:rPr>
          <w:tab/>
        </w:r>
        <w:r w:rsidR="00CA317E" w:rsidRPr="00F273A6">
          <w:rPr>
            <w:rStyle w:val="Hypertextovodkaz"/>
            <w:noProof/>
          </w:rPr>
          <w:t>Podíl obcí vybavených veřejným vodovodem v roce 2016</w:t>
        </w:r>
        <w:r w:rsidR="00CA317E">
          <w:rPr>
            <w:noProof/>
            <w:webHidden/>
          </w:rPr>
          <w:tab/>
        </w:r>
        <w:r w:rsidR="00CA317E">
          <w:rPr>
            <w:noProof/>
            <w:webHidden/>
          </w:rPr>
          <w:fldChar w:fldCharType="begin"/>
        </w:r>
        <w:r w:rsidR="00CA317E">
          <w:rPr>
            <w:noProof/>
            <w:webHidden/>
          </w:rPr>
          <w:instrText xml:space="preserve"> PAGEREF _Toc81817561 \h </w:instrText>
        </w:r>
        <w:r w:rsidR="00CA317E">
          <w:rPr>
            <w:noProof/>
            <w:webHidden/>
          </w:rPr>
        </w:r>
        <w:r w:rsidR="00CA317E">
          <w:rPr>
            <w:noProof/>
            <w:webHidden/>
          </w:rPr>
          <w:fldChar w:fldCharType="separate"/>
        </w:r>
        <w:r w:rsidR="00CA317E">
          <w:rPr>
            <w:noProof/>
            <w:webHidden/>
          </w:rPr>
          <w:t>139</w:t>
        </w:r>
        <w:r w:rsidR="00CA317E">
          <w:rPr>
            <w:noProof/>
            <w:webHidden/>
          </w:rPr>
          <w:fldChar w:fldCharType="end"/>
        </w:r>
      </w:hyperlink>
    </w:p>
    <w:p w14:paraId="4981C9F7" w14:textId="601A6B68" w:rsidR="00CA317E" w:rsidRDefault="003A4538" w:rsidP="0026782D">
      <w:pPr>
        <w:pStyle w:val="Obsah4"/>
        <w:rPr>
          <w:rFonts w:asciiTheme="minorHAnsi" w:eastAsiaTheme="minorEastAsia" w:hAnsiTheme="minorHAnsi"/>
          <w:noProof/>
          <w:sz w:val="22"/>
          <w:szCs w:val="22"/>
          <w:lang w:val="cs-CZ" w:eastAsia="cs-CZ"/>
        </w:rPr>
      </w:pPr>
      <w:hyperlink w:anchor="_Toc81817562" w:history="1">
        <w:r w:rsidR="00CA317E" w:rsidRPr="00F273A6">
          <w:rPr>
            <w:rStyle w:val="Hypertextovodkaz"/>
            <w:noProof/>
          </w:rPr>
          <w:t>Tabulka 55</w:t>
        </w:r>
        <w:r w:rsidR="00CA317E">
          <w:rPr>
            <w:rFonts w:asciiTheme="minorHAnsi" w:eastAsiaTheme="minorEastAsia" w:hAnsiTheme="minorHAnsi"/>
            <w:noProof/>
            <w:sz w:val="22"/>
            <w:szCs w:val="22"/>
            <w:lang w:val="cs-CZ" w:eastAsia="cs-CZ"/>
          </w:rPr>
          <w:tab/>
        </w:r>
        <w:r w:rsidR="00CA317E" w:rsidRPr="00F273A6">
          <w:rPr>
            <w:rStyle w:val="Hypertextovodkaz"/>
            <w:noProof/>
          </w:rPr>
          <w:t>Podíl obcí vybavených plynofikací v roce 2016</w:t>
        </w:r>
        <w:r w:rsidR="00CA317E">
          <w:rPr>
            <w:noProof/>
            <w:webHidden/>
          </w:rPr>
          <w:tab/>
        </w:r>
        <w:r w:rsidR="00CA317E">
          <w:rPr>
            <w:noProof/>
            <w:webHidden/>
          </w:rPr>
          <w:fldChar w:fldCharType="begin"/>
        </w:r>
        <w:r w:rsidR="00CA317E">
          <w:rPr>
            <w:noProof/>
            <w:webHidden/>
          </w:rPr>
          <w:instrText xml:space="preserve"> PAGEREF _Toc81817562 \h </w:instrText>
        </w:r>
        <w:r w:rsidR="00CA317E">
          <w:rPr>
            <w:noProof/>
            <w:webHidden/>
          </w:rPr>
        </w:r>
        <w:r w:rsidR="00CA317E">
          <w:rPr>
            <w:noProof/>
            <w:webHidden/>
          </w:rPr>
          <w:fldChar w:fldCharType="separate"/>
        </w:r>
        <w:r w:rsidR="00CA317E">
          <w:rPr>
            <w:noProof/>
            <w:webHidden/>
          </w:rPr>
          <w:t>140</w:t>
        </w:r>
        <w:r w:rsidR="00CA317E">
          <w:rPr>
            <w:noProof/>
            <w:webHidden/>
          </w:rPr>
          <w:fldChar w:fldCharType="end"/>
        </w:r>
      </w:hyperlink>
    </w:p>
    <w:p w14:paraId="132DDE60" w14:textId="344E8223" w:rsidR="00CA317E" w:rsidRDefault="003A4538" w:rsidP="0026782D">
      <w:pPr>
        <w:pStyle w:val="Obsah4"/>
        <w:rPr>
          <w:rFonts w:asciiTheme="minorHAnsi" w:eastAsiaTheme="minorEastAsia" w:hAnsiTheme="minorHAnsi"/>
          <w:noProof/>
          <w:sz w:val="22"/>
          <w:szCs w:val="22"/>
          <w:lang w:val="cs-CZ" w:eastAsia="cs-CZ"/>
        </w:rPr>
      </w:pPr>
      <w:hyperlink w:anchor="_Toc81817563" w:history="1">
        <w:r w:rsidR="00CA317E" w:rsidRPr="00F273A6">
          <w:rPr>
            <w:rStyle w:val="Hypertextovodkaz"/>
            <w:noProof/>
          </w:rPr>
          <w:t>Tabulka 56</w:t>
        </w:r>
        <w:r w:rsidR="00CA317E">
          <w:rPr>
            <w:rFonts w:asciiTheme="minorHAnsi" w:eastAsiaTheme="minorEastAsia" w:hAnsiTheme="minorHAnsi"/>
            <w:noProof/>
            <w:sz w:val="22"/>
            <w:szCs w:val="22"/>
            <w:lang w:val="cs-CZ" w:eastAsia="cs-CZ"/>
          </w:rPr>
          <w:tab/>
        </w:r>
        <w:r w:rsidR="00CA317E" w:rsidRPr="00F273A6">
          <w:rPr>
            <w:rStyle w:val="Hypertextovodkaz"/>
            <w:noProof/>
          </w:rPr>
          <w:t xml:space="preserve"> Domácnosti s připojením k internetu (%) 2009-2019</w:t>
        </w:r>
        <w:r w:rsidR="00CA317E">
          <w:rPr>
            <w:noProof/>
            <w:webHidden/>
          </w:rPr>
          <w:tab/>
        </w:r>
        <w:r w:rsidR="00CA317E">
          <w:rPr>
            <w:noProof/>
            <w:webHidden/>
          </w:rPr>
          <w:fldChar w:fldCharType="begin"/>
        </w:r>
        <w:r w:rsidR="00CA317E">
          <w:rPr>
            <w:noProof/>
            <w:webHidden/>
          </w:rPr>
          <w:instrText xml:space="preserve"> PAGEREF _Toc81817563 \h </w:instrText>
        </w:r>
        <w:r w:rsidR="00CA317E">
          <w:rPr>
            <w:noProof/>
            <w:webHidden/>
          </w:rPr>
        </w:r>
        <w:r w:rsidR="00CA317E">
          <w:rPr>
            <w:noProof/>
            <w:webHidden/>
          </w:rPr>
          <w:fldChar w:fldCharType="separate"/>
        </w:r>
        <w:r w:rsidR="00CA317E">
          <w:rPr>
            <w:noProof/>
            <w:webHidden/>
          </w:rPr>
          <w:t>141</w:t>
        </w:r>
        <w:r w:rsidR="00CA317E">
          <w:rPr>
            <w:noProof/>
            <w:webHidden/>
          </w:rPr>
          <w:fldChar w:fldCharType="end"/>
        </w:r>
      </w:hyperlink>
    </w:p>
    <w:p w14:paraId="61B8D3F4" w14:textId="2392B1FD" w:rsidR="00CA317E" w:rsidRDefault="003A4538" w:rsidP="0026782D">
      <w:pPr>
        <w:pStyle w:val="Obsah4"/>
        <w:rPr>
          <w:rFonts w:asciiTheme="minorHAnsi" w:eastAsiaTheme="minorEastAsia" w:hAnsiTheme="minorHAnsi"/>
          <w:noProof/>
          <w:sz w:val="22"/>
          <w:szCs w:val="22"/>
          <w:lang w:val="cs-CZ" w:eastAsia="cs-CZ"/>
        </w:rPr>
      </w:pPr>
      <w:hyperlink w:anchor="_Toc81817564" w:history="1">
        <w:r w:rsidR="00CA317E" w:rsidRPr="00F273A6">
          <w:rPr>
            <w:rStyle w:val="Hypertextovodkaz"/>
            <w:noProof/>
          </w:rPr>
          <w:t>Tabulka 57</w:t>
        </w:r>
        <w:r w:rsidR="00CA317E">
          <w:rPr>
            <w:rFonts w:asciiTheme="minorHAnsi" w:eastAsiaTheme="minorEastAsia" w:hAnsiTheme="minorHAnsi"/>
            <w:noProof/>
            <w:sz w:val="22"/>
            <w:szCs w:val="22"/>
            <w:lang w:val="cs-CZ" w:eastAsia="cs-CZ"/>
          </w:rPr>
          <w:tab/>
        </w:r>
        <w:r w:rsidR="00CA317E" w:rsidRPr="00F273A6">
          <w:rPr>
            <w:rStyle w:val="Hypertextovodkaz"/>
            <w:noProof/>
          </w:rPr>
          <w:t>Realizované polní cesty v jednotlivých krajích</w:t>
        </w:r>
        <w:r w:rsidR="00CA317E">
          <w:rPr>
            <w:noProof/>
            <w:webHidden/>
          </w:rPr>
          <w:tab/>
        </w:r>
        <w:r w:rsidR="00CA317E">
          <w:rPr>
            <w:noProof/>
            <w:webHidden/>
          </w:rPr>
          <w:fldChar w:fldCharType="begin"/>
        </w:r>
        <w:r w:rsidR="00CA317E">
          <w:rPr>
            <w:noProof/>
            <w:webHidden/>
          </w:rPr>
          <w:instrText xml:space="preserve"> PAGEREF _Toc81817564 \h </w:instrText>
        </w:r>
        <w:r w:rsidR="00CA317E">
          <w:rPr>
            <w:noProof/>
            <w:webHidden/>
          </w:rPr>
        </w:r>
        <w:r w:rsidR="00CA317E">
          <w:rPr>
            <w:noProof/>
            <w:webHidden/>
          </w:rPr>
          <w:fldChar w:fldCharType="separate"/>
        </w:r>
        <w:r w:rsidR="00CA317E">
          <w:rPr>
            <w:noProof/>
            <w:webHidden/>
          </w:rPr>
          <w:t>146</w:t>
        </w:r>
        <w:r w:rsidR="00CA317E">
          <w:rPr>
            <w:noProof/>
            <w:webHidden/>
          </w:rPr>
          <w:fldChar w:fldCharType="end"/>
        </w:r>
      </w:hyperlink>
    </w:p>
    <w:p w14:paraId="0AA811A2" w14:textId="5F479374" w:rsidR="00CA317E" w:rsidRDefault="003A4538" w:rsidP="0026782D">
      <w:pPr>
        <w:pStyle w:val="Obsah4"/>
        <w:rPr>
          <w:rFonts w:asciiTheme="minorHAnsi" w:eastAsiaTheme="minorEastAsia" w:hAnsiTheme="minorHAnsi"/>
          <w:noProof/>
          <w:sz w:val="22"/>
          <w:szCs w:val="22"/>
          <w:lang w:val="cs-CZ" w:eastAsia="cs-CZ"/>
        </w:rPr>
      </w:pPr>
      <w:hyperlink w:anchor="_Toc81817565" w:history="1">
        <w:r w:rsidR="00CA317E" w:rsidRPr="00F273A6">
          <w:rPr>
            <w:rStyle w:val="Hypertextovodkaz"/>
            <w:noProof/>
          </w:rPr>
          <w:t>Tabulka 58</w:t>
        </w:r>
        <w:r w:rsidR="00CA317E">
          <w:rPr>
            <w:rFonts w:asciiTheme="minorHAnsi" w:eastAsiaTheme="minorEastAsia" w:hAnsiTheme="minorHAnsi"/>
            <w:noProof/>
            <w:sz w:val="22"/>
            <w:szCs w:val="22"/>
            <w:lang w:val="cs-CZ" w:eastAsia="cs-CZ"/>
          </w:rPr>
          <w:tab/>
        </w:r>
        <w:r w:rsidR="00CA317E" w:rsidRPr="00F273A6">
          <w:rPr>
            <w:rStyle w:val="Hypertextovodkaz"/>
            <w:noProof/>
          </w:rPr>
          <w:t>Náklady podle typu polní cesty</w:t>
        </w:r>
        <w:r w:rsidR="00CA317E">
          <w:rPr>
            <w:noProof/>
            <w:webHidden/>
          </w:rPr>
          <w:tab/>
        </w:r>
        <w:r w:rsidR="00CA317E">
          <w:rPr>
            <w:noProof/>
            <w:webHidden/>
          </w:rPr>
          <w:fldChar w:fldCharType="begin"/>
        </w:r>
        <w:r w:rsidR="00CA317E">
          <w:rPr>
            <w:noProof/>
            <w:webHidden/>
          </w:rPr>
          <w:instrText xml:space="preserve"> PAGEREF _Toc81817565 \h </w:instrText>
        </w:r>
        <w:r w:rsidR="00CA317E">
          <w:rPr>
            <w:noProof/>
            <w:webHidden/>
          </w:rPr>
        </w:r>
        <w:r w:rsidR="00CA317E">
          <w:rPr>
            <w:noProof/>
            <w:webHidden/>
          </w:rPr>
          <w:fldChar w:fldCharType="separate"/>
        </w:r>
        <w:r w:rsidR="00CA317E">
          <w:rPr>
            <w:noProof/>
            <w:webHidden/>
          </w:rPr>
          <w:t>146</w:t>
        </w:r>
        <w:r w:rsidR="00CA317E">
          <w:rPr>
            <w:noProof/>
            <w:webHidden/>
          </w:rPr>
          <w:fldChar w:fldCharType="end"/>
        </w:r>
      </w:hyperlink>
    </w:p>
    <w:p w14:paraId="6CB92D18" w14:textId="46C2F5A8" w:rsidR="00CA317E" w:rsidRDefault="003A4538" w:rsidP="0026782D">
      <w:pPr>
        <w:pStyle w:val="Obsah4"/>
        <w:rPr>
          <w:rFonts w:asciiTheme="minorHAnsi" w:eastAsiaTheme="minorEastAsia" w:hAnsiTheme="minorHAnsi"/>
          <w:noProof/>
          <w:sz w:val="22"/>
          <w:szCs w:val="22"/>
          <w:lang w:val="cs-CZ" w:eastAsia="cs-CZ"/>
        </w:rPr>
      </w:pPr>
      <w:hyperlink w:anchor="_Toc81817566" w:history="1">
        <w:r w:rsidR="00CA317E" w:rsidRPr="00F273A6">
          <w:rPr>
            <w:rStyle w:val="Hypertextovodkaz"/>
            <w:noProof/>
          </w:rPr>
          <w:t>Tabulka 59</w:t>
        </w:r>
        <w:r w:rsidR="00CA317E">
          <w:rPr>
            <w:rFonts w:asciiTheme="minorHAnsi" w:eastAsiaTheme="minorEastAsia" w:hAnsiTheme="minorHAnsi"/>
            <w:noProof/>
            <w:sz w:val="22"/>
            <w:szCs w:val="22"/>
            <w:lang w:val="cs-CZ" w:eastAsia="cs-CZ"/>
          </w:rPr>
          <w:tab/>
        </w:r>
        <w:r w:rsidR="00CA317E" w:rsidRPr="00F273A6">
          <w:rPr>
            <w:rStyle w:val="Hypertextovodkaz"/>
            <w:noProof/>
          </w:rPr>
          <w:t>Náklady podle povrchu polní cesty</w:t>
        </w:r>
        <w:r w:rsidR="00CA317E">
          <w:rPr>
            <w:noProof/>
            <w:webHidden/>
          </w:rPr>
          <w:tab/>
        </w:r>
        <w:r w:rsidR="00CA317E">
          <w:rPr>
            <w:noProof/>
            <w:webHidden/>
          </w:rPr>
          <w:fldChar w:fldCharType="begin"/>
        </w:r>
        <w:r w:rsidR="00CA317E">
          <w:rPr>
            <w:noProof/>
            <w:webHidden/>
          </w:rPr>
          <w:instrText xml:space="preserve"> PAGEREF _Toc81817566 \h </w:instrText>
        </w:r>
        <w:r w:rsidR="00CA317E">
          <w:rPr>
            <w:noProof/>
            <w:webHidden/>
          </w:rPr>
        </w:r>
        <w:r w:rsidR="00CA317E">
          <w:rPr>
            <w:noProof/>
            <w:webHidden/>
          </w:rPr>
          <w:fldChar w:fldCharType="separate"/>
        </w:r>
        <w:r w:rsidR="00CA317E">
          <w:rPr>
            <w:noProof/>
            <w:webHidden/>
          </w:rPr>
          <w:t>147</w:t>
        </w:r>
        <w:r w:rsidR="00CA317E">
          <w:rPr>
            <w:noProof/>
            <w:webHidden/>
          </w:rPr>
          <w:fldChar w:fldCharType="end"/>
        </w:r>
      </w:hyperlink>
    </w:p>
    <w:p w14:paraId="1703E93B" w14:textId="08CBBD61" w:rsidR="00CA317E" w:rsidRDefault="003A4538" w:rsidP="0026782D">
      <w:pPr>
        <w:pStyle w:val="Obsah4"/>
        <w:rPr>
          <w:rFonts w:asciiTheme="minorHAnsi" w:eastAsiaTheme="minorEastAsia" w:hAnsiTheme="minorHAnsi"/>
          <w:noProof/>
          <w:sz w:val="22"/>
          <w:szCs w:val="22"/>
          <w:lang w:val="cs-CZ" w:eastAsia="cs-CZ"/>
        </w:rPr>
      </w:pPr>
      <w:hyperlink w:anchor="_Toc81817567" w:history="1">
        <w:r w:rsidR="00CA317E" w:rsidRPr="00F273A6">
          <w:rPr>
            <w:rStyle w:val="Hypertextovodkaz"/>
            <w:noProof/>
          </w:rPr>
          <w:t>Tabulka 60</w:t>
        </w:r>
        <w:r w:rsidR="00CA317E">
          <w:rPr>
            <w:rFonts w:asciiTheme="minorHAnsi" w:eastAsiaTheme="minorEastAsia" w:hAnsiTheme="minorHAnsi"/>
            <w:noProof/>
            <w:sz w:val="22"/>
            <w:szCs w:val="22"/>
            <w:lang w:val="cs-CZ" w:eastAsia="cs-CZ"/>
          </w:rPr>
          <w:tab/>
        </w:r>
        <w:r w:rsidR="00CA317E" w:rsidRPr="00F273A6">
          <w:rPr>
            <w:rStyle w:val="Hypertextovodkaz"/>
            <w:noProof/>
          </w:rPr>
          <w:t>Délka polních cest navržených a stávajících podle krajů</w:t>
        </w:r>
        <w:r w:rsidR="00CA317E">
          <w:rPr>
            <w:noProof/>
            <w:webHidden/>
          </w:rPr>
          <w:tab/>
        </w:r>
        <w:r w:rsidR="00CA317E">
          <w:rPr>
            <w:noProof/>
            <w:webHidden/>
          </w:rPr>
          <w:fldChar w:fldCharType="begin"/>
        </w:r>
        <w:r w:rsidR="00CA317E">
          <w:rPr>
            <w:noProof/>
            <w:webHidden/>
          </w:rPr>
          <w:instrText xml:space="preserve"> PAGEREF _Toc81817567 \h </w:instrText>
        </w:r>
        <w:r w:rsidR="00CA317E">
          <w:rPr>
            <w:noProof/>
            <w:webHidden/>
          </w:rPr>
        </w:r>
        <w:r w:rsidR="00CA317E">
          <w:rPr>
            <w:noProof/>
            <w:webHidden/>
          </w:rPr>
          <w:fldChar w:fldCharType="separate"/>
        </w:r>
        <w:r w:rsidR="00CA317E">
          <w:rPr>
            <w:noProof/>
            <w:webHidden/>
          </w:rPr>
          <w:t>147</w:t>
        </w:r>
        <w:r w:rsidR="00CA317E">
          <w:rPr>
            <w:noProof/>
            <w:webHidden/>
          </w:rPr>
          <w:fldChar w:fldCharType="end"/>
        </w:r>
      </w:hyperlink>
    </w:p>
    <w:p w14:paraId="0C174B7D" w14:textId="0427A2BC" w:rsidR="00CA317E" w:rsidRDefault="003A4538" w:rsidP="0026782D">
      <w:pPr>
        <w:pStyle w:val="Obsah4"/>
        <w:rPr>
          <w:rFonts w:asciiTheme="minorHAnsi" w:eastAsiaTheme="minorEastAsia" w:hAnsiTheme="minorHAnsi"/>
          <w:noProof/>
          <w:sz w:val="22"/>
          <w:szCs w:val="22"/>
          <w:lang w:val="cs-CZ" w:eastAsia="cs-CZ"/>
        </w:rPr>
      </w:pPr>
      <w:hyperlink w:anchor="_Toc81817568" w:history="1">
        <w:r w:rsidR="00CA317E" w:rsidRPr="00F273A6">
          <w:rPr>
            <w:rStyle w:val="Hypertextovodkaz"/>
            <w:noProof/>
          </w:rPr>
          <w:t>Tabulka 61</w:t>
        </w:r>
        <w:r w:rsidR="00CA317E">
          <w:rPr>
            <w:rFonts w:asciiTheme="minorHAnsi" w:eastAsiaTheme="minorEastAsia" w:hAnsiTheme="minorHAnsi"/>
            <w:noProof/>
            <w:sz w:val="22"/>
            <w:szCs w:val="22"/>
            <w:lang w:val="cs-CZ" w:eastAsia="cs-CZ"/>
          </w:rPr>
          <w:tab/>
        </w:r>
        <w:r w:rsidR="00CA317E" w:rsidRPr="00F273A6">
          <w:rPr>
            <w:rStyle w:val="Hypertextovodkaz"/>
            <w:noProof/>
          </w:rPr>
          <w:t>Délka polní cest podle jejich typu</w:t>
        </w:r>
        <w:r w:rsidR="00CA317E">
          <w:rPr>
            <w:noProof/>
            <w:webHidden/>
          </w:rPr>
          <w:tab/>
        </w:r>
        <w:r w:rsidR="00CA317E">
          <w:rPr>
            <w:noProof/>
            <w:webHidden/>
          </w:rPr>
          <w:fldChar w:fldCharType="begin"/>
        </w:r>
        <w:r w:rsidR="00CA317E">
          <w:rPr>
            <w:noProof/>
            <w:webHidden/>
          </w:rPr>
          <w:instrText xml:space="preserve"> PAGEREF _Toc81817568 \h </w:instrText>
        </w:r>
        <w:r w:rsidR="00CA317E">
          <w:rPr>
            <w:noProof/>
            <w:webHidden/>
          </w:rPr>
        </w:r>
        <w:r w:rsidR="00CA317E">
          <w:rPr>
            <w:noProof/>
            <w:webHidden/>
          </w:rPr>
          <w:fldChar w:fldCharType="separate"/>
        </w:r>
        <w:r w:rsidR="00CA317E">
          <w:rPr>
            <w:noProof/>
            <w:webHidden/>
          </w:rPr>
          <w:t>148</w:t>
        </w:r>
        <w:r w:rsidR="00CA317E">
          <w:rPr>
            <w:noProof/>
            <w:webHidden/>
          </w:rPr>
          <w:fldChar w:fldCharType="end"/>
        </w:r>
      </w:hyperlink>
    </w:p>
    <w:p w14:paraId="74B79FB9" w14:textId="0EB33A81" w:rsidR="00CA317E" w:rsidRDefault="003A4538" w:rsidP="0026782D">
      <w:pPr>
        <w:pStyle w:val="Obsah4"/>
        <w:rPr>
          <w:rFonts w:asciiTheme="minorHAnsi" w:eastAsiaTheme="minorEastAsia" w:hAnsiTheme="minorHAnsi"/>
          <w:noProof/>
          <w:sz w:val="22"/>
          <w:szCs w:val="22"/>
          <w:lang w:val="cs-CZ" w:eastAsia="cs-CZ"/>
        </w:rPr>
      </w:pPr>
      <w:hyperlink w:anchor="_Toc81817569" w:history="1">
        <w:r w:rsidR="00CA317E" w:rsidRPr="00F273A6">
          <w:rPr>
            <w:rStyle w:val="Hypertextovodkaz"/>
            <w:noProof/>
          </w:rPr>
          <w:t>Tabulka 62</w:t>
        </w:r>
        <w:r w:rsidR="00CA317E">
          <w:rPr>
            <w:rFonts w:asciiTheme="minorHAnsi" w:eastAsiaTheme="minorEastAsia" w:hAnsiTheme="minorHAnsi"/>
            <w:noProof/>
            <w:sz w:val="22"/>
            <w:szCs w:val="22"/>
            <w:lang w:val="cs-CZ" w:eastAsia="cs-CZ"/>
          </w:rPr>
          <w:tab/>
        </w:r>
        <w:r w:rsidR="00CA317E" w:rsidRPr="00F273A6">
          <w:rPr>
            <w:rStyle w:val="Hypertextovodkaz"/>
            <w:noProof/>
          </w:rPr>
          <w:t>Délka polních cest podle typu povrchu</w:t>
        </w:r>
        <w:r w:rsidR="00CA317E">
          <w:rPr>
            <w:noProof/>
            <w:webHidden/>
          </w:rPr>
          <w:tab/>
        </w:r>
        <w:r w:rsidR="00CA317E">
          <w:rPr>
            <w:noProof/>
            <w:webHidden/>
          </w:rPr>
          <w:fldChar w:fldCharType="begin"/>
        </w:r>
        <w:r w:rsidR="00CA317E">
          <w:rPr>
            <w:noProof/>
            <w:webHidden/>
          </w:rPr>
          <w:instrText xml:space="preserve"> PAGEREF _Toc81817569 \h </w:instrText>
        </w:r>
        <w:r w:rsidR="00CA317E">
          <w:rPr>
            <w:noProof/>
            <w:webHidden/>
          </w:rPr>
        </w:r>
        <w:r w:rsidR="00CA317E">
          <w:rPr>
            <w:noProof/>
            <w:webHidden/>
          </w:rPr>
          <w:fldChar w:fldCharType="separate"/>
        </w:r>
        <w:r w:rsidR="00CA317E">
          <w:rPr>
            <w:noProof/>
            <w:webHidden/>
          </w:rPr>
          <w:t>148</w:t>
        </w:r>
        <w:r w:rsidR="00CA317E">
          <w:rPr>
            <w:noProof/>
            <w:webHidden/>
          </w:rPr>
          <w:fldChar w:fldCharType="end"/>
        </w:r>
      </w:hyperlink>
    </w:p>
    <w:p w14:paraId="43776794" w14:textId="1FBB8035" w:rsidR="00CA317E" w:rsidRDefault="003A4538" w:rsidP="0026782D">
      <w:pPr>
        <w:pStyle w:val="Obsah4"/>
        <w:rPr>
          <w:rFonts w:asciiTheme="minorHAnsi" w:eastAsiaTheme="minorEastAsia" w:hAnsiTheme="minorHAnsi"/>
          <w:noProof/>
          <w:sz w:val="22"/>
          <w:szCs w:val="22"/>
          <w:lang w:val="cs-CZ" w:eastAsia="cs-CZ"/>
        </w:rPr>
      </w:pPr>
      <w:hyperlink w:anchor="_Toc81817570" w:history="1">
        <w:r w:rsidR="00CA317E" w:rsidRPr="00F273A6">
          <w:rPr>
            <w:rStyle w:val="Hypertextovodkaz"/>
            <w:noProof/>
          </w:rPr>
          <w:t>Tabulka 63</w:t>
        </w:r>
        <w:r w:rsidR="00CA317E">
          <w:rPr>
            <w:rFonts w:asciiTheme="minorHAnsi" w:eastAsiaTheme="minorEastAsia" w:hAnsiTheme="minorHAnsi"/>
            <w:noProof/>
            <w:sz w:val="22"/>
            <w:szCs w:val="22"/>
            <w:lang w:val="cs-CZ" w:eastAsia="cs-CZ"/>
          </w:rPr>
          <w:tab/>
        </w:r>
        <w:r w:rsidR="00CA317E" w:rsidRPr="00F273A6">
          <w:rPr>
            <w:rStyle w:val="Hypertextovodkaz"/>
            <w:noProof/>
          </w:rPr>
          <w:t>Orientační náklady povrchu za kilometr u cest realizovaných v letech 2017–2019</w:t>
        </w:r>
        <w:r w:rsidR="00CA317E">
          <w:rPr>
            <w:noProof/>
            <w:webHidden/>
          </w:rPr>
          <w:tab/>
        </w:r>
        <w:r w:rsidR="00CA317E">
          <w:rPr>
            <w:noProof/>
            <w:webHidden/>
          </w:rPr>
          <w:fldChar w:fldCharType="begin"/>
        </w:r>
        <w:r w:rsidR="00CA317E">
          <w:rPr>
            <w:noProof/>
            <w:webHidden/>
          </w:rPr>
          <w:instrText xml:space="preserve"> PAGEREF _Toc81817570 \h </w:instrText>
        </w:r>
        <w:r w:rsidR="00CA317E">
          <w:rPr>
            <w:noProof/>
            <w:webHidden/>
          </w:rPr>
        </w:r>
        <w:r w:rsidR="00CA317E">
          <w:rPr>
            <w:noProof/>
            <w:webHidden/>
          </w:rPr>
          <w:fldChar w:fldCharType="separate"/>
        </w:r>
        <w:r w:rsidR="00CA317E">
          <w:rPr>
            <w:noProof/>
            <w:webHidden/>
          </w:rPr>
          <w:t>148</w:t>
        </w:r>
        <w:r w:rsidR="00CA317E">
          <w:rPr>
            <w:noProof/>
            <w:webHidden/>
          </w:rPr>
          <w:fldChar w:fldCharType="end"/>
        </w:r>
      </w:hyperlink>
    </w:p>
    <w:p w14:paraId="56CD7DD8" w14:textId="464167F6" w:rsidR="00CA317E" w:rsidRDefault="003A4538" w:rsidP="0026782D">
      <w:pPr>
        <w:pStyle w:val="Obsah4"/>
        <w:rPr>
          <w:rFonts w:asciiTheme="minorHAnsi" w:eastAsiaTheme="minorEastAsia" w:hAnsiTheme="minorHAnsi"/>
          <w:noProof/>
          <w:sz w:val="22"/>
          <w:szCs w:val="22"/>
          <w:lang w:val="cs-CZ" w:eastAsia="cs-CZ"/>
        </w:rPr>
      </w:pPr>
      <w:hyperlink w:anchor="_Toc81817571" w:history="1">
        <w:r w:rsidR="00CA317E" w:rsidRPr="00F273A6">
          <w:rPr>
            <w:rStyle w:val="Hypertextovodkaz"/>
            <w:noProof/>
          </w:rPr>
          <w:t>Tabulka 64</w:t>
        </w:r>
        <w:r w:rsidR="00CA317E">
          <w:rPr>
            <w:rFonts w:asciiTheme="minorHAnsi" w:eastAsiaTheme="minorEastAsia" w:hAnsiTheme="minorHAnsi"/>
            <w:noProof/>
            <w:sz w:val="22"/>
            <w:szCs w:val="22"/>
            <w:lang w:val="cs-CZ" w:eastAsia="cs-CZ"/>
          </w:rPr>
          <w:tab/>
        </w:r>
        <w:r w:rsidR="00CA317E" w:rsidRPr="00F273A6">
          <w:rPr>
            <w:rStyle w:val="Hypertextovodkaz"/>
            <w:noProof/>
          </w:rPr>
          <w:t>Přehled projektových opatření priority 6 a jejich rozpočet a plnění v letech 2016 a 2020</w:t>
        </w:r>
        <w:r w:rsidR="00CA317E">
          <w:rPr>
            <w:noProof/>
            <w:webHidden/>
          </w:rPr>
          <w:tab/>
        </w:r>
        <w:r w:rsidR="00CA317E">
          <w:rPr>
            <w:noProof/>
            <w:webHidden/>
          </w:rPr>
          <w:fldChar w:fldCharType="begin"/>
        </w:r>
        <w:r w:rsidR="00CA317E">
          <w:rPr>
            <w:noProof/>
            <w:webHidden/>
          </w:rPr>
          <w:instrText xml:space="preserve"> PAGEREF _Toc81817571 \h </w:instrText>
        </w:r>
        <w:r w:rsidR="00CA317E">
          <w:rPr>
            <w:noProof/>
            <w:webHidden/>
          </w:rPr>
        </w:r>
        <w:r w:rsidR="00CA317E">
          <w:rPr>
            <w:noProof/>
            <w:webHidden/>
          </w:rPr>
          <w:fldChar w:fldCharType="separate"/>
        </w:r>
        <w:r w:rsidR="00CA317E">
          <w:rPr>
            <w:noProof/>
            <w:webHidden/>
          </w:rPr>
          <w:t>149</w:t>
        </w:r>
        <w:r w:rsidR="00CA317E">
          <w:rPr>
            <w:noProof/>
            <w:webHidden/>
          </w:rPr>
          <w:fldChar w:fldCharType="end"/>
        </w:r>
      </w:hyperlink>
    </w:p>
    <w:p w14:paraId="2461A295" w14:textId="0F051059" w:rsidR="00CA317E" w:rsidRDefault="003A4538" w:rsidP="0026782D">
      <w:pPr>
        <w:pStyle w:val="Obsah4"/>
        <w:rPr>
          <w:rFonts w:asciiTheme="minorHAnsi" w:eastAsiaTheme="minorEastAsia" w:hAnsiTheme="minorHAnsi"/>
          <w:noProof/>
          <w:sz w:val="22"/>
          <w:szCs w:val="22"/>
          <w:lang w:val="cs-CZ" w:eastAsia="cs-CZ"/>
        </w:rPr>
      </w:pPr>
      <w:hyperlink w:anchor="_Toc81817572" w:history="1">
        <w:r w:rsidR="00CA317E" w:rsidRPr="00F273A6">
          <w:rPr>
            <w:rStyle w:val="Hypertextovodkaz"/>
            <w:noProof/>
          </w:rPr>
          <w:t>Tabulka 65</w:t>
        </w:r>
        <w:r w:rsidR="00CA317E">
          <w:rPr>
            <w:rFonts w:asciiTheme="minorHAnsi" w:eastAsiaTheme="minorEastAsia" w:hAnsiTheme="minorHAnsi"/>
            <w:noProof/>
            <w:sz w:val="22"/>
            <w:szCs w:val="22"/>
            <w:lang w:val="cs-CZ" w:eastAsia="cs-CZ"/>
          </w:rPr>
          <w:tab/>
        </w:r>
        <w:r w:rsidR="00CA317E" w:rsidRPr="00F273A6">
          <w:rPr>
            <w:rStyle w:val="Hypertextovodkaz"/>
            <w:noProof/>
          </w:rPr>
          <w:t>Podíl žen na podnikatelích dle typologie městských a venkovských regionů NUTS 3 (%)</w:t>
        </w:r>
        <w:r w:rsidR="00CA317E">
          <w:rPr>
            <w:noProof/>
            <w:webHidden/>
          </w:rPr>
          <w:tab/>
        </w:r>
        <w:r w:rsidR="00CA317E">
          <w:rPr>
            <w:noProof/>
            <w:webHidden/>
          </w:rPr>
          <w:fldChar w:fldCharType="begin"/>
        </w:r>
        <w:r w:rsidR="00CA317E">
          <w:rPr>
            <w:noProof/>
            <w:webHidden/>
          </w:rPr>
          <w:instrText xml:space="preserve"> PAGEREF _Toc81817572 \h </w:instrText>
        </w:r>
        <w:r w:rsidR="00CA317E">
          <w:rPr>
            <w:noProof/>
            <w:webHidden/>
          </w:rPr>
        </w:r>
        <w:r w:rsidR="00CA317E">
          <w:rPr>
            <w:noProof/>
            <w:webHidden/>
          </w:rPr>
          <w:fldChar w:fldCharType="separate"/>
        </w:r>
        <w:r w:rsidR="00CA317E">
          <w:rPr>
            <w:noProof/>
            <w:webHidden/>
          </w:rPr>
          <w:t>149</w:t>
        </w:r>
        <w:r w:rsidR="00CA317E">
          <w:rPr>
            <w:noProof/>
            <w:webHidden/>
          </w:rPr>
          <w:fldChar w:fldCharType="end"/>
        </w:r>
      </w:hyperlink>
    </w:p>
    <w:p w14:paraId="3A535B38" w14:textId="50A7032C" w:rsidR="007A363D" w:rsidRPr="005E00C1" w:rsidRDefault="00CA317E" w:rsidP="00CA317E">
      <w:pPr>
        <w:ind w:left="1276" w:hanging="1276"/>
        <w:rPr>
          <w:lang w:val="cs-CZ"/>
        </w:rPr>
      </w:pPr>
      <w:r>
        <w:rPr>
          <w:b/>
          <w:bCs/>
          <w:caps/>
          <w:sz w:val="20"/>
          <w:szCs w:val="20"/>
          <w:lang w:val="cs-CZ"/>
        </w:rPr>
        <w:fldChar w:fldCharType="end"/>
      </w:r>
    </w:p>
    <w:p w14:paraId="011DD23B" w14:textId="77777777" w:rsidR="001F07AA" w:rsidRDefault="001F07AA">
      <w:pPr>
        <w:spacing w:after="160" w:line="259" w:lineRule="auto"/>
        <w:jc w:val="left"/>
        <w:rPr>
          <w:rFonts w:eastAsiaTheme="majorEastAsia" w:cs="Times New Roman"/>
          <w:b/>
          <w:bCs/>
          <w:sz w:val="28"/>
          <w:szCs w:val="32"/>
          <w:lang w:val="cs-CZ"/>
        </w:rPr>
      </w:pPr>
      <w:bookmarkStart w:id="245" w:name="_Toc81757390"/>
      <w:r>
        <w:br w:type="page"/>
      </w:r>
    </w:p>
    <w:p w14:paraId="2ADF5008" w14:textId="504BA5A0" w:rsidR="007A363D" w:rsidRDefault="007A363D" w:rsidP="007A363D">
      <w:pPr>
        <w:pStyle w:val="Nadpis1"/>
        <w:numPr>
          <w:ilvl w:val="0"/>
          <w:numId w:val="0"/>
        </w:numPr>
        <w:ind w:left="431" w:hanging="431"/>
      </w:pPr>
      <w:bookmarkStart w:id="246" w:name="_Toc81815675"/>
      <w:bookmarkStart w:id="247" w:name="_Toc81816212"/>
      <w:bookmarkStart w:id="248" w:name="_Toc81817307"/>
      <w:r>
        <w:lastRenderedPageBreak/>
        <w:t>Seznam obrázků</w:t>
      </w:r>
      <w:bookmarkEnd w:id="245"/>
      <w:bookmarkEnd w:id="246"/>
      <w:bookmarkEnd w:id="247"/>
      <w:bookmarkEnd w:id="248"/>
    </w:p>
    <w:bookmarkStart w:id="249" w:name="_Toc81757391"/>
    <w:bookmarkStart w:id="250" w:name="_Toc81815676"/>
    <w:bookmarkStart w:id="251" w:name="_Toc81816213"/>
    <w:bookmarkStart w:id="252" w:name="_Toc81817308"/>
    <w:p w14:paraId="734D0BA2" w14:textId="6494BD36" w:rsidR="00E63EFF" w:rsidRDefault="00E63EFF" w:rsidP="0026782D">
      <w:pPr>
        <w:pStyle w:val="Obsah4"/>
        <w:rPr>
          <w:rFonts w:asciiTheme="minorHAnsi" w:eastAsiaTheme="minorEastAsia" w:hAnsiTheme="minorHAnsi"/>
          <w:noProof/>
          <w:sz w:val="22"/>
          <w:szCs w:val="22"/>
          <w:lang w:val="cs-CZ" w:eastAsia="cs-CZ"/>
        </w:rPr>
      </w:pPr>
      <w:r>
        <w:fldChar w:fldCharType="begin"/>
      </w:r>
      <w:r>
        <w:instrText xml:space="preserve"> TOC \h \z \t "UZEI Obr;4" </w:instrText>
      </w:r>
      <w:r>
        <w:fldChar w:fldCharType="separate"/>
      </w:r>
      <w:hyperlink w:anchor="_Toc81817587" w:history="1">
        <w:r w:rsidRPr="00943BA1">
          <w:rPr>
            <w:rStyle w:val="Hypertextovodkaz"/>
            <w:noProof/>
          </w:rPr>
          <w:t>Obrázek 1</w:t>
        </w:r>
        <w:r>
          <w:rPr>
            <w:rFonts w:asciiTheme="minorHAnsi" w:eastAsiaTheme="minorEastAsia" w:hAnsiTheme="minorHAnsi"/>
            <w:noProof/>
            <w:sz w:val="22"/>
            <w:szCs w:val="22"/>
            <w:lang w:val="cs-CZ" w:eastAsia="cs-CZ"/>
          </w:rPr>
          <w:tab/>
        </w:r>
        <w:r w:rsidRPr="00943BA1">
          <w:rPr>
            <w:rStyle w:val="Hypertextovodkaz"/>
            <w:noProof/>
          </w:rPr>
          <w:t>Místní akční skupiny – pokrytí ČR k 1. 4. 2018</w:t>
        </w:r>
        <w:r>
          <w:rPr>
            <w:noProof/>
            <w:webHidden/>
          </w:rPr>
          <w:tab/>
        </w:r>
        <w:r>
          <w:rPr>
            <w:noProof/>
            <w:webHidden/>
          </w:rPr>
          <w:fldChar w:fldCharType="begin"/>
        </w:r>
        <w:r>
          <w:rPr>
            <w:noProof/>
            <w:webHidden/>
          </w:rPr>
          <w:instrText xml:space="preserve"> PAGEREF _Toc81817587 \h </w:instrText>
        </w:r>
        <w:r>
          <w:rPr>
            <w:noProof/>
            <w:webHidden/>
          </w:rPr>
        </w:r>
        <w:r>
          <w:rPr>
            <w:noProof/>
            <w:webHidden/>
          </w:rPr>
          <w:fldChar w:fldCharType="separate"/>
        </w:r>
        <w:r>
          <w:rPr>
            <w:noProof/>
            <w:webHidden/>
          </w:rPr>
          <w:t>18</w:t>
        </w:r>
        <w:r>
          <w:rPr>
            <w:noProof/>
            <w:webHidden/>
          </w:rPr>
          <w:fldChar w:fldCharType="end"/>
        </w:r>
      </w:hyperlink>
    </w:p>
    <w:p w14:paraId="6DC442D4" w14:textId="20ED4F18" w:rsidR="00E63EFF" w:rsidRDefault="003A4538" w:rsidP="0026782D">
      <w:pPr>
        <w:pStyle w:val="Obsah4"/>
        <w:rPr>
          <w:rFonts w:asciiTheme="minorHAnsi" w:eastAsiaTheme="minorEastAsia" w:hAnsiTheme="minorHAnsi"/>
          <w:noProof/>
          <w:sz w:val="22"/>
          <w:szCs w:val="22"/>
          <w:lang w:val="cs-CZ" w:eastAsia="cs-CZ"/>
        </w:rPr>
      </w:pPr>
      <w:hyperlink w:anchor="_Toc81817588" w:history="1">
        <w:r w:rsidR="00E63EFF" w:rsidRPr="00943BA1">
          <w:rPr>
            <w:rStyle w:val="Hypertextovodkaz"/>
            <w:noProof/>
          </w:rPr>
          <w:t>Obrázek 2</w:t>
        </w:r>
        <w:r w:rsidR="00E63EFF">
          <w:rPr>
            <w:rFonts w:asciiTheme="minorHAnsi" w:eastAsiaTheme="minorEastAsia" w:hAnsiTheme="minorHAnsi"/>
            <w:noProof/>
            <w:sz w:val="22"/>
            <w:szCs w:val="22"/>
            <w:lang w:val="cs-CZ" w:eastAsia="cs-CZ"/>
          </w:rPr>
          <w:tab/>
        </w:r>
        <w:r w:rsidR="00E63EFF" w:rsidRPr="00943BA1">
          <w:rPr>
            <w:rStyle w:val="Hypertextovodkaz"/>
            <w:noProof/>
          </w:rPr>
          <w:t>Počet obyvatel a hustota zalidnění v krajích ČR v roce 2020 (ob./km2)</w:t>
        </w:r>
        <w:r w:rsidR="00E63EFF">
          <w:rPr>
            <w:noProof/>
            <w:webHidden/>
          </w:rPr>
          <w:tab/>
        </w:r>
        <w:r w:rsidR="00E63EFF">
          <w:rPr>
            <w:noProof/>
            <w:webHidden/>
          </w:rPr>
          <w:fldChar w:fldCharType="begin"/>
        </w:r>
        <w:r w:rsidR="00E63EFF">
          <w:rPr>
            <w:noProof/>
            <w:webHidden/>
          </w:rPr>
          <w:instrText xml:space="preserve"> PAGEREF _Toc81817588 \h </w:instrText>
        </w:r>
        <w:r w:rsidR="00E63EFF">
          <w:rPr>
            <w:noProof/>
            <w:webHidden/>
          </w:rPr>
        </w:r>
        <w:r w:rsidR="00E63EFF">
          <w:rPr>
            <w:noProof/>
            <w:webHidden/>
          </w:rPr>
          <w:fldChar w:fldCharType="separate"/>
        </w:r>
        <w:r w:rsidR="00E63EFF">
          <w:rPr>
            <w:noProof/>
            <w:webHidden/>
          </w:rPr>
          <w:t>43</w:t>
        </w:r>
        <w:r w:rsidR="00E63EFF">
          <w:rPr>
            <w:noProof/>
            <w:webHidden/>
          </w:rPr>
          <w:fldChar w:fldCharType="end"/>
        </w:r>
      </w:hyperlink>
    </w:p>
    <w:p w14:paraId="1D44BE52" w14:textId="773FD536" w:rsidR="00E63EFF" w:rsidRDefault="003A4538" w:rsidP="0026782D">
      <w:pPr>
        <w:pStyle w:val="Obsah4"/>
        <w:rPr>
          <w:rFonts w:asciiTheme="minorHAnsi" w:eastAsiaTheme="minorEastAsia" w:hAnsiTheme="minorHAnsi"/>
          <w:noProof/>
          <w:sz w:val="22"/>
          <w:szCs w:val="22"/>
          <w:lang w:val="cs-CZ" w:eastAsia="cs-CZ"/>
        </w:rPr>
      </w:pPr>
      <w:hyperlink w:anchor="_Toc81817589" w:history="1">
        <w:r w:rsidR="00E63EFF" w:rsidRPr="00943BA1">
          <w:rPr>
            <w:rStyle w:val="Hypertextovodkaz"/>
            <w:noProof/>
          </w:rPr>
          <w:t>Obrázek 3</w:t>
        </w:r>
        <w:r w:rsidR="00E63EFF">
          <w:rPr>
            <w:rFonts w:asciiTheme="minorHAnsi" w:eastAsiaTheme="minorEastAsia" w:hAnsiTheme="minorHAnsi"/>
            <w:noProof/>
            <w:sz w:val="22"/>
            <w:szCs w:val="22"/>
            <w:lang w:val="cs-CZ" w:eastAsia="cs-CZ"/>
          </w:rPr>
          <w:tab/>
        </w:r>
        <w:r w:rsidR="00E63EFF" w:rsidRPr="00943BA1">
          <w:rPr>
            <w:rStyle w:val="Hypertextovodkaz"/>
            <w:noProof/>
          </w:rPr>
          <w:t>Počet a podíl obyvatel v obcích s nízkou hustotou zalidnění (do 150 ob./km2) v krajích ČR v roce2020 (%)</w:t>
        </w:r>
        <w:r w:rsidR="00E63EFF">
          <w:rPr>
            <w:noProof/>
            <w:webHidden/>
          </w:rPr>
          <w:tab/>
        </w:r>
        <w:r w:rsidR="00E63EFF">
          <w:rPr>
            <w:noProof/>
            <w:webHidden/>
          </w:rPr>
          <w:fldChar w:fldCharType="begin"/>
        </w:r>
        <w:r w:rsidR="00E63EFF">
          <w:rPr>
            <w:noProof/>
            <w:webHidden/>
          </w:rPr>
          <w:instrText xml:space="preserve"> PAGEREF _Toc81817589 \h </w:instrText>
        </w:r>
        <w:r w:rsidR="00E63EFF">
          <w:rPr>
            <w:noProof/>
            <w:webHidden/>
          </w:rPr>
        </w:r>
        <w:r w:rsidR="00E63EFF">
          <w:rPr>
            <w:noProof/>
            <w:webHidden/>
          </w:rPr>
          <w:fldChar w:fldCharType="separate"/>
        </w:r>
        <w:r w:rsidR="00E63EFF">
          <w:rPr>
            <w:noProof/>
            <w:webHidden/>
          </w:rPr>
          <w:t>44</w:t>
        </w:r>
        <w:r w:rsidR="00E63EFF">
          <w:rPr>
            <w:noProof/>
            <w:webHidden/>
          </w:rPr>
          <w:fldChar w:fldCharType="end"/>
        </w:r>
      </w:hyperlink>
    </w:p>
    <w:p w14:paraId="71461AA4" w14:textId="07971E06" w:rsidR="00E63EFF" w:rsidRDefault="003A4538" w:rsidP="0026782D">
      <w:pPr>
        <w:pStyle w:val="Obsah4"/>
        <w:rPr>
          <w:rFonts w:asciiTheme="minorHAnsi" w:eastAsiaTheme="minorEastAsia" w:hAnsiTheme="minorHAnsi"/>
          <w:noProof/>
          <w:sz w:val="22"/>
          <w:szCs w:val="22"/>
          <w:lang w:val="cs-CZ" w:eastAsia="cs-CZ"/>
        </w:rPr>
      </w:pPr>
      <w:hyperlink w:anchor="_Toc81817590" w:history="1">
        <w:r w:rsidR="00E63EFF" w:rsidRPr="00943BA1">
          <w:rPr>
            <w:rStyle w:val="Hypertextovodkaz"/>
            <w:noProof/>
          </w:rPr>
          <w:t>Obrázek 4</w:t>
        </w:r>
        <w:r w:rsidR="00E63EFF">
          <w:rPr>
            <w:rFonts w:asciiTheme="minorHAnsi" w:eastAsiaTheme="minorEastAsia" w:hAnsiTheme="minorHAnsi"/>
            <w:noProof/>
            <w:sz w:val="22"/>
            <w:szCs w:val="22"/>
            <w:lang w:val="cs-CZ" w:eastAsia="cs-CZ"/>
          </w:rPr>
          <w:tab/>
        </w:r>
        <w:r w:rsidR="00E63EFF" w:rsidRPr="00943BA1">
          <w:rPr>
            <w:rStyle w:val="Hypertextovodkaz"/>
            <w:noProof/>
          </w:rPr>
          <w:t>Počet venkovských obcí a průměrná velikost venkovské obce v krajích ČR v roce 2020 (počet obyvatel)</w:t>
        </w:r>
        <w:r w:rsidR="0026782D">
          <w:rPr>
            <w:rStyle w:val="Hypertextovodkaz"/>
            <w:noProof/>
          </w:rPr>
          <w:tab/>
        </w:r>
        <w:r w:rsidR="00E63EFF">
          <w:rPr>
            <w:noProof/>
            <w:webHidden/>
          </w:rPr>
          <w:tab/>
        </w:r>
        <w:r w:rsidR="00E63EFF">
          <w:rPr>
            <w:noProof/>
            <w:webHidden/>
          </w:rPr>
          <w:fldChar w:fldCharType="begin"/>
        </w:r>
        <w:r w:rsidR="00E63EFF">
          <w:rPr>
            <w:noProof/>
            <w:webHidden/>
          </w:rPr>
          <w:instrText xml:space="preserve"> PAGEREF _Toc81817590 \h </w:instrText>
        </w:r>
        <w:r w:rsidR="00E63EFF">
          <w:rPr>
            <w:noProof/>
            <w:webHidden/>
          </w:rPr>
        </w:r>
        <w:r w:rsidR="00E63EFF">
          <w:rPr>
            <w:noProof/>
            <w:webHidden/>
          </w:rPr>
          <w:fldChar w:fldCharType="separate"/>
        </w:r>
        <w:r w:rsidR="00E63EFF">
          <w:rPr>
            <w:noProof/>
            <w:webHidden/>
          </w:rPr>
          <w:t>45</w:t>
        </w:r>
        <w:r w:rsidR="00E63EFF">
          <w:rPr>
            <w:noProof/>
            <w:webHidden/>
          </w:rPr>
          <w:fldChar w:fldCharType="end"/>
        </w:r>
      </w:hyperlink>
    </w:p>
    <w:p w14:paraId="2978F107" w14:textId="37C86B93" w:rsidR="00E63EFF" w:rsidRDefault="003A4538" w:rsidP="0026782D">
      <w:pPr>
        <w:pStyle w:val="Obsah4"/>
        <w:rPr>
          <w:rFonts w:asciiTheme="minorHAnsi" w:eastAsiaTheme="minorEastAsia" w:hAnsiTheme="minorHAnsi"/>
          <w:noProof/>
          <w:sz w:val="22"/>
          <w:szCs w:val="22"/>
          <w:lang w:val="cs-CZ" w:eastAsia="cs-CZ"/>
        </w:rPr>
      </w:pPr>
      <w:hyperlink w:anchor="_Toc81817591" w:history="1">
        <w:r w:rsidR="00E63EFF" w:rsidRPr="00943BA1">
          <w:rPr>
            <w:rStyle w:val="Hypertextovodkaz"/>
            <w:noProof/>
          </w:rPr>
          <w:t>Obrázek 5</w:t>
        </w:r>
        <w:r w:rsidR="00E63EFF">
          <w:rPr>
            <w:rFonts w:asciiTheme="minorHAnsi" w:eastAsiaTheme="minorEastAsia" w:hAnsiTheme="minorHAnsi"/>
            <w:noProof/>
            <w:sz w:val="22"/>
            <w:szCs w:val="22"/>
            <w:lang w:val="cs-CZ" w:eastAsia="cs-CZ"/>
          </w:rPr>
          <w:tab/>
        </w:r>
        <w:r w:rsidR="00E63EFF" w:rsidRPr="00943BA1">
          <w:rPr>
            <w:rStyle w:val="Hypertextovodkaz"/>
            <w:noProof/>
          </w:rPr>
          <w:t>Obce ČR dle celkového přírůstku obyvatelstva za období 2001-16 dle krajů</w:t>
        </w:r>
        <w:r w:rsidR="00E63EFF">
          <w:rPr>
            <w:noProof/>
            <w:webHidden/>
          </w:rPr>
          <w:tab/>
        </w:r>
        <w:r w:rsidR="00E63EFF">
          <w:rPr>
            <w:noProof/>
            <w:webHidden/>
          </w:rPr>
          <w:fldChar w:fldCharType="begin"/>
        </w:r>
        <w:r w:rsidR="00E63EFF">
          <w:rPr>
            <w:noProof/>
            <w:webHidden/>
          </w:rPr>
          <w:instrText xml:space="preserve"> PAGEREF _Toc81817591 \h </w:instrText>
        </w:r>
        <w:r w:rsidR="00E63EFF">
          <w:rPr>
            <w:noProof/>
            <w:webHidden/>
          </w:rPr>
        </w:r>
        <w:r w:rsidR="00E63EFF">
          <w:rPr>
            <w:noProof/>
            <w:webHidden/>
          </w:rPr>
          <w:fldChar w:fldCharType="separate"/>
        </w:r>
        <w:r w:rsidR="00E63EFF">
          <w:rPr>
            <w:noProof/>
            <w:webHidden/>
          </w:rPr>
          <w:t>47</w:t>
        </w:r>
        <w:r w:rsidR="00E63EFF">
          <w:rPr>
            <w:noProof/>
            <w:webHidden/>
          </w:rPr>
          <w:fldChar w:fldCharType="end"/>
        </w:r>
      </w:hyperlink>
    </w:p>
    <w:p w14:paraId="1FC35F4E" w14:textId="7ACA15A9" w:rsidR="00E63EFF" w:rsidRDefault="003A4538" w:rsidP="0026782D">
      <w:pPr>
        <w:pStyle w:val="Obsah4"/>
        <w:rPr>
          <w:rFonts w:asciiTheme="minorHAnsi" w:eastAsiaTheme="minorEastAsia" w:hAnsiTheme="minorHAnsi"/>
          <w:noProof/>
          <w:sz w:val="22"/>
          <w:szCs w:val="22"/>
          <w:lang w:val="cs-CZ" w:eastAsia="cs-CZ"/>
        </w:rPr>
      </w:pPr>
      <w:hyperlink w:anchor="_Toc81817592" w:history="1">
        <w:r w:rsidR="00E63EFF" w:rsidRPr="00943BA1">
          <w:rPr>
            <w:rStyle w:val="Hypertextovodkaz"/>
            <w:noProof/>
          </w:rPr>
          <w:t>Obrázek 6</w:t>
        </w:r>
        <w:r w:rsidR="00E63EFF">
          <w:rPr>
            <w:rFonts w:asciiTheme="minorHAnsi" w:eastAsiaTheme="minorEastAsia" w:hAnsiTheme="minorHAnsi"/>
            <w:noProof/>
            <w:sz w:val="22"/>
            <w:szCs w:val="22"/>
            <w:lang w:val="cs-CZ" w:eastAsia="cs-CZ"/>
          </w:rPr>
          <w:tab/>
        </w:r>
        <w:r w:rsidR="00E63EFF" w:rsidRPr="00943BA1">
          <w:rPr>
            <w:rStyle w:val="Hypertextovodkaz"/>
            <w:noProof/>
          </w:rPr>
          <w:t>Počet přistěhovalých a vystěhovalých dle krajů ČR v období 2011-19</w:t>
        </w:r>
        <w:r w:rsidR="00E63EFF">
          <w:rPr>
            <w:noProof/>
            <w:webHidden/>
          </w:rPr>
          <w:tab/>
        </w:r>
        <w:r w:rsidR="00E63EFF">
          <w:rPr>
            <w:noProof/>
            <w:webHidden/>
          </w:rPr>
          <w:fldChar w:fldCharType="begin"/>
        </w:r>
        <w:r w:rsidR="00E63EFF">
          <w:rPr>
            <w:noProof/>
            <w:webHidden/>
          </w:rPr>
          <w:instrText xml:space="preserve"> PAGEREF _Toc81817592 \h </w:instrText>
        </w:r>
        <w:r w:rsidR="00E63EFF">
          <w:rPr>
            <w:noProof/>
            <w:webHidden/>
          </w:rPr>
        </w:r>
        <w:r w:rsidR="00E63EFF">
          <w:rPr>
            <w:noProof/>
            <w:webHidden/>
          </w:rPr>
          <w:fldChar w:fldCharType="separate"/>
        </w:r>
        <w:r w:rsidR="00E63EFF">
          <w:rPr>
            <w:noProof/>
            <w:webHidden/>
          </w:rPr>
          <w:t>47</w:t>
        </w:r>
        <w:r w:rsidR="00E63EFF">
          <w:rPr>
            <w:noProof/>
            <w:webHidden/>
          </w:rPr>
          <w:fldChar w:fldCharType="end"/>
        </w:r>
      </w:hyperlink>
    </w:p>
    <w:p w14:paraId="252BEAEF" w14:textId="16FE60BF" w:rsidR="00E63EFF" w:rsidRDefault="003A4538" w:rsidP="0026782D">
      <w:pPr>
        <w:pStyle w:val="Obsah4"/>
        <w:rPr>
          <w:rFonts w:asciiTheme="minorHAnsi" w:eastAsiaTheme="minorEastAsia" w:hAnsiTheme="minorHAnsi"/>
          <w:noProof/>
          <w:sz w:val="22"/>
          <w:szCs w:val="22"/>
          <w:lang w:val="cs-CZ" w:eastAsia="cs-CZ"/>
        </w:rPr>
      </w:pPr>
      <w:hyperlink w:anchor="_Toc81817593" w:history="1">
        <w:r w:rsidR="00E63EFF" w:rsidRPr="00943BA1">
          <w:rPr>
            <w:rStyle w:val="Hypertextovodkaz"/>
            <w:noProof/>
          </w:rPr>
          <w:t>Obrázek 7</w:t>
        </w:r>
        <w:r w:rsidR="00E63EFF">
          <w:rPr>
            <w:rFonts w:asciiTheme="minorHAnsi" w:eastAsiaTheme="minorEastAsia" w:hAnsiTheme="minorHAnsi"/>
            <w:noProof/>
            <w:sz w:val="22"/>
            <w:szCs w:val="22"/>
            <w:lang w:val="cs-CZ" w:eastAsia="cs-CZ"/>
          </w:rPr>
          <w:tab/>
        </w:r>
        <w:r w:rsidR="00E63EFF" w:rsidRPr="00943BA1">
          <w:rPr>
            <w:rStyle w:val="Hypertextovodkaz"/>
            <w:noProof/>
          </w:rPr>
          <w:t>Počet přistěhovalých a vystěhovalých ve venkovských obcích ČR dle krajů v období 2011-19.</w:t>
        </w:r>
        <w:r w:rsidR="00E63EFF">
          <w:rPr>
            <w:noProof/>
            <w:webHidden/>
          </w:rPr>
          <w:tab/>
        </w:r>
        <w:r w:rsidR="00E63EFF">
          <w:rPr>
            <w:noProof/>
            <w:webHidden/>
          </w:rPr>
          <w:fldChar w:fldCharType="begin"/>
        </w:r>
        <w:r w:rsidR="00E63EFF">
          <w:rPr>
            <w:noProof/>
            <w:webHidden/>
          </w:rPr>
          <w:instrText xml:space="preserve"> PAGEREF _Toc81817593 \h </w:instrText>
        </w:r>
        <w:r w:rsidR="00E63EFF">
          <w:rPr>
            <w:noProof/>
            <w:webHidden/>
          </w:rPr>
        </w:r>
        <w:r w:rsidR="00E63EFF">
          <w:rPr>
            <w:noProof/>
            <w:webHidden/>
          </w:rPr>
          <w:fldChar w:fldCharType="separate"/>
        </w:r>
        <w:r w:rsidR="00E63EFF">
          <w:rPr>
            <w:noProof/>
            <w:webHidden/>
          </w:rPr>
          <w:t>47</w:t>
        </w:r>
        <w:r w:rsidR="00E63EFF">
          <w:rPr>
            <w:noProof/>
            <w:webHidden/>
          </w:rPr>
          <w:fldChar w:fldCharType="end"/>
        </w:r>
      </w:hyperlink>
    </w:p>
    <w:p w14:paraId="20E0A420" w14:textId="09F31ED6" w:rsidR="00E63EFF" w:rsidRDefault="003A4538" w:rsidP="0026782D">
      <w:pPr>
        <w:pStyle w:val="Obsah4"/>
        <w:rPr>
          <w:rFonts w:asciiTheme="minorHAnsi" w:eastAsiaTheme="minorEastAsia" w:hAnsiTheme="minorHAnsi"/>
          <w:noProof/>
          <w:sz w:val="22"/>
          <w:szCs w:val="22"/>
          <w:lang w:val="cs-CZ" w:eastAsia="cs-CZ"/>
        </w:rPr>
      </w:pPr>
      <w:hyperlink w:anchor="_Toc81817594" w:history="1">
        <w:r w:rsidR="00E63EFF" w:rsidRPr="00943BA1">
          <w:rPr>
            <w:rStyle w:val="Hypertextovodkaz"/>
            <w:noProof/>
          </w:rPr>
          <w:t>Obrázek 8</w:t>
        </w:r>
        <w:r w:rsidR="00E63EFF">
          <w:rPr>
            <w:rFonts w:asciiTheme="minorHAnsi" w:eastAsiaTheme="minorEastAsia" w:hAnsiTheme="minorHAnsi"/>
            <w:noProof/>
            <w:sz w:val="22"/>
            <w:szCs w:val="22"/>
            <w:lang w:val="cs-CZ" w:eastAsia="cs-CZ"/>
          </w:rPr>
          <w:tab/>
        </w:r>
        <w:r w:rsidR="00E63EFF" w:rsidRPr="00943BA1">
          <w:rPr>
            <w:rStyle w:val="Hypertextovodkaz"/>
            <w:noProof/>
          </w:rPr>
          <w:t>Změna počtu obyvatel v obcích mezi roky 2001 a 2016 (ČR)</w:t>
        </w:r>
        <w:r w:rsidR="00E63EFF">
          <w:rPr>
            <w:noProof/>
            <w:webHidden/>
          </w:rPr>
          <w:tab/>
        </w:r>
        <w:r w:rsidR="00E63EFF">
          <w:rPr>
            <w:noProof/>
            <w:webHidden/>
          </w:rPr>
          <w:fldChar w:fldCharType="begin"/>
        </w:r>
        <w:r w:rsidR="00E63EFF">
          <w:rPr>
            <w:noProof/>
            <w:webHidden/>
          </w:rPr>
          <w:instrText xml:space="preserve"> PAGEREF _Toc81817594 \h </w:instrText>
        </w:r>
        <w:r w:rsidR="00E63EFF">
          <w:rPr>
            <w:noProof/>
            <w:webHidden/>
          </w:rPr>
        </w:r>
        <w:r w:rsidR="00E63EFF">
          <w:rPr>
            <w:noProof/>
            <w:webHidden/>
          </w:rPr>
          <w:fldChar w:fldCharType="separate"/>
        </w:r>
        <w:r w:rsidR="00E63EFF">
          <w:rPr>
            <w:noProof/>
            <w:webHidden/>
          </w:rPr>
          <w:t>48</w:t>
        </w:r>
        <w:r w:rsidR="00E63EFF">
          <w:rPr>
            <w:noProof/>
            <w:webHidden/>
          </w:rPr>
          <w:fldChar w:fldCharType="end"/>
        </w:r>
      </w:hyperlink>
    </w:p>
    <w:p w14:paraId="6505162C" w14:textId="77172E3D" w:rsidR="00E63EFF" w:rsidRDefault="003A4538" w:rsidP="0026782D">
      <w:pPr>
        <w:pStyle w:val="Obsah4"/>
        <w:rPr>
          <w:rFonts w:asciiTheme="minorHAnsi" w:eastAsiaTheme="minorEastAsia" w:hAnsiTheme="minorHAnsi"/>
          <w:noProof/>
          <w:sz w:val="22"/>
          <w:szCs w:val="22"/>
          <w:lang w:val="cs-CZ" w:eastAsia="cs-CZ"/>
        </w:rPr>
      </w:pPr>
      <w:hyperlink w:anchor="_Toc81817595" w:history="1">
        <w:r w:rsidR="00E63EFF" w:rsidRPr="00943BA1">
          <w:rPr>
            <w:rStyle w:val="Hypertextovodkaz"/>
            <w:noProof/>
          </w:rPr>
          <w:t>Obrázek 9</w:t>
        </w:r>
        <w:r w:rsidR="00E63EFF">
          <w:rPr>
            <w:rFonts w:asciiTheme="minorHAnsi" w:eastAsiaTheme="minorEastAsia" w:hAnsiTheme="minorHAnsi"/>
            <w:noProof/>
            <w:sz w:val="22"/>
            <w:szCs w:val="22"/>
            <w:lang w:val="cs-CZ" w:eastAsia="cs-CZ"/>
          </w:rPr>
          <w:tab/>
        </w:r>
        <w:r w:rsidR="00E63EFF" w:rsidRPr="00943BA1">
          <w:rPr>
            <w:rStyle w:val="Hypertextovodkaz"/>
            <w:noProof/>
          </w:rPr>
          <w:t>Počet přistěhovalých a vystěhovalých dle velikostních kategorií obcí ČR v letech 2011-19</w:t>
        </w:r>
        <w:r w:rsidR="00E63EFF">
          <w:rPr>
            <w:noProof/>
            <w:webHidden/>
          </w:rPr>
          <w:tab/>
        </w:r>
        <w:r w:rsidR="00E63EFF">
          <w:rPr>
            <w:noProof/>
            <w:webHidden/>
          </w:rPr>
          <w:fldChar w:fldCharType="begin"/>
        </w:r>
        <w:r w:rsidR="00E63EFF">
          <w:rPr>
            <w:noProof/>
            <w:webHidden/>
          </w:rPr>
          <w:instrText xml:space="preserve"> PAGEREF _Toc81817595 \h </w:instrText>
        </w:r>
        <w:r w:rsidR="00E63EFF">
          <w:rPr>
            <w:noProof/>
            <w:webHidden/>
          </w:rPr>
        </w:r>
        <w:r w:rsidR="00E63EFF">
          <w:rPr>
            <w:noProof/>
            <w:webHidden/>
          </w:rPr>
          <w:fldChar w:fldCharType="separate"/>
        </w:r>
        <w:r w:rsidR="00E63EFF">
          <w:rPr>
            <w:noProof/>
            <w:webHidden/>
          </w:rPr>
          <w:t>48</w:t>
        </w:r>
        <w:r w:rsidR="00E63EFF">
          <w:rPr>
            <w:noProof/>
            <w:webHidden/>
          </w:rPr>
          <w:fldChar w:fldCharType="end"/>
        </w:r>
      </w:hyperlink>
    </w:p>
    <w:p w14:paraId="0F3078D1" w14:textId="1FE6304F" w:rsidR="00E63EFF" w:rsidRDefault="003A4538" w:rsidP="0026782D">
      <w:pPr>
        <w:pStyle w:val="Obsah4"/>
        <w:rPr>
          <w:rFonts w:asciiTheme="minorHAnsi" w:eastAsiaTheme="minorEastAsia" w:hAnsiTheme="minorHAnsi"/>
          <w:noProof/>
          <w:sz w:val="22"/>
          <w:szCs w:val="22"/>
          <w:lang w:val="cs-CZ" w:eastAsia="cs-CZ"/>
        </w:rPr>
      </w:pPr>
      <w:hyperlink w:anchor="_Toc81817596" w:history="1">
        <w:r w:rsidR="00E63EFF" w:rsidRPr="00943BA1">
          <w:rPr>
            <w:rStyle w:val="Hypertextovodkaz"/>
            <w:noProof/>
          </w:rPr>
          <w:t>Obrázek 10</w:t>
        </w:r>
        <w:r w:rsidR="00E63EFF">
          <w:rPr>
            <w:rFonts w:asciiTheme="minorHAnsi" w:eastAsiaTheme="minorEastAsia" w:hAnsiTheme="minorHAnsi"/>
            <w:noProof/>
            <w:sz w:val="22"/>
            <w:szCs w:val="22"/>
            <w:lang w:val="cs-CZ" w:eastAsia="cs-CZ"/>
          </w:rPr>
          <w:tab/>
        </w:r>
        <w:r w:rsidR="00E63EFF" w:rsidRPr="00943BA1">
          <w:rPr>
            <w:rStyle w:val="Hypertextovodkaz"/>
            <w:noProof/>
          </w:rPr>
          <w:t>Věková struktura populace (%) a index stáří ve velikostních skupinách obcí ČR v roce 2020</w:t>
        </w:r>
        <w:r w:rsidR="00E63EFF">
          <w:rPr>
            <w:noProof/>
            <w:webHidden/>
          </w:rPr>
          <w:tab/>
        </w:r>
        <w:r w:rsidR="00E63EFF">
          <w:rPr>
            <w:noProof/>
            <w:webHidden/>
          </w:rPr>
          <w:fldChar w:fldCharType="begin"/>
        </w:r>
        <w:r w:rsidR="00E63EFF">
          <w:rPr>
            <w:noProof/>
            <w:webHidden/>
          </w:rPr>
          <w:instrText xml:space="preserve"> PAGEREF _Toc81817596 \h </w:instrText>
        </w:r>
        <w:r w:rsidR="00E63EFF">
          <w:rPr>
            <w:noProof/>
            <w:webHidden/>
          </w:rPr>
        </w:r>
        <w:r w:rsidR="00E63EFF">
          <w:rPr>
            <w:noProof/>
            <w:webHidden/>
          </w:rPr>
          <w:fldChar w:fldCharType="separate"/>
        </w:r>
        <w:r w:rsidR="00E63EFF">
          <w:rPr>
            <w:noProof/>
            <w:webHidden/>
          </w:rPr>
          <w:t>50</w:t>
        </w:r>
        <w:r w:rsidR="00E63EFF">
          <w:rPr>
            <w:noProof/>
            <w:webHidden/>
          </w:rPr>
          <w:fldChar w:fldCharType="end"/>
        </w:r>
      </w:hyperlink>
    </w:p>
    <w:p w14:paraId="5197B3CE" w14:textId="135A4875" w:rsidR="00E63EFF" w:rsidRDefault="003A4538" w:rsidP="0026782D">
      <w:pPr>
        <w:pStyle w:val="Obsah4"/>
        <w:rPr>
          <w:rFonts w:asciiTheme="minorHAnsi" w:eastAsiaTheme="minorEastAsia" w:hAnsiTheme="minorHAnsi"/>
          <w:noProof/>
          <w:sz w:val="22"/>
          <w:szCs w:val="22"/>
          <w:lang w:val="cs-CZ" w:eastAsia="cs-CZ"/>
        </w:rPr>
      </w:pPr>
      <w:hyperlink w:anchor="_Toc81817597" w:history="1">
        <w:r w:rsidR="00E63EFF" w:rsidRPr="00943BA1">
          <w:rPr>
            <w:rStyle w:val="Hypertextovodkaz"/>
            <w:noProof/>
          </w:rPr>
          <w:t>Obrázek 11</w:t>
        </w:r>
        <w:r w:rsidR="00E63EFF">
          <w:rPr>
            <w:rFonts w:asciiTheme="minorHAnsi" w:eastAsiaTheme="minorEastAsia" w:hAnsiTheme="minorHAnsi"/>
            <w:noProof/>
            <w:sz w:val="22"/>
            <w:szCs w:val="22"/>
            <w:lang w:val="cs-CZ" w:eastAsia="cs-CZ"/>
          </w:rPr>
          <w:tab/>
        </w:r>
        <w:r w:rsidR="00E63EFF" w:rsidRPr="00943BA1">
          <w:rPr>
            <w:rStyle w:val="Hypertextovodkaz"/>
            <w:noProof/>
          </w:rPr>
          <w:t>Věková struktura populace (%) a index stáří v krajích ČR v roce 2020</w:t>
        </w:r>
        <w:r w:rsidR="00E63EFF">
          <w:rPr>
            <w:noProof/>
            <w:webHidden/>
          </w:rPr>
          <w:tab/>
        </w:r>
        <w:r w:rsidR="00E63EFF">
          <w:rPr>
            <w:noProof/>
            <w:webHidden/>
          </w:rPr>
          <w:fldChar w:fldCharType="begin"/>
        </w:r>
        <w:r w:rsidR="00E63EFF">
          <w:rPr>
            <w:noProof/>
            <w:webHidden/>
          </w:rPr>
          <w:instrText xml:space="preserve"> PAGEREF _Toc81817597 \h </w:instrText>
        </w:r>
        <w:r w:rsidR="00E63EFF">
          <w:rPr>
            <w:noProof/>
            <w:webHidden/>
          </w:rPr>
        </w:r>
        <w:r w:rsidR="00E63EFF">
          <w:rPr>
            <w:noProof/>
            <w:webHidden/>
          </w:rPr>
          <w:fldChar w:fldCharType="separate"/>
        </w:r>
        <w:r w:rsidR="00E63EFF">
          <w:rPr>
            <w:noProof/>
            <w:webHidden/>
          </w:rPr>
          <w:t>51</w:t>
        </w:r>
        <w:r w:rsidR="00E63EFF">
          <w:rPr>
            <w:noProof/>
            <w:webHidden/>
          </w:rPr>
          <w:fldChar w:fldCharType="end"/>
        </w:r>
      </w:hyperlink>
    </w:p>
    <w:p w14:paraId="43D9C36C" w14:textId="261C61C5" w:rsidR="00E63EFF" w:rsidRDefault="003A4538" w:rsidP="0026782D">
      <w:pPr>
        <w:pStyle w:val="Obsah4"/>
        <w:rPr>
          <w:rFonts w:asciiTheme="minorHAnsi" w:eastAsiaTheme="minorEastAsia" w:hAnsiTheme="minorHAnsi"/>
          <w:noProof/>
          <w:sz w:val="22"/>
          <w:szCs w:val="22"/>
          <w:lang w:val="cs-CZ" w:eastAsia="cs-CZ"/>
        </w:rPr>
      </w:pPr>
      <w:hyperlink w:anchor="_Toc81817598" w:history="1">
        <w:r w:rsidR="00E63EFF" w:rsidRPr="00943BA1">
          <w:rPr>
            <w:rStyle w:val="Hypertextovodkaz"/>
            <w:noProof/>
          </w:rPr>
          <w:t>Obrázek 12</w:t>
        </w:r>
        <w:r w:rsidR="00E63EFF">
          <w:rPr>
            <w:rFonts w:asciiTheme="minorHAnsi" w:eastAsiaTheme="minorEastAsia" w:hAnsiTheme="minorHAnsi"/>
            <w:noProof/>
            <w:sz w:val="22"/>
            <w:szCs w:val="22"/>
            <w:lang w:val="cs-CZ" w:eastAsia="cs-CZ"/>
          </w:rPr>
          <w:tab/>
        </w:r>
        <w:r w:rsidR="00E63EFF" w:rsidRPr="00943BA1">
          <w:rPr>
            <w:rStyle w:val="Hypertextovodkaz"/>
            <w:noProof/>
          </w:rPr>
          <w:t>Index stáří ve venkovských obcích a městech dle krajů ČR v roce 2020</w:t>
        </w:r>
        <w:r w:rsidR="00E63EFF">
          <w:rPr>
            <w:noProof/>
            <w:webHidden/>
          </w:rPr>
          <w:tab/>
        </w:r>
        <w:r w:rsidR="00E63EFF">
          <w:rPr>
            <w:noProof/>
            <w:webHidden/>
          </w:rPr>
          <w:fldChar w:fldCharType="begin"/>
        </w:r>
        <w:r w:rsidR="00E63EFF">
          <w:rPr>
            <w:noProof/>
            <w:webHidden/>
          </w:rPr>
          <w:instrText xml:space="preserve"> PAGEREF _Toc81817598 \h </w:instrText>
        </w:r>
        <w:r w:rsidR="00E63EFF">
          <w:rPr>
            <w:noProof/>
            <w:webHidden/>
          </w:rPr>
        </w:r>
        <w:r w:rsidR="00E63EFF">
          <w:rPr>
            <w:noProof/>
            <w:webHidden/>
          </w:rPr>
          <w:fldChar w:fldCharType="separate"/>
        </w:r>
        <w:r w:rsidR="00E63EFF">
          <w:rPr>
            <w:noProof/>
            <w:webHidden/>
          </w:rPr>
          <w:t>52</w:t>
        </w:r>
        <w:r w:rsidR="00E63EFF">
          <w:rPr>
            <w:noProof/>
            <w:webHidden/>
          </w:rPr>
          <w:fldChar w:fldCharType="end"/>
        </w:r>
      </w:hyperlink>
    </w:p>
    <w:p w14:paraId="142ADB0E" w14:textId="45BE27AA" w:rsidR="00E63EFF" w:rsidRDefault="003A4538" w:rsidP="0026782D">
      <w:pPr>
        <w:pStyle w:val="Obsah4"/>
        <w:rPr>
          <w:rFonts w:asciiTheme="minorHAnsi" w:eastAsiaTheme="minorEastAsia" w:hAnsiTheme="minorHAnsi"/>
          <w:noProof/>
          <w:sz w:val="22"/>
          <w:szCs w:val="22"/>
          <w:lang w:val="cs-CZ" w:eastAsia="cs-CZ"/>
        </w:rPr>
      </w:pPr>
      <w:hyperlink w:anchor="_Toc81817599" w:history="1">
        <w:r w:rsidR="00E63EFF" w:rsidRPr="00943BA1">
          <w:rPr>
            <w:rStyle w:val="Hypertextovodkaz"/>
            <w:noProof/>
          </w:rPr>
          <w:t>Obrázek 13</w:t>
        </w:r>
        <w:r w:rsidR="00E63EFF">
          <w:rPr>
            <w:rFonts w:asciiTheme="minorHAnsi" w:eastAsiaTheme="minorEastAsia" w:hAnsiTheme="minorHAnsi"/>
            <w:noProof/>
            <w:sz w:val="22"/>
            <w:szCs w:val="22"/>
            <w:lang w:val="cs-CZ" w:eastAsia="cs-CZ"/>
          </w:rPr>
          <w:tab/>
        </w:r>
        <w:r w:rsidR="00E63EFF" w:rsidRPr="00943BA1">
          <w:rPr>
            <w:rStyle w:val="Hypertextovodkaz"/>
            <w:noProof/>
          </w:rPr>
          <w:t>Vzdělanostní struktura obyvatel 15 + ve velikostních kategoriích obcí ČR v roce 2011</w:t>
        </w:r>
        <w:r w:rsidR="00E63EFF">
          <w:rPr>
            <w:noProof/>
            <w:webHidden/>
          </w:rPr>
          <w:tab/>
        </w:r>
        <w:r w:rsidR="00E63EFF">
          <w:rPr>
            <w:noProof/>
            <w:webHidden/>
          </w:rPr>
          <w:fldChar w:fldCharType="begin"/>
        </w:r>
        <w:r w:rsidR="00E63EFF">
          <w:rPr>
            <w:noProof/>
            <w:webHidden/>
          </w:rPr>
          <w:instrText xml:space="preserve"> PAGEREF _Toc81817599 \h </w:instrText>
        </w:r>
        <w:r w:rsidR="00E63EFF">
          <w:rPr>
            <w:noProof/>
            <w:webHidden/>
          </w:rPr>
        </w:r>
        <w:r w:rsidR="00E63EFF">
          <w:rPr>
            <w:noProof/>
            <w:webHidden/>
          </w:rPr>
          <w:fldChar w:fldCharType="separate"/>
        </w:r>
        <w:r w:rsidR="00E63EFF">
          <w:rPr>
            <w:noProof/>
            <w:webHidden/>
          </w:rPr>
          <w:t>53</w:t>
        </w:r>
        <w:r w:rsidR="00E63EFF">
          <w:rPr>
            <w:noProof/>
            <w:webHidden/>
          </w:rPr>
          <w:fldChar w:fldCharType="end"/>
        </w:r>
      </w:hyperlink>
    </w:p>
    <w:p w14:paraId="4B22733D" w14:textId="2427027C" w:rsidR="00E63EFF" w:rsidRDefault="003A4538" w:rsidP="0026782D">
      <w:pPr>
        <w:pStyle w:val="Obsah4"/>
        <w:rPr>
          <w:rFonts w:asciiTheme="minorHAnsi" w:eastAsiaTheme="minorEastAsia" w:hAnsiTheme="minorHAnsi"/>
          <w:noProof/>
          <w:sz w:val="22"/>
          <w:szCs w:val="22"/>
          <w:lang w:val="cs-CZ" w:eastAsia="cs-CZ"/>
        </w:rPr>
      </w:pPr>
      <w:hyperlink w:anchor="_Toc81817600" w:history="1">
        <w:r w:rsidR="00E63EFF" w:rsidRPr="00943BA1">
          <w:rPr>
            <w:rStyle w:val="Hypertextovodkaz"/>
            <w:rFonts w:eastAsiaTheme="majorEastAsia"/>
            <w:noProof/>
          </w:rPr>
          <w:t>Obrázek 14</w:t>
        </w:r>
        <w:r w:rsidR="00E63EFF">
          <w:rPr>
            <w:rFonts w:asciiTheme="minorHAnsi" w:eastAsiaTheme="minorEastAsia" w:hAnsiTheme="minorHAnsi"/>
            <w:noProof/>
            <w:sz w:val="22"/>
            <w:szCs w:val="22"/>
            <w:lang w:val="cs-CZ" w:eastAsia="cs-CZ"/>
          </w:rPr>
          <w:tab/>
        </w:r>
        <w:r w:rsidR="00E63EFF" w:rsidRPr="00943BA1">
          <w:rPr>
            <w:rStyle w:val="Hypertextovodkaz"/>
            <w:rFonts w:eastAsiaTheme="majorEastAsia"/>
            <w:noProof/>
          </w:rPr>
          <w:t>Vzdělanostní struktura obyvatel 15 + ve venkovských obcích a městech ČR v letech 2001, 2011 (%)</w:t>
        </w:r>
        <w:r w:rsidR="00E63EFF">
          <w:rPr>
            <w:noProof/>
            <w:webHidden/>
          </w:rPr>
          <w:tab/>
        </w:r>
        <w:r w:rsidR="0026782D">
          <w:rPr>
            <w:noProof/>
            <w:webHidden/>
          </w:rPr>
          <w:tab/>
        </w:r>
        <w:r w:rsidR="00E63EFF">
          <w:rPr>
            <w:noProof/>
            <w:webHidden/>
          </w:rPr>
          <w:fldChar w:fldCharType="begin"/>
        </w:r>
        <w:r w:rsidR="00E63EFF">
          <w:rPr>
            <w:noProof/>
            <w:webHidden/>
          </w:rPr>
          <w:instrText xml:space="preserve"> PAGEREF _Toc81817600 \h </w:instrText>
        </w:r>
        <w:r w:rsidR="00E63EFF">
          <w:rPr>
            <w:noProof/>
            <w:webHidden/>
          </w:rPr>
        </w:r>
        <w:r w:rsidR="00E63EFF">
          <w:rPr>
            <w:noProof/>
            <w:webHidden/>
          </w:rPr>
          <w:fldChar w:fldCharType="separate"/>
        </w:r>
        <w:r w:rsidR="00E63EFF">
          <w:rPr>
            <w:noProof/>
            <w:webHidden/>
          </w:rPr>
          <w:t>53</w:t>
        </w:r>
        <w:r w:rsidR="00E63EFF">
          <w:rPr>
            <w:noProof/>
            <w:webHidden/>
          </w:rPr>
          <w:fldChar w:fldCharType="end"/>
        </w:r>
      </w:hyperlink>
    </w:p>
    <w:p w14:paraId="03ABCC1F" w14:textId="73EF7372" w:rsidR="00E63EFF" w:rsidRDefault="003A4538" w:rsidP="0026782D">
      <w:pPr>
        <w:pStyle w:val="Obsah4"/>
        <w:rPr>
          <w:rFonts w:asciiTheme="minorHAnsi" w:eastAsiaTheme="minorEastAsia" w:hAnsiTheme="minorHAnsi"/>
          <w:noProof/>
          <w:sz w:val="22"/>
          <w:szCs w:val="22"/>
          <w:lang w:val="cs-CZ" w:eastAsia="cs-CZ"/>
        </w:rPr>
      </w:pPr>
      <w:hyperlink w:anchor="_Toc81817601" w:history="1">
        <w:r w:rsidR="00E63EFF" w:rsidRPr="00943BA1">
          <w:rPr>
            <w:rStyle w:val="Hypertextovodkaz"/>
            <w:noProof/>
          </w:rPr>
          <w:t>Obrázek 15</w:t>
        </w:r>
        <w:r w:rsidR="00E63EFF">
          <w:rPr>
            <w:rFonts w:asciiTheme="minorHAnsi" w:eastAsiaTheme="minorEastAsia" w:hAnsiTheme="minorHAnsi"/>
            <w:noProof/>
            <w:sz w:val="22"/>
            <w:szCs w:val="22"/>
            <w:lang w:val="cs-CZ" w:eastAsia="cs-CZ"/>
          </w:rPr>
          <w:tab/>
        </w:r>
        <w:r w:rsidR="00E63EFF" w:rsidRPr="00943BA1">
          <w:rPr>
            <w:rStyle w:val="Hypertextovodkaz"/>
            <w:noProof/>
          </w:rPr>
          <w:t>Kumulativní rozdíly ve vývoji zemědělského půdního fondu, lesních pozemků, vodních, zastavěných a ostatních ploch</w:t>
        </w:r>
        <w:r w:rsidR="00E63EFF">
          <w:rPr>
            <w:noProof/>
            <w:webHidden/>
          </w:rPr>
          <w:tab/>
        </w:r>
        <w:r w:rsidR="00E63EFF">
          <w:rPr>
            <w:noProof/>
            <w:webHidden/>
          </w:rPr>
          <w:fldChar w:fldCharType="begin"/>
        </w:r>
        <w:r w:rsidR="00E63EFF">
          <w:rPr>
            <w:noProof/>
            <w:webHidden/>
          </w:rPr>
          <w:instrText xml:space="preserve"> PAGEREF _Toc81817601 \h </w:instrText>
        </w:r>
        <w:r w:rsidR="00E63EFF">
          <w:rPr>
            <w:noProof/>
            <w:webHidden/>
          </w:rPr>
        </w:r>
        <w:r w:rsidR="00E63EFF">
          <w:rPr>
            <w:noProof/>
            <w:webHidden/>
          </w:rPr>
          <w:fldChar w:fldCharType="separate"/>
        </w:r>
        <w:r w:rsidR="00E63EFF">
          <w:rPr>
            <w:noProof/>
            <w:webHidden/>
          </w:rPr>
          <w:t>55</w:t>
        </w:r>
        <w:r w:rsidR="00E63EFF">
          <w:rPr>
            <w:noProof/>
            <w:webHidden/>
          </w:rPr>
          <w:fldChar w:fldCharType="end"/>
        </w:r>
      </w:hyperlink>
    </w:p>
    <w:p w14:paraId="70C27662" w14:textId="55DBFC23" w:rsidR="00E63EFF" w:rsidRDefault="003A4538" w:rsidP="0026782D">
      <w:pPr>
        <w:pStyle w:val="Obsah4"/>
        <w:rPr>
          <w:rFonts w:asciiTheme="minorHAnsi" w:eastAsiaTheme="minorEastAsia" w:hAnsiTheme="minorHAnsi"/>
          <w:noProof/>
          <w:sz w:val="22"/>
          <w:szCs w:val="22"/>
          <w:lang w:val="cs-CZ" w:eastAsia="cs-CZ"/>
        </w:rPr>
      </w:pPr>
      <w:hyperlink w:anchor="_Toc81817602" w:history="1">
        <w:r w:rsidR="00E63EFF" w:rsidRPr="00943BA1">
          <w:rPr>
            <w:rStyle w:val="Hypertextovodkaz"/>
            <w:rFonts w:eastAsiaTheme="majorEastAsia"/>
            <w:noProof/>
          </w:rPr>
          <w:t>Obrázek 16</w:t>
        </w:r>
        <w:r w:rsidR="00E63EFF">
          <w:rPr>
            <w:rFonts w:asciiTheme="minorHAnsi" w:eastAsiaTheme="minorEastAsia" w:hAnsiTheme="minorHAnsi"/>
            <w:noProof/>
            <w:sz w:val="22"/>
            <w:szCs w:val="22"/>
            <w:lang w:val="cs-CZ" w:eastAsia="cs-CZ"/>
          </w:rPr>
          <w:tab/>
        </w:r>
        <w:r w:rsidR="00E63EFF" w:rsidRPr="00943BA1">
          <w:rPr>
            <w:rStyle w:val="Hypertextovodkaz"/>
            <w:rFonts w:eastAsiaTheme="majorEastAsia"/>
            <w:noProof/>
          </w:rPr>
          <w:t>Vývoj podílu HDP v cenách předchozího roku dle typologie městských a venkovských regionů (NUTS3) na celkovém HDP v ČR v letech 2009–2019 (%)</w:t>
        </w:r>
        <w:r w:rsidR="00E63EFF">
          <w:rPr>
            <w:noProof/>
            <w:webHidden/>
          </w:rPr>
          <w:tab/>
        </w:r>
        <w:r w:rsidR="00E63EFF">
          <w:rPr>
            <w:noProof/>
            <w:webHidden/>
          </w:rPr>
          <w:fldChar w:fldCharType="begin"/>
        </w:r>
        <w:r w:rsidR="00E63EFF">
          <w:rPr>
            <w:noProof/>
            <w:webHidden/>
          </w:rPr>
          <w:instrText xml:space="preserve"> PAGEREF _Toc81817602 \h </w:instrText>
        </w:r>
        <w:r w:rsidR="00E63EFF">
          <w:rPr>
            <w:noProof/>
            <w:webHidden/>
          </w:rPr>
        </w:r>
        <w:r w:rsidR="00E63EFF">
          <w:rPr>
            <w:noProof/>
            <w:webHidden/>
          </w:rPr>
          <w:fldChar w:fldCharType="separate"/>
        </w:r>
        <w:r w:rsidR="00E63EFF">
          <w:rPr>
            <w:noProof/>
            <w:webHidden/>
          </w:rPr>
          <w:t>58</w:t>
        </w:r>
        <w:r w:rsidR="00E63EFF">
          <w:rPr>
            <w:noProof/>
            <w:webHidden/>
          </w:rPr>
          <w:fldChar w:fldCharType="end"/>
        </w:r>
      </w:hyperlink>
    </w:p>
    <w:p w14:paraId="6F44857C" w14:textId="50C36C53" w:rsidR="00E63EFF" w:rsidRDefault="003A4538" w:rsidP="0026782D">
      <w:pPr>
        <w:pStyle w:val="Obsah4"/>
        <w:rPr>
          <w:rFonts w:asciiTheme="minorHAnsi" w:eastAsiaTheme="minorEastAsia" w:hAnsiTheme="minorHAnsi"/>
          <w:noProof/>
          <w:sz w:val="22"/>
          <w:szCs w:val="22"/>
          <w:lang w:val="cs-CZ" w:eastAsia="cs-CZ"/>
        </w:rPr>
      </w:pPr>
      <w:hyperlink w:anchor="_Toc81817603" w:history="1">
        <w:r w:rsidR="00E63EFF" w:rsidRPr="00943BA1">
          <w:rPr>
            <w:rStyle w:val="Hypertextovodkaz"/>
            <w:rFonts w:eastAsiaTheme="majorEastAsia"/>
            <w:noProof/>
          </w:rPr>
          <w:t>Obrázek 17</w:t>
        </w:r>
        <w:r w:rsidR="00E63EFF">
          <w:rPr>
            <w:rFonts w:asciiTheme="minorHAnsi" w:eastAsiaTheme="minorEastAsia" w:hAnsiTheme="minorHAnsi"/>
            <w:noProof/>
            <w:sz w:val="22"/>
            <w:szCs w:val="22"/>
            <w:lang w:val="cs-CZ" w:eastAsia="cs-CZ"/>
          </w:rPr>
          <w:tab/>
        </w:r>
        <w:r w:rsidR="00E63EFF" w:rsidRPr="00943BA1">
          <w:rPr>
            <w:rStyle w:val="Hypertextovodkaz"/>
            <w:rFonts w:eastAsiaTheme="majorEastAsia"/>
            <w:noProof/>
          </w:rPr>
          <w:t>Vývoj HDP na obyvatele v běžných cenách v krajích ČR v letech 2009-2019 v tis. Kč</w:t>
        </w:r>
        <w:r w:rsidR="00E63EFF">
          <w:rPr>
            <w:noProof/>
            <w:webHidden/>
          </w:rPr>
          <w:tab/>
        </w:r>
        <w:r w:rsidR="00E63EFF">
          <w:rPr>
            <w:noProof/>
            <w:webHidden/>
          </w:rPr>
          <w:fldChar w:fldCharType="begin"/>
        </w:r>
        <w:r w:rsidR="00E63EFF">
          <w:rPr>
            <w:noProof/>
            <w:webHidden/>
          </w:rPr>
          <w:instrText xml:space="preserve"> PAGEREF _Toc81817603 \h </w:instrText>
        </w:r>
        <w:r w:rsidR="00E63EFF">
          <w:rPr>
            <w:noProof/>
            <w:webHidden/>
          </w:rPr>
        </w:r>
        <w:r w:rsidR="00E63EFF">
          <w:rPr>
            <w:noProof/>
            <w:webHidden/>
          </w:rPr>
          <w:fldChar w:fldCharType="separate"/>
        </w:r>
        <w:r w:rsidR="00E63EFF">
          <w:rPr>
            <w:noProof/>
            <w:webHidden/>
          </w:rPr>
          <w:t>62</w:t>
        </w:r>
        <w:r w:rsidR="00E63EFF">
          <w:rPr>
            <w:noProof/>
            <w:webHidden/>
          </w:rPr>
          <w:fldChar w:fldCharType="end"/>
        </w:r>
      </w:hyperlink>
    </w:p>
    <w:p w14:paraId="32C1D7DD" w14:textId="02D72E8A" w:rsidR="00E63EFF" w:rsidRDefault="003A4538" w:rsidP="0026782D">
      <w:pPr>
        <w:pStyle w:val="Obsah4"/>
        <w:rPr>
          <w:rFonts w:asciiTheme="minorHAnsi" w:eastAsiaTheme="minorEastAsia" w:hAnsiTheme="minorHAnsi"/>
          <w:noProof/>
          <w:sz w:val="22"/>
          <w:szCs w:val="22"/>
          <w:lang w:val="cs-CZ" w:eastAsia="cs-CZ"/>
        </w:rPr>
      </w:pPr>
      <w:hyperlink w:anchor="_Toc81817604" w:history="1">
        <w:r w:rsidR="00E63EFF" w:rsidRPr="00943BA1">
          <w:rPr>
            <w:rStyle w:val="Hypertextovodkaz"/>
            <w:rFonts w:eastAsiaTheme="majorEastAsia"/>
            <w:noProof/>
          </w:rPr>
          <w:t>Obrázek 18</w:t>
        </w:r>
        <w:r w:rsidR="00E63EFF">
          <w:rPr>
            <w:rFonts w:asciiTheme="minorHAnsi" w:eastAsiaTheme="minorEastAsia" w:hAnsiTheme="minorHAnsi"/>
            <w:noProof/>
            <w:sz w:val="22"/>
            <w:szCs w:val="22"/>
            <w:lang w:val="cs-CZ" w:eastAsia="cs-CZ"/>
          </w:rPr>
          <w:tab/>
        </w:r>
        <w:r w:rsidR="00E63EFF" w:rsidRPr="00943BA1">
          <w:rPr>
            <w:rStyle w:val="Hypertextovodkaz"/>
            <w:rFonts w:eastAsiaTheme="majorEastAsia"/>
            <w:noProof/>
          </w:rPr>
          <w:t>Vývoj HPH – zemědělství (CZ-NACE 01)</w:t>
        </w:r>
        <w:r w:rsidR="00E63EFF">
          <w:rPr>
            <w:noProof/>
            <w:webHidden/>
          </w:rPr>
          <w:tab/>
        </w:r>
        <w:r w:rsidR="00E63EFF">
          <w:rPr>
            <w:noProof/>
            <w:webHidden/>
          </w:rPr>
          <w:fldChar w:fldCharType="begin"/>
        </w:r>
        <w:r w:rsidR="00E63EFF">
          <w:rPr>
            <w:noProof/>
            <w:webHidden/>
          </w:rPr>
          <w:instrText xml:space="preserve"> PAGEREF _Toc81817604 \h </w:instrText>
        </w:r>
        <w:r w:rsidR="00E63EFF">
          <w:rPr>
            <w:noProof/>
            <w:webHidden/>
          </w:rPr>
        </w:r>
        <w:r w:rsidR="00E63EFF">
          <w:rPr>
            <w:noProof/>
            <w:webHidden/>
          </w:rPr>
          <w:fldChar w:fldCharType="separate"/>
        </w:r>
        <w:r w:rsidR="00E63EFF">
          <w:rPr>
            <w:noProof/>
            <w:webHidden/>
          </w:rPr>
          <w:t>64</w:t>
        </w:r>
        <w:r w:rsidR="00E63EFF">
          <w:rPr>
            <w:noProof/>
            <w:webHidden/>
          </w:rPr>
          <w:fldChar w:fldCharType="end"/>
        </w:r>
      </w:hyperlink>
    </w:p>
    <w:p w14:paraId="51830FD4" w14:textId="2A5C078E" w:rsidR="00E63EFF" w:rsidRDefault="003A4538" w:rsidP="0026782D">
      <w:pPr>
        <w:pStyle w:val="Obsah4"/>
        <w:rPr>
          <w:rFonts w:asciiTheme="minorHAnsi" w:eastAsiaTheme="minorEastAsia" w:hAnsiTheme="minorHAnsi"/>
          <w:noProof/>
          <w:sz w:val="22"/>
          <w:szCs w:val="22"/>
          <w:lang w:val="cs-CZ" w:eastAsia="cs-CZ"/>
        </w:rPr>
      </w:pPr>
      <w:hyperlink w:anchor="_Toc81817605" w:history="1">
        <w:r w:rsidR="00E63EFF" w:rsidRPr="00943BA1">
          <w:rPr>
            <w:rStyle w:val="Hypertextovodkaz"/>
            <w:rFonts w:eastAsiaTheme="majorEastAsia"/>
            <w:noProof/>
          </w:rPr>
          <w:t>Obrázek 19</w:t>
        </w:r>
        <w:r w:rsidR="00E63EFF">
          <w:rPr>
            <w:rFonts w:asciiTheme="minorHAnsi" w:eastAsiaTheme="minorEastAsia" w:hAnsiTheme="minorHAnsi"/>
            <w:noProof/>
            <w:sz w:val="22"/>
            <w:szCs w:val="22"/>
            <w:lang w:val="cs-CZ" w:eastAsia="cs-CZ"/>
          </w:rPr>
          <w:tab/>
        </w:r>
        <w:r w:rsidR="00E63EFF" w:rsidRPr="00943BA1">
          <w:rPr>
            <w:rStyle w:val="Hypertextovodkaz"/>
            <w:rFonts w:eastAsiaTheme="majorEastAsia"/>
            <w:noProof/>
          </w:rPr>
          <w:t>Počet mikropodniků na 1000 obyv. v krajích ČR v letech 2010-2019; Zemědělství, lesnictví a rybářství (CZ-NACE A)</w:t>
        </w:r>
        <w:r w:rsidR="00E63EFF">
          <w:rPr>
            <w:noProof/>
            <w:webHidden/>
          </w:rPr>
          <w:tab/>
        </w:r>
        <w:r w:rsidR="00E63EFF">
          <w:rPr>
            <w:noProof/>
            <w:webHidden/>
          </w:rPr>
          <w:fldChar w:fldCharType="begin"/>
        </w:r>
        <w:r w:rsidR="00E63EFF">
          <w:rPr>
            <w:noProof/>
            <w:webHidden/>
          </w:rPr>
          <w:instrText xml:space="preserve"> PAGEREF _Toc81817605 \h </w:instrText>
        </w:r>
        <w:r w:rsidR="00E63EFF">
          <w:rPr>
            <w:noProof/>
            <w:webHidden/>
          </w:rPr>
        </w:r>
        <w:r w:rsidR="00E63EFF">
          <w:rPr>
            <w:noProof/>
            <w:webHidden/>
          </w:rPr>
          <w:fldChar w:fldCharType="separate"/>
        </w:r>
        <w:r w:rsidR="00E63EFF">
          <w:rPr>
            <w:noProof/>
            <w:webHidden/>
          </w:rPr>
          <w:t>67</w:t>
        </w:r>
        <w:r w:rsidR="00E63EFF">
          <w:rPr>
            <w:noProof/>
            <w:webHidden/>
          </w:rPr>
          <w:fldChar w:fldCharType="end"/>
        </w:r>
      </w:hyperlink>
    </w:p>
    <w:p w14:paraId="2C0309FD" w14:textId="0E595408" w:rsidR="00E63EFF" w:rsidRDefault="003A4538" w:rsidP="0026782D">
      <w:pPr>
        <w:pStyle w:val="Obsah4"/>
        <w:rPr>
          <w:rFonts w:asciiTheme="minorHAnsi" w:eastAsiaTheme="minorEastAsia" w:hAnsiTheme="minorHAnsi"/>
          <w:noProof/>
          <w:sz w:val="22"/>
          <w:szCs w:val="22"/>
          <w:lang w:val="cs-CZ" w:eastAsia="cs-CZ"/>
        </w:rPr>
      </w:pPr>
      <w:hyperlink w:anchor="_Toc81817606" w:history="1">
        <w:r w:rsidR="00E63EFF" w:rsidRPr="00943BA1">
          <w:rPr>
            <w:rStyle w:val="Hypertextovodkaz"/>
            <w:rFonts w:eastAsiaTheme="majorEastAsia"/>
            <w:noProof/>
          </w:rPr>
          <w:t>Obrázek 20</w:t>
        </w:r>
        <w:r w:rsidR="00E63EFF">
          <w:rPr>
            <w:rFonts w:asciiTheme="minorHAnsi" w:eastAsiaTheme="minorEastAsia" w:hAnsiTheme="minorHAnsi"/>
            <w:noProof/>
            <w:sz w:val="22"/>
            <w:szCs w:val="22"/>
            <w:lang w:val="cs-CZ" w:eastAsia="cs-CZ"/>
          </w:rPr>
          <w:tab/>
        </w:r>
        <w:r w:rsidR="00E63EFF" w:rsidRPr="00943BA1">
          <w:rPr>
            <w:rStyle w:val="Hypertextovodkaz"/>
            <w:rFonts w:eastAsiaTheme="majorEastAsia"/>
            <w:noProof/>
          </w:rPr>
          <w:t>Počet mikropodniků na 1000 obyv. v krajích ČR v letech 2010-2019; Průmysl (CZ-NACE B-F)</w:t>
        </w:r>
        <w:r w:rsidR="00E63EFF">
          <w:rPr>
            <w:noProof/>
            <w:webHidden/>
          </w:rPr>
          <w:tab/>
        </w:r>
        <w:r w:rsidR="00E63EFF">
          <w:rPr>
            <w:noProof/>
            <w:webHidden/>
          </w:rPr>
          <w:fldChar w:fldCharType="begin"/>
        </w:r>
        <w:r w:rsidR="00E63EFF">
          <w:rPr>
            <w:noProof/>
            <w:webHidden/>
          </w:rPr>
          <w:instrText xml:space="preserve"> PAGEREF _Toc81817606 \h </w:instrText>
        </w:r>
        <w:r w:rsidR="00E63EFF">
          <w:rPr>
            <w:noProof/>
            <w:webHidden/>
          </w:rPr>
        </w:r>
        <w:r w:rsidR="00E63EFF">
          <w:rPr>
            <w:noProof/>
            <w:webHidden/>
          </w:rPr>
          <w:fldChar w:fldCharType="separate"/>
        </w:r>
        <w:r w:rsidR="00E63EFF">
          <w:rPr>
            <w:noProof/>
            <w:webHidden/>
          </w:rPr>
          <w:t>68</w:t>
        </w:r>
        <w:r w:rsidR="00E63EFF">
          <w:rPr>
            <w:noProof/>
            <w:webHidden/>
          </w:rPr>
          <w:fldChar w:fldCharType="end"/>
        </w:r>
      </w:hyperlink>
    </w:p>
    <w:p w14:paraId="0BA2FDD0" w14:textId="13E75A74" w:rsidR="00E63EFF" w:rsidRDefault="003A4538" w:rsidP="0026782D">
      <w:pPr>
        <w:pStyle w:val="Obsah4"/>
        <w:rPr>
          <w:rFonts w:asciiTheme="minorHAnsi" w:eastAsiaTheme="minorEastAsia" w:hAnsiTheme="minorHAnsi"/>
          <w:noProof/>
          <w:sz w:val="22"/>
          <w:szCs w:val="22"/>
          <w:lang w:val="cs-CZ" w:eastAsia="cs-CZ"/>
        </w:rPr>
      </w:pPr>
      <w:hyperlink w:anchor="_Toc81817607" w:history="1">
        <w:r w:rsidR="00E63EFF" w:rsidRPr="00943BA1">
          <w:rPr>
            <w:rStyle w:val="Hypertextovodkaz"/>
            <w:rFonts w:eastAsiaTheme="majorEastAsia"/>
            <w:noProof/>
          </w:rPr>
          <w:t>Obrázek 21</w:t>
        </w:r>
        <w:r w:rsidR="00E63EFF">
          <w:rPr>
            <w:rFonts w:asciiTheme="minorHAnsi" w:eastAsiaTheme="minorEastAsia" w:hAnsiTheme="minorHAnsi"/>
            <w:noProof/>
            <w:sz w:val="22"/>
            <w:szCs w:val="22"/>
            <w:lang w:val="cs-CZ" w:eastAsia="cs-CZ"/>
          </w:rPr>
          <w:tab/>
        </w:r>
        <w:r w:rsidR="00E63EFF" w:rsidRPr="00943BA1">
          <w:rPr>
            <w:rStyle w:val="Hypertextovodkaz"/>
            <w:rFonts w:eastAsiaTheme="majorEastAsia"/>
            <w:noProof/>
          </w:rPr>
          <w:t>Počet mikropodniků na 1000 obyv. v krajích ČR v letech 2010-2019; Služby (CZ-NACE G-U)</w:t>
        </w:r>
        <w:r w:rsidR="00E63EFF">
          <w:rPr>
            <w:noProof/>
            <w:webHidden/>
          </w:rPr>
          <w:tab/>
        </w:r>
        <w:r w:rsidR="00E63EFF">
          <w:rPr>
            <w:noProof/>
            <w:webHidden/>
          </w:rPr>
          <w:fldChar w:fldCharType="begin"/>
        </w:r>
        <w:r w:rsidR="00E63EFF">
          <w:rPr>
            <w:noProof/>
            <w:webHidden/>
          </w:rPr>
          <w:instrText xml:space="preserve"> PAGEREF _Toc81817607 \h </w:instrText>
        </w:r>
        <w:r w:rsidR="00E63EFF">
          <w:rPr>
            <w:noProof/>
            <w:webHidden/>
          </w:rPr>
        </w:r>
        <w:r w:rsidR="00E63EFF">
          <w:rPr>
            <w:noProof/>
            <w:webHidden/>
          </w:rPr>
          <w:fldChar w:fldCharType="separate"/>
        </w:r>
        <w:r w:rsidR="00E63EFF">
          <w:rPr>
            <w:noProof/>
            <w:webHidden/>
          </w:rPr>
          <w:t>69</w:t>
        </w:r>
        <w:r w:rsidR="00E63EFF">
          <w:rPr>
            <w:noProof/>
            <w:webHidden/>
          </w:rPr>
          <w:fldChar w:fldCharType="end"/>
        </w:r>
      </w:hyperlink>
    </w:p>
    <w:p w14:paraId="06EFD24F" w14:textId="41B1D007" w:rsidR="00E63EFF" w:rsidRDefault="003A4538" w:rsidP="0026782D">
      <w:pPr>
        <w:pStyle w:val="Obsah4"/>
        <w:rPr>
          <w:rFonts w:asciiTheme="minorHAnsi" w:eastAsiaTheme="minorEastAsia" w:hAnsiTheme="minorHAnsi"/>
          <w:noProof/>
          <w:sz w:val="22"/>
          <w:szCs w:val="22"/>
          <w:lang w:val="cs-CZ" w:eastAsia="cs-CZ"/>
        </w:rPr>
      </w:pPr>
      <w:hyperlink w:anchor="_Toc81817608" w:history="1">
        <w:r w:rsidR="00E63EFF" w:rsidRPr="00943BA1">
          <w:rPr>
            <w:rStyle w:val="Hypertextovodkaz"/>
            <w:rFonts w:eastAsia="Calibri"/>
            <w:noProof/>
          </w:rPr>
          <w:t>Obrázek 22</w:t>
        </w:r>
        <w:r w:rsidR="00E63EFF">
          <w:rPr>
            <w:rFonts w:asciiTheme="minorHAnsi" w:eastAsiaTheme="minorEastAsia" w:hAnsiTheme="minorHAnsi"/>
            <w:noProof/>
            <w:sz w:val="22"/>
            <w:szCs w:val="22"/>
            <w:lang w:val="cs-CZ" w:eastAsia="cs-CZ"/>
          </w:rPr>
          <w:tab/>
        </w:r>
        <w:r w:rsidR="00E63EFF" w:rsidRPr="00943BA1">
          <w:rPr>
            <w:rStyle w:val="Hypertextovodkaz"/>
            <w:rFonts w:eastAsia="Calibri"/>
            <w:noProof/>
          </w:rPr>
          <w:t>Počet podnikatelů na venkově dle odvětví v grafu</w:t>
        </w:r>
        <w:r w:rsidR="00E63EFF">
          <w:rPr>
            <w:noProof/>
            <w:webHidden/>
          </w:rPr>
          <w:tab/>
        </w:r>
        <w:r w:rsidR="00E63EFF">
          <w:rPr>
            <w:noProof/>
            <w:webHidden/>
          </w:rPr>
          <w:fldChar w:fldCharType="begin"/>
        </w:r>
        <w:r w:rsidR="00E63EFF">
          <w:rPr>
            <w:noProof/>
            <w:webHidden/>
          </w:rPr>
          <w:instrText xml:space="preserve"> PAGEREF _Toc81817608 \h </w:instrText>
        </w:r>
        <w:r w:rsidR="00E63EFF">
          <w:rPr>
            <w:noProof/>
            <w:webHidden/>
          </w:rPr>
        </w:r>
        <w:r w:rsidR="00E63EFF">
          <w:rPr>
            <w:noProof/>
            <w:webHidden/>
          </w:rPr>
          <w:fldChar w:fldCharType="separate"/>
        </w:r>
        <w:r w:rsidR="00E63EFF">
          <w:rPr>
            <w:noProof/>
            <w:webHidden/>
          </w:rPr>
          <w:t>70</w:t>
        </w:r>
        <w:r w:rsidR="00E63EFF">
          <w:rPr>
            <w:noProof/>
            <w:webHidden/>
          </w:rPr>
          <w:fldChar w:fldCharType="end"/>
        </w:r>
      </w:hyperlink>
    </w:p>
    <w:p w14:paraId="3963C796" w14:textId="461C6AAF" w:rsidR="00E63EFF" w:rsidRDefault="003A4538" w:rsidP="0026782D">
      <w:pPr>
        <w:pStyle w:val="Obsah4"/>
        <w:rPr>
          <w:rFonts w:asciiTheme="minorHAnsi" w:eastAsiaTheme="minorEastAsia" w:hAnsiTheme="minorHAnsi"/>
          <w:noProof/>
          <w:sz w:val="22"/>
          <w:szCs w:val="22"/>
          <w:lang w:val="cs-CZ" w:eastAsia="cs-CZ"/>
        </w:rPr>
      </w:pPr>
      <w:hyperlink w:anchor="_Toc81817609" w:history="1">
        <w:r w:rsidR="00E63EFF" w:rsidRPr="00943BA1">
          <w:rPr>
            <w:rStyle w:val="Hypertextovodkaz"/>
            <w:rFonts w:eastAsiaTheme="majorEastAsia"/>
            <w:noProof/>
          </w:rPr>
          <w:t>Obrázek 23</w:t>
        </w:r>
        <w:r w:rsidR="00E63EFF">
          <w:rPr>
            <w:rFonts w:asciiTheme="minorHAnsi" w:eastAsiaTheme="minorEastAsia" w:hAnsiTheme="minorHAnsi"/>
            <w:noProof/>
            <w:sz w:val="22"/>
            <w:szCs w:val="22"/>
            <w:lang w:val="cs-CZ" w:eastAsia="cs-CZ"/>
          </w:rPr>
          <w:tab/>
        </w:r>
        <w:r w:rsidR="00E63EFF" w:rsidRPr="00943BA1">
          <w:rPr>
            <w:rStyle w:val="Hypertextovodkaz"/>
            <w:rFonts w:eastAsiaTheme="majorEastAsia"/>
            <w:noProof/>
          </w:rPr>
          <w:t>Podíl zemědělských podniků s nezemědělskou činností na celkovém počtu zem. podniků v členských státech EU v roce 2013 a 2016</w:t>
        </w:r>
        <w:r w:rsidR="00E63EFF">
          <w:rPr>
            <w:noProof/>
            <w:webHidden/>
          </w:rPr>
          <w:tab/>
        </w:r>
        <w:r w:rsidR="00E63EFF">
          <w:rPr>
            <w:noProof/>
            <w:webHidden/>
          </w:rPr>
          <w:fldChar w:fldCharType="begin"/>
        </w:r>
        <w:r w:rsidR="00E63EFF">
          <w:rPr>
            <w:noProof/>
            <w:webHidden/>
          </w:rPr>
          <w:instrText xml:space="preserve"> PAGEREF _Toc81817609 \h </w:instrText>
        </w:r>
        <w:r w:rsidR="00E63EFF">
          <w:rPr>
            <w:noProof/>
            <w:webHidden/>
          </w:rPr>
        </w:r>
        <w:r w:rsidR="00E63EFF">
          <w:rPr>
            <w:noProof/>
            <w:webHidden/>
          </w:rPr>
          <w:fldChar w:fldCharType="separate"/>
        </w:r>
        <w:r w:rsidR="00E63EFF">
          <w:rPr>
            <w:noProof/>
            <w:webHidden/>
          </w:rPr>
          <w:t>71</w:t>
        </w:r>
        <w:r w:rsidR="00E63EFF">
          <w:rPr>
            <w:noProof/>
            <w:webHidden/>
          </w:rPr>
          <w:fldChar w:fldCharType="end"/>
        </w:r>
      </w:hyperlink>
    </w:p>
    <w:p w14:paraId="43ECA9BF" w14:textId="0E25F877" w:rsidR="00E63EFF" w:rsidRDefault="003A4538" w:rsidP="0026782D">
      <w:pPr>
        <w:pStyle w:val="Obsah4"/>
        <w:rPr>
          <w:rFonts w:asciiTheme="minorHAnsi" w:eastAsiaTheme="minorEastAsia" w:hAnsiTheme="minorHAnsi"/>
          <w:noProof/>
          <w:sz w:val="22"/>
          <w:szCs w:val="22"/>
          <w:lang w:val="cs-CZ" w:eastAsia="cs-CZ"/>
        </w:rPr>
      </w:pPr>
      <w:hyperlink w:anchor="_Toc81817610" w:history="1">
        <w:r w:rsidR="00E63EFF" w:rsidRPr="00943BA1">
          <w:rPr>
            <w:rStyle w:val="Hypertextovodkaz"/>
            <w:rFonts w:eastAsiaTheme="majorEastAsia"/>
            <w:noProof/>
          </w:rPr>
          <w:t>Obrázek 24</w:t>
        </w:r>
        <w:r w:rsidR="00E63EFF">
          <w:rPr>
            <w:rFonts w:asciiTheme="minorHAnsi" w:eastAsiaTheme="minorEastAsia" w:hAnsiTheme="minorHAnsi"/>
            <w:noProof/>
            <w:sz w:val="22"/>
            <w:szCs w:val="22"/>
            <w:lang w:val="cs-CZ" w:eastAsia="cs-CZ"/>
          </w:rPr>
          <w:tab/>
        </w:r>
        <w:r w:rsidR="00E63EFF" w:rsidRPr="00943BA1">
          <w:rPr>
            <w:rStyle w:val="Hypertextovodkaz"/>
            <w:rFonts w:eastAsiaTheme="majorEastAsia"/>
            <w:noProof/>
          </w:rPr>
          <w:t>Podniky provozující nezemědělskou činnost podle druhu v roce 2010, 2013 a 2016</w:t>
        </w:r>
        <w:r w:rsidR="00E63EFF">
          <w:rPr>
            <w:noProof/>
            <w:webHidden/>
          </w:rPr>
          <w:tab/>
        </w:r>
        <w:r w:rsidR="00E63EFF">
          <w:rPr>
            <w:noProof/>
            <w:webHidden/>
          </w:rPr>
          <w:fldChar w:fldCharType="begin"/>
        </w:r>
        <w:r w:rsidR="00E63EFF">
          <w:rPr>
            <w:noProof/>
            <w:webHidden/>
          </w:rPr>
          <w:instrText xml:space="preserve"> PAGEREF _Toc81817610 \h </w:instrText>
        </w:r>
        <w:r w:rsidR="00E63EFF">
          <w:rPr>
            <w:noProof/>
            <w:webHidden/>
          </w:rPr>
        </w:r>
        <w:r w:rsidR="00E63EFF">
          <w:rPr>
            <w:noProof/>
            <w:webHidden/>
          </w:rPr>
          <w:fldChar w:fldCharType="separate"/>
        </w:r>
        <w:r w:rsidR="00E63EFF">
          <w:rPr>
            <w:noProof/>
            <w:webHidden/>
          </w:rPr>
          <w:t>71</w:t>
        </w:r>
        <w:r w:rsidR="00E63EFF">
          <w:rPr>
            <w:noProof/>
            <w:webHidden/>
          </w:rPr>
          <w:fldChar w:fldCharType="end"/>
        </w:r>
      </w:hyperlink>
    </w:p>
    <w:p w14:paraId="6938DF92" w14:textId="4D843152" w:rsidR="00E63EFF" w:rsidRDefault="003A4538" w:rsidP="0026782D">
      <w:pPr>
        <w:pStyle w:val="Obsah4"/>
        <w:rPr>
          <w:rFonts w:asciiTheme="minorHAnsi" w:eastAsiaTheme="minorEastAsia" w:hAnsiTheme="minorHAnsi"/>
          <w:noProof/>
          <w:sz w:val="22"/>
          <w:szCs w:val="22"/>
          <w:lang w:val="cs-CZ" w:eastAsia="cs-CZ"/>
        </w:rPr>
      </w:pPr>
      <w:hyperlink w:anchor="_Toc81817611" w:history="1">
        <w:r w:rsidR="00E63EFF" w:rsidRPr="00943BA1">
          <w:rPr>
            <w:rStyle w:val="Hypertextovodkaz"/>
            <w:rFonts w:eastAsiaTheme="majorEastAsia"/>
            <w:noProof/>
          </w:rPr>
          <w:t>Obrázek 25</w:t>
        </w:r>
        <w:r w:rsidR="00E63EFF">
          <w:rPr>
            <w:rFonts w:asciiTheme="minorHAnsi" w:eastAsiaTheme="minorEastAsia" w:hAnsiTheme="minorHAnsi"/>
            <w:noProof/>
            <w:sz w:val="22"/>
            <w:szCs w:val="22"/>
            <w:lang w:val="cs-CZ" w:eastAsia="cs-CZ"/>
          </w:rPr>
          <w:tab/>
        </w:r>
        <w:r w:rsidR="00E63EFF" w:rsidRPr="00943BA1">
          <w:rPr>
            <w:rStyle w:val="Hypertextovodkaz"/>
            <w:rFonts w:eastAsiaTheme="majorEastAsia"/>
            <w:noProof/>
          </w:rPr>
          <w:t>Podíl ostatní produkce na celkové produkci (%) u fyzických a právnických osob</w:t>
        </w:r>
        <w:r w:rsidR="00E63EFF">
          <w:rPr>
            <w:noProof/>
            <w:webHidden/>
          </w:rPr>
          <w:tab/>
        </w:r>
        <w:r w:rsidR="00E63EFF">
          <w:rPr>
            <w:noProof/>
            <w:webHidden/>
          </w:rPr>
          <w:fldChar w:fldCharType="begin"/>
        </w:r>
        <w:r w:rsidR="00E63EFF">
          <w:rPr>
            <w:noProof/>
            <w:webHidden/>
          </w:rPr>
          <w:instrText xml:space="preserve"> PAGEREF _Toc81817611 \h </w:instrText>
        </w:r>
        <w:r w:rsidR="00E63EFF">
          <w:rPr>
            <w:noProof/>
            <w:webHidden/>
          </w:rPr>
        </w:r>
        <w:r w:rsidR="00E63EFF">
          <w:rPr>
            <w:noProof/>
            <w:webHidden/>
          </w:rPr>
          <w:fldChar w:fldCharType="separate"/>
        </w:r>
        <w:r w:rsidR="00E63EFF">
          <w:rPr>
            <w:noProof/>
            <w:webHidden/>
          </w:rPr>
          <w:t>72</w:t>
        </w:r>
        <w:r w:rsidR="00E63EFF">
          <w:rPr>
            <w:noProof/>
            <w:webHidden/>
          </w:rPr>
          <w:fldChar w:fldCharType="end"/>
        </w:r>
      </w:hyperlink>
    </w:p>
    <w:p w14:paraId="45E5E66A" w14:textId="7A6E8865" w:rsidR="00E63EFF" w:rsidRDefault="003A4538" w:rsidP="0026782D">
      <w:pPr>
        <w:pStyle w:val="Obsah4"/>
        <w:rPr>
          <w:rFonts w:asciiTheme="minorHAnsi" w:eastAsiaTheme="minorEastAsia" w:hAnsiTheme="minorHAnsi"/>
          <w:noProof/>
          <w:sz w:val="22"/>
          <w:szCs w:val="22"/>
          <w:lang w:val="cs-CZ" w:eastAsia="cs-CZ"/>
        </w:rPr>
      </w:pPr>
      <w:hyperlink w:anchor="_Toc81817612" w:history="1">
        <w:r w:rsidR="00E63EFF" w:rsidRPr="00943BA1">
          <w:rPr>
            <w:rStyle w:val="Hypertextovodkaz"/>
            <w:rFonts w:eastAsiaTheme="majorEastAsia"/>
            <w:noProof/>
          </w:rPr>
          <w:t>Obrázek 26</w:t>
        </w:r>
        <w:r w:rsidR="00E63EFF">
          <w:rPr>
            <w:rFonts w:asciiTheme="minorHAnsi" w:eastAsiaTheme="minorEastAsia" w:hAnsiTheme="minorHAnsi"/>
            <w:noProof/>
            <w:sz w:val="22"/>
            <w:szCs w:val="22"/>
            <w:lang w:val="cs-CZ" w:eastAsia="cs-CZ"/>
          </w:rPr>
          <w:tab/>
        </w:r>
        <w:r w:rsidR="00E63EFF" w:rsidRPr="00943BA1">
          <w:rPr>
            <w:rStyle w:val="Hypertextovodkaz"/>
            <w:rFonts w:eastAsiaTheme="majorEastAsia"/>
            <w:noProof/>
          </w:rPr>
          <w:t>Struktura ostatní produkce v roce 2018</w:t>
        </w:r>
        <w:r w:rsidR="00E63EFF">
          <w:rPr>
            <w:noProof/>
            <w:webHidden/>
          </w:rPr>
          <w:tab/>
        </w:r>
        <w:r w:rsidR="00E63EFF">
          <w:rPr>
            <w:noProof/>
            <w:webHidden/>
          </w:rPr>
          <w:fldChar w:fldCharType="begin"/>
        </w:r>
        <w:r w:rsidR="00E63EFF">
          <w:rPr>
            <w:noProof/>
            <w:webHidden/>
          </w:rPr>
          <w:instrText xml:space="preserve"> PAGEREF _Toc81817612 \h </w:instrText>
        </w:r>
        <w:r w:rsidR="00E63EFF">
          <w:rPr>
            <w:noProof/>
            <w:webHidden/>
          </w:rPr>
        </w:r>
        <w:r w:rsidR="00E63EFF">
          <w:rPr>
            <w:noProof/>
            <w:webHidden/>
          </w:rPr>
          <w:fldChar w:fldCharType="separate"/>
        </w:r>
        <w:r w:rsidR="00E63EFF">
          <w:rPr>
            <w:noProof/>
            <w:webHidden/>
          </w:rPr>
          <w:t>72</w:t>
        </w:r>
        <w:r w:rsidR="00E63EFF">
          <w:rPr>
            <w:noProof/>
            <w:webHidden/>
          </w:rPr>
          <w:fldChar w:fldCharType="end"/>
        </w:r>
      </w:hyperlink>
    </w:p>
    <w:p w14:paraId="1FC54C72" w14:textId="463F2F88" w:rsidR="00E63EFF" w:rsidRDefault="003A4538" w:rsidP="0026782D">
      <w:pPr>
        <w:pStyle w:val="Obsah4"/>
        <w:rPr>
          <w:rFonts w:asciiTheme="minorHAnsi" w:eastAsiaTheme="minorEastAsia" w:hAnsiTheme="minorHAnsi"/>
          <w:noProof/>
          <w:sz w:val="22"/>
          <w:szCs w:val="22"/>
          <w:lang w:val="cs-CZ" w:eastAsia="cs-CZ"/>
        </w:rPr>
      </w:pPr>
      <w:hyperlink w:anchor="_Toc81817613" w:history="1">
        <w:r w:rsidR="00E63EFF" w:rsidRPr="00943BA1">
          <w:rPr>
            <w:rStyle w:val="Hypertextovodkaz"/>
            <w:rFonts w:eastAsiaTheme="majorEastAsia"/>
            <w:noProof/>
          </w:rPr>
          <w:t>Obrázek 27</w:t>
        </w:r>
        <w:r w:rsidR="00E63EFF">
          <w:rPr>
            <w:rFonts w:asciiTheme="minorHAnsi" w:eastAsiaTheme="minorEastAsia" w:hAnsiTheme="minorHAnsi"/>
            <w:noProof/>
            <w:sz w:val="22"/>
            <w:szCs w:val="22"/>
            <w:lang w:val="cs-CZ" w:eastAsia="cs-CZ"/>
          </w:rPr>
          <w:tab/>
        </w:r>
        <w:r w:rsidR="00E63EFF" w:rsidRPr="00943BA1">
          <w:rPr>
            <w:rStyle w:val="Hypertextovodkaz"/>
            <w:rFonts w:eastAsiaTheme="majorEastAsia"/>
            <w:noProof/>
          </w:rPr>
          <w:t>Podíl ostatní produkce – agroturistiky na tvorbě celkové hodnoty ostatní produkce (%)</w:t>
        </w:r>
        <w:r w:rsidR="00E63EFF">
          <w:rPr>
            <w:noProof/>
            <w:webHidden/>
          </w:rPr>
          <w:tab/>
        </w:r>
        <w:r w:rsidR="00E63EFF">
          <w:rPr>
            <w:noProof/>
            <w:webHidden/>
          </w:rPr>
          <w:fldChar w:fldCharType="begin"/>
        </w:r>
        <w:r w:rsidR="00E63EFF">
          <w:rPr>
            <w:noProof/>
            <w:webHidden/>
          </w:rPr>
          <w:instrText xml:space="preserve"> PAGEREF _Toc81817613 \h </w:instrText>
        </w:r>
        <w:r w:rsidR="00E63EFF">
          <w:rPr>
            <w:noProof/>
            <w:webHidden/>
          </w:rPr>
        </w:r>
        <w:r w:rsidR="00E63EFF">
          <w:rPr>
            <w:noProof/>
            <w:webHidden/>
          </w:rPr>
          <w:fldChar w:fldCharType="separate"/>
        </w:r>
        <w:r w:rsidR="00E63EFF">
          <w:rPr>
            <w:noProof/>
            <w:webHidden/>
          </w:rPr>
          <w:t>73</w:t>
        </w:r>
        <w:r w:rsidR="00E63EFF">
          <w:rPr>
            <w:noProof/>
            <w:webHidden/>
          </w:rPr>
          <w:fldChar w:fldCharType="end"/>
        </w:r>
      </w:hyperlink>
    </w:p>
    <w:p w14:paraId="6F128661" w14:textId="7CB4CA81" w:rsidR="00E63EFF" w:rsidRDefault="003A4538" w:rsidP="0026782D">
      <w:pPr>
        <w:pStyle w:val="Obsah4"/>
        <w:rPr>
          <w:rFonts w:asciiTheme="minorHAnsi" w:eastAsiaTheme="minorEastAsia" w:hAnsiTheme="minorHAnsi"/>
          <w:noProof/>
          <w:sz w:val="22"/>
          <w:szCs w:val="22"/>
          <w:lang w:val="cs-CZ" w:eastAsia="cs-CZ"/>
        </w:rPr>
      </w:pPr>
      <w:hyperlink w:anchor="_Toc81817614" w:history="1">
        <w:r w:rsidR="00E63EFF" w:rsidRPr="00943BA1">
          <w:rPr>
            <w:rStyle w:val="Hypertextovodkaz"/>
            <w:rFonts w:eastAsiaTheme="majorEastAsia"/>
            <w:noProof/>
          </w:rPr>
          <w:t>Obrázek 28</w:t>
        </w:r>
        <w:r w:rsidR="00E63EFF">
          <w:rPr>
            <w:rFonts w:asciiTheme="minorHAnsi" w:eastAsiaTheme="minorEastAsia" w:hAnsiTheme="minorHAnsi"/>
            <w:noProof/>
            <w:sz w:val="22"/>
            <w:szCs w:val="22"/>
            <w:lang w:val="cs-CZ" w:eastAsia="cs-CZ"/>
          </w:rPr>
          <w:tab/>
        </w:r>
        <w:r w:rsidR="00E63EFF" w:rsidRPr="00943BA1">
          <w:rPr>
            <w:rStyle w:val="Hypertextovodkaz"/>
            <w:rFonts w:eastAsiaTheme="majorEastAsia"/>
            <w:noProof/>
          </w:rPr>
          <w:t>Podíl ostatní produkce – OZE na tvorbě celkové hodnoty ostatní produkce (%)</w:t>
        </w:r>
        <w:r w:rsidR="00E63EFF">
          <w:rPr>
            <w:noProof/>
            <w:webHidden/>
          </w:rPr>
          <w:tab/>
        </w:r>
        <w:r w:rsidR="00E63EFF">
          <w:rPr>
            <w:noProof/>
            <w:webHidden/>
          </w:rPr>
          <w:fldChar w:fldCharType="begin"/>
        </w:r>
        <w:r w:rsidR="00E63EFF">
          <w:rPr>
            <w:noProof/>
            <w:webHidden/>
          </w:rPr>
          <w:instrText xml:space="preserve"> PAGEREF _Toc81817614 \h </w:instrText>
        </w:r>
        <w:r w:rsidR="00E63EFF">
          <w:rPr>
            <w:noProof/>
            <w:webHidden/>
          </w:rPr>
        </w:r>
        <w:r w:rsidR="00E63EFF">
          <w:rPr>
            <w:noProof/>
            <w:webHidden/>
          </w:rPr>
          <w:fldChar w:fldCharType="separate"/>
        </w:r>
        <w:r w:rsidR="00E63EFF">
          <w:rPr>
            <w:noProof/>
            <w:webHidden/>
          </w:rPr>
          <w:t>73</w:t>
        </w:r>
        <w:r w:rsidR="00E63EFF">
          <w:rPr>
            <w:noProof/>
            <w:webHidden/>
          </w:rPr>
          <w:fldChar w:fldCharType="end"/>
        </w:r>
      </w:hyperlink>
    </w:p>
    <w:p w14:paraId="34BA36B1" w14:textId="36783B3B" w:rsidR="00E63EFF" w:rsidRDefault="003A4538" w:rsidP="0026782D">
      <w:pPr>
        <w:pStyle w:val="Obsah4"/>
        <w:rPr>
          <w:rFonts w:asciiTheme="minorHAnsi" w:eastAsiaTheme="minorEastAsia" w:hAnsiTheme="minorHAnsi"/>
          <w:noProof/>
          <w:sz w:val="22"/>
          <w:szCs w:val="22"/>
          <w:lang w:val="cs-CZ" w:eastAsia="cs-CZ"/>
        </w:rPr>
      </w:pPr>
      <w:hyperlink w:anchor="_Toc81817615" w:history="1">
        <w:r w:rsidR="00E63EFF" w:rsidRPr="00943BA1">
          <w:rPr>
            <w:rStyle w:val="Hypertextovodkaz"/>
            <w:rFonts w:eastAsiaTheme="majorEastAsia"/>
            <w:noProof/>
          </w:rPr>
          <w:t>Obrázek 29</w:t>
        </w:r>
        <w:r w:rsidR="00E63EFF">
          <w:rPr>
            <w:rFonts w:asciiTheme="minorHAnsi" w:eastAsiaTheme="minorEastAsia" w:hAnsiTheme="minorHAnsi"/>
            <w:noProof/>
            <w:sz w:val="22"/>
            <w:szCs w:val="22"/>
            <w:lang w:val="cs-CZ" w:eastAsia="cs-CZ"/>
          </w:rPr>
          <w:tab/>
        </w:r>
        <w:r w:rsidR="00E63EFF" w:rsidRPr="00943BA1">
          <w:rPr>
            <w:rStyle w:val="Hypertextovodkaz"/>
            <w:rFonts w:eastAsiaTheme="majorEastAsia"/>
            <w:noProof/>
          </w:rPr>
          <w:t>Hodnota ostatní produkce – agroturistiky v Kč/ha</w:t>
        </w:r>
        <w:r w:rsidR="00E63EFF">
          <w:rPr>
            <w:noProof/>
            <w:webHidden/>
          </w:rPr>
          <w:tab/>
        </w:r>
        <w:r w:rsidR="00E63EFF">
          <w:rPr>
            <w:noProof/>
            <w:webHidden/>
          </w:rPr>
          <w:fldChar w:fldCharType="begin"/>
        </w:r>
        <w:r w:rsidR="00E63EFF">
          <w:rPr>
            <w:noProof/>
            <w:webHidden/>
          </w:rPr>
          <w:instrText xml:space="preserve"> PAGEREF _Toc81817615 \h </w:instrText>
        </w:r>
        <w:r w:rsidR="00E63EFF">
          <w:rPr>
            <w:noProof/>
            <w:webHidden/>
          </w:rPr>
        </w:r>
        <w:r w:rsidR="00E63EFF">
          <w:rPr>
            <w:noProof/>
            <w:webHidden/>
          </w:rPr>
          <w:fldChar w:fldCharType="separate"/>
        </w:r>
        <w:r w:rsidR="00E63EFF">
          <w:rPr>
            <w:noProof/>
            <w:webHidden/>
          </w:rPr>
          <w:t>74</w:t>
        </w:r>
        <w:r w:rsidR="00E63EFF">
          <w:rPr>
            <w:noProof/>
            <w:webHidden/>
          </w:rPr>
          <w:fldChar w:fldCharType="end"/>
        </w:r>
      </w:hyperlink>
    </w:p>
    <w:p w14:paraId="66D0FD17" w14:textId="071F1BDA" w:rsidR="00E63EFF" w:rsidRDefault="003A4538" w:rsidP="0026782D">
      <w:pPr>
        <w:pStyle w:val="Obsah4"/>
        <w:rPr>
          <w:rFonts w:asciiTheme="minorHAnsi" w:eastAsiaTheme="minorEastAsia" w:hAnsiTheme="minorHAnsi"/>
          <w:noProof/>
          <w:sz w:val="22"/>
          <w:szCs w:val="22"/>
          <w:lang w:val="cs-CZ" w:eastAsia="cs-CZ"/>
        </w:rPr>
      </w:pPr>
      <w:hyperlink w:anchor="_Toc81817616" w:history="1">
        <w:r w:rsidR="00E63EFF" w:rsidRPr="00943BA1">
          <w:rPr>
            <w:rStyle w:val="Hypertextovodkaz"/>
            <w:rFonts w:eastAsiaTheme="majorEastAsia"/>
            <w:noProof/>
          </w:rPr>
          <w:t>Obrázek 30</w:t>
        </w:r>
        <w:r w:rsidR="00E63EFF">
          <w:rPr>
            <w:rFonts w:asciiTheme="minorHAnsi" w:eastAsiaTheme="minorEastAsia" w:hAnsiTheme="minorHAnsi"/>
            <w:noProof/>
            <w:sz w:val="22"/>
            <w:szCs w:val="22"/>
            <w:lang w:val="cs-CZ" w:eastAsia="cs-CZ"/>
          </w:rPr>
          <w:tab/>
        </w:r>
        <w:r w:rsidR="00E63EFF" w:rsidRPr="00943BA1">
          <w:rPr>
            <w:rStyle w:val="Hypertextovodkaz"/>
            <w:rFonts w:eastAsiaTheme="majorEastAsia"/>
            <w:noProof/>
          </w:rPr>
          <w:t>Obrázek  Podíl ostatní produkce – OZE na tvorbě celkové hodnoty ostatní produkce (%)</w:t>
        </w:r>
        <w:r w:rsidR="00E63EFF">
          <w:rPr>
            <w:noProof/>
            <w:webHidden/>
          </w:rPr>
          <w:tab/>
        </w:r>
        <w:r w:rsidR="00E63EFF">
          <w:rPr>
            <w:noProof/>
            <w:webHidden/>
          </w:rPr>
          <w:fldChar w:fldCharType="begin"/>
        </w:r>
        <w:r w:rsidR="00E63EFF">
          <w:rPr>
            <w:noProof/>
            <w:webHidden/>
          </w:rPr>
          <w:instrText xml:space="preserve"> PAGEREF _Toc81817616 \h </w:instrText>
        </w:r>
        <w:r w:rsidR="00E63EFF">
          <w:rPr>
            <w:noProof/>
            <w:webHidden/>
          </w:rPr>
        </w:r>
        <w:r w:rsidR="00E63EFF">
          <w:rPr>
            <w:noProof/>
            <w:webHidden/>
          </w:rPr>
          <w:fldChar w:fldCharType="separate"/>
        </w:r>
        <w:r w:rsidR="00E63EFF">
          <w:rPr>
            <w:noProof/>
            <w:webHidden/>
          </w:rPr>
          <w:t>74</w:t>
        </w:r>
        <w:r w:rsidR="00E63EFF">
          <w:rPr>
            <w:noProof/>
            <w:webHidden/>
          </w:rPr>
          <w:fldChar w:fldCharType="end"/>
        </w:r>
      </w:hyperlink>
    </w:p>
    <w:p w14:paraId="7A8A3E8F" w14:textId="7C4FF096" w:rsidR="00E63EFF" w:rsidRDefault="003A4538" w:rsidP="0026782D">
      <w:pPr>
        <w:pStyle w:val="Obsah4"/>
        <w:rPr>
          <w:rFonts w:asciiTheme="minorHAnsi" w:eastAsiaTheme="minorEastAsia" w:hAnsiTheme="minorHAnsi"/>
          <w:noProof/>
          <w:sz w:val="22"/>
          <w:szCs w:val="22"/>
          <w:lang w:val="cs-CZ" w:eastAsia="cs-CZ"/>
        </w:rPr>
      </w:pPr>
      <w:hyperlink w:anchor="_Toc81817617" w:history="1">
        <w:r w:rsidR="00E63EFF" w:rsidRPr="00943BA1">
          <w:rPr>
            <w:rStyle w:val="Hypertextovodkaz"/>
            <w:noProof/>
          </w:rPr>
          <w:t>Obrázek 31</w:t>
        </w:r>
        <w:r w:rsidR="00E63EFF">
          <w:rPr>
            <w:rFonts w:asciiTheme="minorHAnsi" w:eastAsiaTheme="minorEastAsia" w:hAnsiTheme="minorHAnsi"/>
            <w:noProof/>
            <w:sz w:val="22"/>
            <w:szCs w:val="22"/>
            <w:lang w:val="cs-CZ" w:eastAsia="cs-CZ"/>
          </w:rPr>
          <w:tab/>
        </w:r>
        <w:r w:rsidR="00E63EFF" w:rsidRPr="00943BA1">
          <w:rPr>
            <w:rStyle w:val="Hypertextovodkaz"/>
            <w:noProof/>
          </w:rPr>
          <w:t>Počty žádostí podle krajů (dle sídla firmy (PO)/trvalého bydliště (FO))</w:t>
        </w:r>
        <w:r w:rsidR="00E63EFF">
          <w:rPr>
            <w:noProof/>
            <w:webHidden/>
          </w:rPr>
          <w:tab/>
        </w:r>
        <w:r w:rsidR="00E63EFF">
          <w:rPr>
            <w:noProof/>
            <w:webHidden/>
          </w:rPr>
          <w:fldChar w:fldCharType="begin"/>
        </w:r>
        <w:r w:rsidR="00E63EFF">
          <w:rPr>
            <w:noProof/>
            <w:webHidden/>
          </w:rPr>
          <w:instrText xml:space="preserve"> PAGEREF _Toc81817617 \h </w:instrText>
        </w:r>
        <w:r w:rsidR="00E63EFF">
          <w:rPr>
            <w:noProof/>
            <w:webHidden/>
          </w:rPr>
        </w:r>
        <w:r w:rsidR="00E63EFF">
          <w:rPr>
            <w:noProof/>
            <w:webHidden/>
          </w:rPr>
          <w:fldChar w:fldCharType="separate"/>
        </w:r>
        <w:r w:rsidR="00E63EFF">
          <w:rPr>
            <w:noProof/>
            <w:webHidden/>
          </w:rPr>
          <w:t>77</w:t>
        </w:r>
        <w:r w:rsidR="00E63EFF">
          <w:rPr>
            <w:noProof/>
            <w:webHidden/>
          </w:rPr>
          <w:fldChar w:fldCharType="end"/>
        </w:r>
      </w:hyperlink>
    </w:p>
    <w:p w14:paraId="248EE0AC" w14:textId="3D9EB394" w:rsidR="00E63EFF" w:rsidRDefault="003A4538" w:rsidP="0026782D">
      <w:pPr>
        <w:pStyle w:val="Obsah4"/>
        <w:rPr>
          <w:rFonts w:asciiTheme="minorHAnsi" w:eastAsiaTheme="minorEastAsia" w:hAnsiTheme="minorHAnsi"/>
          <w:noProof/>
          <w:sz w:val="22"/>
          <w:szCs w:val="22"/>
          <w:lang w:val="cs-CZ" w:eastAsia="cs-CZ"/>
        </w:rPr>
      </w:pPr>
      <w:hyperlink w:anchor="_Toc81817618" w:history="1">
        <w:r w:rsidR="00E63EFF" w:rsidRPr="00943BA1">
          <w:rPr>
            <w:rStyle w:val="Hypertextovodkaz"/>
            <w:noProof/>
          </w:rPr>
          <w:t>Obrázek 32</w:t>
        </w:r>
        <w:r w:rsidR="00E63EFF">
          <w:rPr>
            <w:rFonts w:asciiTheme="minorHAnsi" w:eastAsiaTheme="minorEastAsia" w:hAnsiTheme="minorHAnsi"/>
            <w:noProof/>
            <w:sz w:val="22"/>
            <w:szCs w:val="22"/>
            <w:lang w:val="cs-CZ" w:eastAsia="cs-CZ"/>
          </w:rPr>
          <w:tab/>
        </w:r>
        <w:r w:rsidR="00E63EFF" w:rsidRPr="00943BA1">
          <w:rPr>
            <w:rStyle w:val="Hypertextovodkaz"/>
            <w:noProof/>
          </w:rPr>
          <w:t>Struktura podle právní formy</w:t>
        </w:r>
        <w:r w:rsidR="00E63EFF">
          <w:rPr>
            <w:noProof/>
            <w:webHidden/>
          </w:rPr>
          <w:tab/>
        </w:r>
        <w:r w:rsidR="00E63EFF">
          <w:rPr>
            <w:noProof/>
            <w:webHidden/>
          </w:rPr>
          <w:fldChar w:fldCharType="begin"/>
        </w:r>
        <w:r w:rsidR="00E63EFF">
          <w:rPr>
            <w:noProof/>
            <w:webHidden/>
          </w:rPr>
          <w:instrText xml:space="preserve"> PAGEREF _Toc81817618 \h </w:instrText>
        </w:r>
        <w:r w:rsidR="00E63EFF">
          <w:rPr>
            <w:noProof/>
            <w:webHidden/>
          </w:rPr>
        </w:r>
        <w:r w:rsidR="00E63EFF">
          <w:rPr>
            <w:noProof/>
            <w:webHidden/>
          </w:rPr>
          <w:fldChar w:fldCharType="separate"/>
        </w:r>
        <w:r w:rsidR="00E63EFF">
          <w:rPr>
            <w:noProof/>
            <w:webHidden/>
          </w:rPr>
          <w:t>78</w:t>
        </w:r>
        <w:r w:rsidR="00E63EFF">
          <w:rPr>
            <w:noProof/>
            <w:webHidden/>
          </w:rPr>
          <w:fldChar w:fldCharType="end"/>
        </w:r>
      </w:hyperlink>
    </w:p>
    <w:p w14:paraId="184DEF8B" w14:textId="401519E8" w:rsidR="00E63EFF" w:rsidRDefault="003A4538" w:rsidP="0026782D">
      <w:pPr>
        <w:pStyle w:val="Obsah4"/>
        <w:rPr>
          <w:rFonts w:asciiTheme="minorHAnsi" w:eastAsiaTheme="minorEastAsia" w:hAnsiTheme="minorHAnsi"/>
          <w:noProof/>
          <w:sz w:val="22"/>
          <w:szCs w:val="22"/>
          <w:lang w:val="cs-CZ" w:eastAsia="cs-CZ"/>
        </w:rPr>
      </w:pPr>
      <w:hyperlink w:anchor="_Toc81817619" w:history="1">
        <w:r w:rsidR="00E63EFF" w:rsidRPr="00943BA1">
          <w:rPr>
            <w:rStyle w:val="Hypertextovodkaz"/>
            <w:noProof/>
          </w:rPr>
          <w:t>Obrázek 33</w:t>
        </w:r>
        <w:r w:rsidR="00E63EFF">
          <w:rPr>
            <w:rFonts w:asciiTheme="minorHAnsi" w:eastAsiaTheme="minorEastAsia" w:hAnsiTheme="minorHAnsi"/>
            <w:noProof/>
            <w:sz w:val="22"/>
            <w:szCs w:val="22"/>
            <w:lang w:val="cs-CZ" w:eastAsia="cs-CZ"/>
          </w:rPr>
          <w:tab/>
        </w:r>
        <w:r w:rsidR="00E63EFF" w:rsidRPr="00943BA1">
          <w:rPr>
            <w:rStyle w:val="Hypertextovodkaz"/>
            <w:noProof/>
          </w:rPr>
          <w:t>Velikostní struktura podniků</w:t>
        </w:r>
        <w:r w:rsidR="00E63EFF">
          <w:rPr>
            <w:noProof/>
            <w:webHidden/>
          </w:rPr>
          <w:tab/>
        </w:r>
        <w:r w:rsidR="00E63EFF">
          <w:rPr>
            <w:noProof/>
            <w:webHidden/>
          </w:rPr>
          <w:fldChar w:fldCharType="begin"/>
        </w:r>
        <w:r w:rsidR="00E63EFF">
          <w:rPr>
            <w:noProof/>
            <w:webHidden/>
          </w:rPr>
          <w:instrText xml:space="preserve"> PAGEREF _Toc81817619 \h </w:instrText>
        </w:r>
        <w:r w:rsidR="00E63EFF">
          <w:rPr>
            <w:noProof/>
            <w:webHidden/>
          </w:rPr>
        </w:r>
        <w:r w:rsidR="00E63EFF">
          <w:rPr>
            <w:noProof/>
            <w:webHidden/>
          </w:rPr>
          <w:fldChar w:fldCharType="separate"/>
        </w:r>
        <w:r w:rsidR="00E63EFF">
          <w:rPr>
            <w:noProof/>
            <w:webHidden/>
          </w:rPr>
          <w:t>78</w:t>
        </w:r>
        <w:r w:rsidR="00E63EFF">
          <w:rPr>
            <w:noProof/>
            <w:webHidden/>
          </w:rPr>
          <w:fldChar w:fldCharType="end"/>
        </w:r>
      </w:hyperlink>
    </w:p>
    <w:p w14:paraId="00EB5ECC" w14:textId="65639A90" w:rsidR="00E63EFF" w:rsidRDefault="003A4538" w:rsidP="0026782D">
      <w:pPr>
        <w:pStyle w:val="Obsah4"/>
        <w:rPr>
          <w:rFonts w:asciiTheme="minorHAnsi" w:eastAsiaTheme="minorEastAsia" w:hAnsiTheme="minorHAnsi"/>
          <w:noProof/>
          <w:sz w:val="22"/>
          <w:szCs w:val="22"/>
          <w:lang w:val="cs-CZ" w:eastAsia="cs-CZ"/>
        </w:rPr>
      </w:pPr>
      <w:hyperlink w:anchor="_Toc81817620" w:history="1">
        <w:r w:rsidR="00E63EFF" w:rsidRPr="00943BA1">
          <w:rPr>
            <w:rStyle w:val="Hypertextovodkaz"/>
            <w:noProof/>
          </w:rPr>
          <w:t>Obrázek 34</w:t>
        </w:r>
        <w:r w:rsidR="00E63EFF">
          <w:rPr>
            <w:rFonts w:asciiTheme="minorHAnsi" w:eastAsiaTheme="minorEastAsia" w:hAnsiTheme="minorHAnsi"/>
            <w:noProof/>
            <w:sz w:val="22"/>
            <w:szCs w:val="22"/>
            <w:lang w:val="cs-CZ" w:eastAsia="cs-CZ"/>
          </w:rPr>
          <w:tab/>
        </w:r>
        <w:r w:rsidR="00E63EFF" w:rsidRPr="00943BA1">
          <w:rPr>
            <w:rStyle w:val="Hypertextovodkaz"/>
            <w:noProof/>
          </w:rPr>
          <w:t>Přehled lokalizace ploch podniků-žadatelů</w:t>
        </w:r>
        <w:r w:rsidR="00E63EFF">
          <w:rPr>
            <w:noProof/>
            <w:webHidden/>
          </w:rPr>
          <w:tab/>
        </w:r>
        <w:r w:rsidR="00E63EFF">
          <w:rPr>
            <w:noProof/>
            <w:webHidden/>
          </w:rPr>
          <w:fldChar w:fldCharType="begin"/>
        </w:r>
        <w:r w:rsidR="00E63EFF">
          <w:rPr>
            <w:noProof/>
            <w:webHidden/>
          </w:rPr>
          <w:instrText xml:space="preserve"> PAGEREF _Toc81817620 \h </w:instrText>
        </w:r>
        <w:r w:rsidR="00E63EFF">
          <w:rPr>
            <w:noProof/>
            <w:webHidden/>
          </w:rPr>
        </w:r>
        <w:r w:rsidR="00E63EFF">
          <w:rPr>
            <w:noProof/>
            <w:webHidden/>
          </w:rPr>
          <w:fldChar w:fldCharType="separate"/>
        </w:r>
        <w:r w:rsidR="00E63EFF">
          <w:rPr>
            <w:noProof/>
            <w:webHidden/>
          </w:rPr>
          <w:t>79</w:t>
        </w:r>
        <w:r w:rsidR="00E63EFF">
          <w:rPr>
            <w:noProof/>
            <w:webHidden/>
          </w:rPr>
          <w:fldChar w:fldCharType="end"/>
        </w:r>
      </w:hyperlink>
    </w:p>
    <w:p w14:paraId="60A06D88" w14:textId="17B98803" w:rsidR="00E63EFF" w:rsidRDefault="003A4538" w:rsidP="0026782D">
      <w:pPr>
        <w:pStyle w:val="Obsah4"/>
        <w:rPr>
          <w:rFonts w:asciiTheme="minorHAnsi" w:eastAsiaTheme="minorEastAsia" w:hAnsiTheme="minorHAnsi"/>
          <w:noProof/>
          <w:sz w:val="22"/>
          <w:szCs w:val="22"/>
          <w:lang w:val="cs-CZ" w:eastAsia="cs-CZ"/>
        </w:rPr>
      </w:pPr>
      <w:hyperlink w:anchor="_Toc81817621" w:history="1">
        <w:r w:rsidR="00E63EFF" w:rsidRPr="00943BA1">
          <w:rPr>
            <w:rStyle w:val="Hypertextovodkaz"/>
            <w:noProof/>
          </w:rPr>
          <w:t>Obrázek 35</w:t>
        </w:r>
        <w:r w:rsidR="00E63EFF">
          <w:rPr>
            <w:rFonts w:asciiTheme="minorHAnsi" w:eastAsiaTheme="minorEastAsia" w:hAnsiTheme="minorHAnsi"/>
            <w:noProof/>
            <w:sz w:val="22"/>
            <w:szCs w:val="22"/>
            <w:lang w:val="cs-CZ" w:eastAsia="cs-CZ"/>
          </w:rPr>
          <w:tab/>
        </w:r>
        <w:r w:rsidR="00E63EFF" w:rsidRPr="00943BA1">
          <w:rPr>
            <w:rStyle w:val="Hypertextovodkaz"/>
            <w:noProof/>
          </w:rPr>
          <w:t>Přehled počtu žádosti v okresech</w:t>
        </w:r>
        <w:r w:rsidR="00E63EFF">
          <w:rPr>
            <w:noProof/>
            <w:webHidden/>
          </w:rPr>
          <w:tab/>
        </w:r>
        <w:r w:rsidR="00E63EFF">
          <w:rPr>
            <w:noProof/>
            <w:webHidden/>
          </w:rPr>
          <w:fldChar w:fldCharType="begin"/>
        </w:r>
        <w:r w:rsidR="00E63EFF">
          <w:rPr>
            <w:noProof/>
            <w:webHidden/>
          </w:rPr>
          <w:instrText xml:space="preserve"> PAGEREF _Toc81817621 \h </w:instrText>
        </w:r>
        <w:r w:rsidR="00E63EFF">
          <w:rPr>
            <w:noProof/>
            <w:webHidden/>
          </w:rPr>
        </w:r>
        <w:r w:rsidR="00E63EFF">
          <w:rPr>
            <w:noProof/>
            <w:webHidden/>
          </w:rPr>
          <w:fldChar w:fldCharType="separate"/>
        </w:r>
        <w:r w:rsidR="00E63EFF">
          <w:rPr>
            <w:noProof/>
            <w:webHidden/>
          </w:rPr>
          <w:t>80</w:t>
        </w:r>
        <w:r w:rsidR="00E63EFF">
          <w:rPr>
            <w:noProof/>
            <w:webHidden/>
          </w:rPr>
          <w:fldChar w:fldCharType="end"/>
        </w:r>
      </w:hyperlink>
    </w:p>
    <w:p w14:paraId="0596E7CE" w14:textId="4BD8B98E" w:rsidR="00E63EFF" w:rsidRDefault="003A4538" w:rsidP="0026782D">
      <w:pPr>
        <w:pStyle w:val="Obsah4"/>
        <w:rPr>
          <w:rFonts w:asciiTheme="minorHAnsi" w:eastAsiaTheme="minorEastAsia" w:hAnsiTheme="minorHAnsi"/>
          <w:noProof/>
          <w:sz w:val="22"/>
          <w:szCs w:val="22"/>
          <w:lang w:val="cs-CZ" w:eastAsia="cs-CZ"/>
        </w:rPr>
      </w:pPr>
      <w:hyperlink w:anchor="_Toc81817622" w:history="1">
        <w:r w:rsidR="00E63EFF" w:rsidRPr="00943BA1">
          <w:rPr>
            <w:rStyle w:val="Hypertextovodkaz"/>
            <w:noProof/>
          </w:rPr>
          <w:t>Obrázek 36</w:t>
        </w:r>
        <w:r w:rsidR="00E63EFF">
          <w:rPr>
            <w:rFonts w:asciiTheme="minorHAnsi" w:eastAsiaTheme="minorEastAsia" w:hAnsiTheme="minorHAnsi"/>
            <w:noProof/>
            <w:sz w:val="22"/>
            <w:szCs w:val="22"/>
            <w:lang w:val="cs-CZ" w:eastAsia="cs-CZ"/>
          </w:rPr>
          <w:tab/>
        </w:r>
        <w:r w:rsidR="00E63EFF" w:rsidRPr="00943BA1">
          <w:rPr>
            <w:rStyle w:val="Hypertextovodkaz"/>
            <w:noProof/>
          </w:rPr>
          <w:t>Rozložení žádostí podle místa realizace</w:t>
        </w:r>
        <w:r w:rsidR="00E63EFF">
          <w:rPr>
            <w:noProof/>
            <w:webHidden/>
          </w:rPr>
          <w:tab/>
        </w:r>
        <w:r w:rsidR="00E63EFF">
          <w:rPr>
            <w:noProof/>
            <w:webHidden/>
          </w:rPr>
          <w:fldChar w:fldCharType="begin"/>
        </w:r>
        <w:r w:rsidR="00E63EFF">
          <w:rPr>
            <w:noProof/>
            <w:webHidden/>
          </w:rPr>
          <w:instrText xml:space="preserve"> PAGEREF _Toc81817622 \h </w:instrText>
        </w:r>
        <w:r w:rsidR="00E63EFF">
          <w:rPr>
            <w:noProof/>
            <w:webHidden/>
          </w:rPr>
        </w:r>
        <w:r w:rsidR="00E63EFF">
          <w:rPr>
            <w:noProof/>
            <w:webHidden/>
          </w:rPr>
          <w:fldChar w:fldCharType="separate"/>
        </w:r>
        <w:r w:rsidR="00E63EFF">
          <w:rPr>
            <w:noProof/>
            <w:webHidden/>
          </w:rPr>
          <w:t>80</w:t>
        </w:r>
        <w:r w:rsidR="00E63EFF">
          <w:rPr>
            <w:noProof/>
            <w:webHidden/>
          </w:rPr>
          <w:fldChar w:fldCharType="end"/>
        </w:r>
      </w:hyperlink>
    </w:p>
    <w:p w14:paraId="09479046" w14:textId="68999847" w:rsidR="00E63EFF" w:rsidRDefault="003A4538" w:rsidP="0026782D">
      <w:pPr>
        <w:pStyle w:val="Obsah4"/>
        <w:rPr>
          <w:rFonts w:asciiTheme="minorHAnsi" w:eastAsiaTheme="minorEastAsia" w:hAnsiTheme="minorHAnsi"/>
          <w:noProof/>
          <w:sz w:val="22"/>
          <w:szCs w:val="22"/>
          <w:lang w:val="cs-CZ" w:eastAsia="cs-CZ"/>
        </w:rPr>
      </w:pPr>
      <w:hyperlink w:anchor="_Toc81817623" w:history="1">
        <w:r w:rsidR="00E63EFF" w:rsidRPr="00943BA1">
          <w:rPr>
            <w:rStyle w:val="Hypertextovodkaz"/>
            <w:noProof/>
          </w:rPr>
          <w:t>Obrázek 37</w:t>
        </w:r>
        <w:r w:rsidR="00E63EFF">
          <w:rPr>
            <w:rFonts w:asciiTheme="minorHAnsi" w:eastAsiaTheme="minorEastAsia" w:hAnsiTheme="minorHAnsi"/>
            <w:noProof/>
            <w:sz w:val="22"/>
            <w:szCs w:val="22"/>
            <w:lang w:val="cs-CZ" w:eastAsia="cs-CZ"/>
          </w:rPr>
          <w:tab/>
        </w:r>
        <w:r w:rsidR="00E63EFF" w:rsidRPr="00943BA1">
          <w:rPr>
            <w:rStyle w:val="Hypertextovodkaz"/>
            <w:noProof/>
          </w:rPr>
          <w:t>Obrázek 3.22: Struktura dle právní formy</w:t>
        </w:r>
        <w:r w:rsidR="00E63EFF">
          <w:rPr>
            <w:noProof/>
            <w:webHidden/>
          </w:rPr>
          <w:tab/>
        </w:r>
        <w:r w:rsidR="00E63EFF">
          <w:rPr>
            <w:noProof/>
            <w:webHidden/>
          </w:rPr>
          <w:fldChar w:fldCharType="begin"/>
        </w:r>
        <w:r w:rsidR="00E63EFF">
          <w:rPr>
            <w:noProof/>
            <w:webHidden/>
          </w:rPr>
          <w:instrText xml:space="preserve"> PAGEREF _Toc81817623 \h </w:instrText>
        </w:r>
        <w:r w:rsidR="00E63EFF">
          <w:rPr>
            <w:noProof/>
            <w:webHidden/>
          </w:rPr>
        </w:r>
        <w:r w:rsidR="00E63EFF">
          <w:rPr>
            <w:noProof/>
            <w:webHidden/>
          </w:rPr>
          <w:fldChar w:fldCharType="separate"/>
        </w:r>
        <w:r w:rsidR="00E63EFF">
          <w:rPr>
            <w:noProof/>
            <w:webHidden/>
          </w:rPr>
          <w:t>81</w:t>
        </w:r>
        <w:r w:rsidR="00E63EFF">
          <w:rPr>
            <w:noProof/>
            <w:webHidden/>
          </w:rPr>
          <w:fldChar w:fldCharType="end"/>
        </w:r>
      </w:hyperlink>
    </w:p>
    <w:p w14:paraId="19767704" w14:textId="47E20442" w:rsidR="00E63EFF" w:rsidRDefault="003A4538" w:rsidP="0026782D">
      <w:pPr>
        <w:pStyle w:val="Obsah4"/>
        <w:rPr>
          <w:rFonts w:asciiTheme="minorHAnsi" w:eastAsiaTheme="minorEastAsia" w:hAnsiTheme="minorHAnsi"/>
          <w:noProof/>
          <w:sz w:val="22"/>
          <w:szCs w:val="22"/>
          <w:lang w:val="cs-CZ" w:eastAsia="cs-CZ"/>
        </w:rPr>
      </w:pPr>
      <w:hyperlink w:anchor="_Toc81817624" w:history="1">
        <w:r w:rsidR="00E63EFF" w:rsidRPr="00943BA1">
          <w:rPr>
            <w:rStyle w:val="Hypertextovodkaz"/>
            <w:noProof/>
          </w:rPr>
          <w:t>Obrázek 38</w:t>
        </w:r>
        <w:r w:rsidR="00E63EFF">
          <w:rPr>
            <w:rFonts w:asciiTheme="minorHAnsi" w:eastAsiaTheme="minorEastAsia" w:hAnsiTheme="minorHAnsi"/>
            <w:noProof/>
            <w:sz w:val="22"/>
            <w:szCs w:val="22"/>
            <w:lang w:val="cs-CZ" w:eastAsia="cs-CZ"/>
          </w:rPr>
          <w:tab/>
        </w:r>
        <w:r w:rsidR="00E63EFF" w:rsidRPr="00943BA1">
          <w:rPr>
            <w:rStyle w:val="Hypertextovodkaz"/>
            <w:noProof/>
          </w:rPr>
          <w:t>Obrázek 3.23: Velikostní struktura podniků-žadatelů</w:t>
        </w:r>
        <w:r w:rsidR="00E63EFF">
          <w:rPr>
            <w:noProof/>
            <w:webHidden/>
          </w:rPr>
          <w:tab/>
        </w:r>
        <w:r w:rsidR="00E63EFF">
          <w:rPr>
            <w:noProof/>
            <w:webHidden/>
          </w:rPr>
          <w:fldChar w:fldCharType="begin"/>
        </w:r>
        <w:r w:rsidR="00E63EFF">
          <w:rPr>
            <w:noProof/>
            <w:webHidden/>
          </w:rPr>
          <w:instrText xml:space="preserve"> PAGEREF _Toc81817624 \h </w:instrText>
        </w:r>
        <w:r w:rsidR="00E63EFF">
          <w:rPr>
            <w:noProof/>
            <w:webHidden/>
          </w:rPr>
        </w:r>
        <w:r w:rsidR="00E63EFF">
          <w:rPr>
            <w:noProof/>
            <w:webHidden/>
          </w:rPr>
          <w:fldChar w:fldCharType="separate"/>
        </w:r>
        <w:r w:rsidR="00E63EFF">
          <w:rPr>
            <w:noProof/>
            <w:webHidden/>
          </w:rPr>
          <w:t>81</w:t>
        </w:r>
        <w:r w:rsidR="00E63EFF">
          <w:rPr>
            <w:noProof/>
            <w:webHidden/>
          </w:rPr>
          <w:fldChar w:fldCharType="end"/>
        </w:r>
      </w:hyperlink>
    </w:p>
    <w:p w14:paraId="70C0A705" w14:textId="5222C4CB" w:rsidR="00E63EFF" w:rsidRDefault="003A4538" w:rsidP="0026782D">
      <w:pPr>
        <w:pStyle w:val="Obsah4"/>
        <w:rPr>
          <w:rFonts w:asciiTheme="minorHAnsi" w:eastAsiaTheme="minorEastAsia" w:hAnsiTheme="minorHAnsi"/>
          <w:noProof/>
          <w:sz w:val="22"/>
          <w:szCs w:val="22"/>
          <w:lang w:val="cs-CZ" w:eastAsia="cs-CZ"/>
        </w:rPr>
      </w:pPr>
      <w:hyperlink w:anchor="_Toc81817625" w:history="1">
        <w:r w:rsidR="00E63EFF" w:rsidRPr="00943BA1">
          <w:rPr>
            <w:rStyle w:val="Hypertextovodkaz"/>
            <w:noProof/>
          </w:rPr>
          <w:t>Obrázek 39</w:t>
        </w:r>
        <w:r w:rsidR="00E63EFF">
          <w:rPr>
            <w:rFonts w:asciiTheme="minorHAnsi" w:eastAsiaTheme="minorEastAsia" w:hAnsiTheme="minorHAnsi"/>
            <w:noProof/>
            <w:sz w:val="22"/>
            <w:szCs w:val="22"/>
            <w:lang w:val="cs-CZ" w:eastAsia="cs-CZ"/>
          </w:rPr>
          <w:tab/>
        </w:r>
        <w:r w:rsidR="00E63EFF" w:rsidRPr="00943BA1">
          <w:rPr>
            <w:rStyle w:val="Hypertextovodkaz"/>
            <w:noProof/>
          </w:rPr>
          <w:t>Počty žádostí podle velikosti a právní formy podniku</w:t>
        </w:r>
        <w:r w:rsidR="00E63EFF">
          <w:rPr>
            <w:noProof/>
            <w:webHidden/>
          </w:rPr>
          <w:tab/>
        </w:r>
        <w:r w:rsidR="00E63EFF">
          <w:rPr>
            <w:noProof/>
            <w:webHidden/>
          </w:rPr>
          <w:fldChar w:fldCharType="begin"/>
        </w:r>
        <w:r w:rsidR="00E63EFF">
          <w:rPr>
            <w:noProof/>
            <w:webHidden/>
          </w:rPr>
          <w:instrText xml:space="preserve"> PAGEREF _Toc81817625 \h </w:instrText>
        </w:r>
        <w:r w:rsidR="00E63EFF">
          <w:rPr>
            <w:noProof/>
            <w:webHidden/>
          </w:rPr>
        </w:r>
        <w:r w:rsidR="00E63EFF">
          <w:rPr>
            <w:noProof/>
            <w:webHidden/>
          </w:rPr>
          <w:fldChar w:fldCharType="separate"/>
        </w:r>
        <w:r w:rsidR="00E63EFF">
          <w:rPr>
            <w:noProof/>
            <w:webHidden/>
          </w:rPr>
          <w:t>82</w:t>
        </w:r>
        <w:r w:rsidR="00E63EFF">
          <w:rPr>
            <w:noProof/>
            <w:webHidden/>
          </w:rPr>
          <w:fldChar w:fldCharType="end"/>
        </w:r>
      </w:hyperlink>
    </w:p>
    <w:p w14:paraId="29D47177" w14:textId="73D5217F" w:rsidR="00E63EFF" w:rsidRDefault="003A4538" w:rsidP="0026782D">
      <w:pPr>
        <w:pStyle w:val="Obsah4"/>
        <w:rPr>
          <w:rFonts w:asciiTheme="minorHAnsi" w:eastAsiaTheme="minorEastAsia" w:hAnsiTheme="minorHAnsi"/>
          <w:noProof/>
          <w:sz w:val="22"/>
          <w:szCs w:val="22"/>
          <w:lang w:val="cs-CZ" w:eastAsia="cs-CZ"/>
        </w:rPr>
      </w:pPr>
      <w:hyperlink w:anchor="_Toc81817626" w:history="1">
        <w:r w:rsidR="00E63EFF" w:rsidRPr="00943BA1">
          <w:rPr>
            <w:rStyle w:val="Hypertextovodkaz"/>
            <w:noProof/>
          </w:rPr>
          <w:t>Obrázek 40</w:t>
        </w:r>
        <w:r w:rsidR="00E63EFF">
          <w:rPr>
            <w:rFonts w:asciiTheme="minorHAnsi" w:eastAsiaTheme="minorEastAsia" w:hAnsiTheme="minorHAnsi"/>
            <w:noProof/>
            <w:sz w:val="22"/>
            <w:szCs w:val="22"/>
            <w:lang w:val="cs-CZ" w:eastAsia="cs-CZ"/>
          </w:rPr>
          <w:tab/>
        </w:r>
        <w:r w:rsidR="00E63EFF" w:rsidRPr="00943BA1">
          <w:rPr>
            <w:rStyle w:val="Hypertextovodkaz"/>
            <w:noProof/>
          </w:rPr>
          <w:t>Rozložení celkových výdajů (Kč na projekt)</w:t>
        </w:r>
        <w:r w:rsidR="00E63EFF">
          <w:rPr>
            <w:noProof/>
            <w:webHidden/>
          </w:rPr>
          <w:tab/>
        </w:r>
        <w:r w:rsidR="00E63EFF">
          <w:rPr>
            <w:noProof/>
            <w:webHidden/>
          </w:rPr>
          <w:fldChar w:fldCharType="begin"/>
        </w:r>
        <w:r w:rsidR="00E63EFF">
          <w:rPr>
            <w:noProof/>
            <w:webHidden/>
          </w:rPr>
          <w:instrText xml:space="preserve"> PAGEREF _Toc81817626 \h </w:instrText>
        </w:r>
        <w:r w:rsidR="00E63EFF">
          <w:rPr>
            <w:noProof/>
            <w:webHidden/>
          </w:rPr>
        </w:r>
        <w:r w:rsidR="00E63EFF">
          <w:rPr>
            <w:noProof/>
            <w:webHidden/>
          </w:rPr>
          <w:fldChar w:fldCharType="separate"/>
        </w:r>
        <w:r w:rsidR="00E63EFF">
          <w:rPr>
            <w:noProof/>
            <w:webHidden/>
          </w:rPr>
          <w:t>83</w:t>
        </w:r>
        <w:r w:rsidR="00E63EFF">
          <w:rPr>
            <w:noProof/>
            <w:webHidden/>
          </w:rPr>
          <w:fldChar w:fldCharType="end"/>
        </w:r>
      </w:hyperlink>
    </w:p>
    <w:p w14:paraId="5611A571" w14:textId="2496B567" w:rsidR="00E63EFF" w:rsidRDefault="003A4538" w:rsidP="0026782D">
      <w:pPr>
        <w:pStyle w:val="Obsah4"/>
        <w:rPr>
          <w:rFonts w:asciiTheme="minorHAnsi" w:eastAsiaTheme="minorEastAsia" w:hAnsiTheme="minorHAnsi"/>
          <w:noProof/>
          <w:sz w:val="22"/>
          <w:szCs w:val="22"/>
          <w:lang w:val="cs-CZ" w:eastAsia="cs-CZ"/>
        </w:rPr>
      </w:pPr>
      <w:hyperlink w:anchor="_Toc81817627" w:history="1">
        <w:r w:rsidR="00E63EFF" w:rsidRPr="00943BA1">
          <w:rPr>
            <w:rStyle w:val="Hypertextovodkaz"/>
            <w:noProof/>
          </w:rPr>
          <w:t>Obrázek 41</w:t>
        </w:r>
        <w:r w:rsidR="00E63EFF">
          <w:rPr>
            <w:rFonts w:asciiTheme="minorHAnsi" w:eastAsiaTheme="minorEastAsia" w:hAnsiTheme="minorHAnsi"/>
            <w:noProof/>
            <w:sz w:val="22"/>
            <w:szCs w:val="22"/>
            <w:lang w:val="cs-CZ" w:eastAsia="cs-CZ"/>
          </w:rPr>
          <w:tab/>
        </w:r>
        <w:r w:rsidR="00E63EFF" w:rsidRPr="00943BA1">
          <w:rPr>
            <w:rStyle w:val="Hypertextovodkaz"/>
            <w:noProof/>
          </w:rPr>
          <w:t>Struktura způsobilých výdajů</w:t>
        </w:r>
        <w:r w:rsidR="00E63EFF">
          <w:rPr>
            <w:noProof/>
            <w:webHidden/>
          </w:rPr>
          <w:tab/>
        </w:r>
        <w:r w:rsidR="00E63EFF">
          <w:rPr>
            <w:noProof/>
            <w:webHidden/>
          </w:rPr>
          <w:fldChar w:fldCharType="begin"/>
        </w:r>
        <w:r w:rsidR="00E63EFF">
          <w:rPr>
            <w:noProof/>
            <w:webHidden/>
          </w:rPr>
          <w:instrText xml:space="preserve"> PAGEREF _Toc81817627 \h </w:instrText>
        </w:r>
        <w:r w:rsidR="00E63EFF">
          <w:rPr>
            <w:noProof/>
            <w:webHidden/>
          </w:rPr>
        </w:r>
        <w:r w:rsidR="00E63EFF">
          <w:rPr>
            <w:noProof/>
            <w:webHidden/>
          </w:rPr>
          <w:fldChar w:fldCharType="separate"/>
        </w:r>
        <w:r w:rsidR="00E63EFF">
          <w:rPr>
            <w:noProof/>
            <w:webHidden/>
          </w:rPr>
          <w:t>85</w:t>
        </w:r>
        <w:r w:rsidR="00E63EFF">
          <w:rPr>
            <w:noProof/>
            <w:webHidden/>
          </w:rPr>
          <w:fldChar w:fldCharType="end"/>
        </w:r>
      </w:hyperlink>
    </w:p>
    <w:p w14:paraId="7E04B744" w14:textId="2861A4CB" w:rsidR="00E63EFF" w:rsidRDefault="003A4538" w:rsidP="0026782D">
      <w:pPr>
        <w:pStyle w:val="Obsah4"/>
        <w:rPr>
          <w:rFonts w:asciiTheme="minorHAnsi" w:eastAsiaTheme="minorEastAsia" w:hAnsiTheme="minorHAnsi"/>
          <w:noProof/>
          <w:sz w:val="22"/>
          <w:szCs w:val="22"/>
          <w:lang w:val="cs-CZ" w:eastAsia="cs-CZ"/>
        </w:rPr>
      </w:pPr>
      <w:hyperlink w:anchor="_Toc81817628" w:history="1">
        <w:r w:rsidR="00E63EFF" w:rsidRPr="00943BA1">
          <w:rPr>
            <w:rStyle w:val="Hypertextovodkaz"/>
            <w:noProof/>
          </w:rPr>
          <w:t>Obrázek 42</w:t>
        </w:r>
        <w:r w:rsidR="00E63EFF">
          <w:rPr>
            <w:rFonts w:asciiTheme="minorHAnsi" w:eastAsiaTheme="minorEastAsia" w:hAnsiTheme="minorHAnsi"/>
            <w:noProof/>
            <w:sz w:val="22"/>
            <w:szCs w:val="22"/>
            <w:lang w:val="cs-CZ" w:eastAsia="cs-CZ"/>
          </w:rPr>
          <w:tab/>
        </w:r>
        <w:r w:rsidR="00E63EFF" w:rsidRPr="00943BA1">
          <w:rPr>
            <w:rStyle w:val="Hypertextovodkaz"/>
            <w:noProof/>
          </w:rPr>
          <w:t>Uvedené ekonomické činnosti u žádostí v operaci 6.4.1</w:t>
        </w:r>
        <w:r w:rsidR="00E63EFF">
          <w:rPr>
            <w:noProof/>
            <w:webHidden/>
          </w:rPr>
          <w:tab/>
        </w:r>
        <w:r w:rsidR="00E63EFF">
          <w:rPr>
            <w:noProof/>
            <w:webHidden/>
          </w:rPr>
          <w:fldChar w:fldCharType="begin"/>
        </w:r>
        <w:r w:rsidR="00E63EFF">
          <w:rPr>
            <w:noProof/>
            <w:webHidden/>
          </w:rPr>
          <w:instrText xml:space="preserve"> PAGEREF _Toc81817628 \h </w:instrText>
        </w:r>
        <w:r w:rsidR="00E63EFF">
          <w:rPr>
            <w:noProof/>
            <w:webHidden/>
          </w:rPr>
        </w:r>
        <w:r w:rsidR="00E63EFF">
          <w:rPr>
            <w:noProof/>
            <w:webHidden/>
          </w:rPr>
          <w:fldChar w:fldCharType="separate"/>
        </w:r>
        <w:r w:rsidR="00E63EFF">
          <w:rPr>
            <w:noProof/>
            <w:webHidden/>
          </w:rPr>
          <w:t>86</w:t>
        </w:r>
        <w:r w:rsidR="00E63EFF">
          <w:rPr>
            <w:noProof/>
            <w:webHidden/>
          </w:rPr>
          <w:fldChar w:fldCharType="end"/>
        </w:r>
      </w:hyperlink>
    </w:p>
    <w:p w14:paraId="15F79607" w14:textId="7B6C97F3" w:rsidR="00E63EFF" w:rsidRDefault="003A4538" w:rsidP="0026782D">
      <w:pPr>
        <w:pStyle w:val="Obsah4"/>
        <w:rPr>
          <w:rFonts w:asciiTheme="minorHAnsi" w:eastAsiaTheme="minorEastAsia" w:hAnsiTheme="minorHAnsi"/>
          <w:noProof/>
          <w:sz w:val="22"/>
          <w:szCs w:val="22"/>
          <w:lang w:val="cs-CZ" w:eastAsia="cs-CZ"/>
        </w:rPr>
      </w:pPr>
      <w:hyperlink w:anchor="_Toc81817629" w:history="1">
        <w:r w:rsidR="00E63EFF" w:rsidRPr="00943BA1">
          <w:rPr>
            <w:rStyle w:val="Hypertextovodkaz"/>
            <w:noProof/>
          </w:rPr>
          <w:t>Obrázek 43</w:t>
        </w:r>
        <w:r w:rsidR="00E63EFF">
          <w:rPr>
            <w:rFonts w:asciiTheme="minorHAnsi" w:eastAsiaTheme="minorEastAsia" w:hAnsiTheme="minorHAnsi"/>
            <w:noProof/>
            <w:sz w:val="22"/>
            <w:szCs w:val="22"/>
            <w:lang w:val="cs-CZ" w:eastAsia="cs-CZ"/>
          </w:rPr>
          <w:tab/>
        </w:r>
        <w:r w:rsidR="00E63EFF" w:rsidRPr="00943BA1">
          <w:rPr>
            <w:rStyle w:val="Hypertextovodkaz"/>
            <w:noProof/>
          </w:rPr>
          <w:t>Přehled počtu žádosti v okresech</w:t>
        </w:r>
        <w:r w:rsidR="00E63EFF">
          <w:rPr>
            <w:noProof/>
            <w:webHidden/>
          </w:rPr>
          <w:tab/>
        </w:r>
        <w:r w:rsidR="00E63EFF">
          <w:rPr>
            <w:noProof/>
            <w:webHidden/>
          </w:rPr>
          <w:fldChar w:fldCharType="begin"/>
        </w:r>
        <w:r w:rsidR="00E63EFF">
          <w:rPr>
            <w:noProof/>
            <w:webHidden/>
          </w:rPr>
          <w:instrText xml:space="preserve"> PAGEREF _Toc81817629 \h </w:instrText>
        </w:r>
        <w:r w:rsidR="00E63EFF">
          <w:rPr>
            <w:noProof/>
            <w:webHidden/>
          </w:rPr>
        </w:r>
        <w:r w:rsidR="00E63EFF">
          <w:rPr>
            <w:noProof/>
            <w:webHidden/>
          </w:rPr>
          <w:fldChar w:fldCharType="separate"/>
        </w:r>
        <w:r w:rsidR="00E63EFF">
          <w:rPr>
            <w:noProof/>
            <w:webHidden/>
          </w:rPr>
          <w:t>88</w:t>
        </w:r>
        <w:r w:rsidR="00E63EFF">
          <w:rPr>
            <w:noProof/>
            <w:webHidden/>
          </w:rPr>
          <w:fldChar w:fldCharType="end"/>
        </w:r>
      </w:hyperlink>
    </w:p>
    <w:p w14:paraId="56435ACA" w14:textId="48939B7F" w:rsidR="00E63EFF" w:rsidRDefault="003A4538" w:rsidP="0026782D">
      <w:pPr>
        <w:pStyle w:val="Obsah4"/>
        <w:rPr>
          <w:rFonts w:asciiTheme="minorHAnsi" w:eastAsiaTheme="minorEastAsia" w:hAnsiTheme="minorHAnsi"/>
          <w:noProof/>
          <w:sz w:val="22"/>
          <w:szCs w:val="22"/>
          <w:lang w:val="cs-CZ" w:eastAsia="cs-CZ"/>
        </w:rPr>
      </w:pPr>
      <w:hyperlink w:anchor="_Toc81817630" w:history="1">
        <w:r w:rsidR="00E63EFF" w:rsidRPr="00943BA1">
          <w:rPr>
            <w:rStyle w:val="Hypertextovodkaz"/>
            <w:noProof/>
          </w:rPr>
          <w:t>Obrázek 44</w:t>
        </w:r>
        <w:r w:rsidR="00E63EFF">
          <w:rPr>
            <w:rFonts w:asciiTheme="minorHAnsi" w:eastAsiaTheme="minorEastAsia" w:hAnsiTheme="minorHAnsi"/>
            <w:noProof/>
            <w:sz w:val="22"/>
            <w:szCs w:val="22"/>
            <w:lang w:val="cs-CZ" w:eastAsia="cs-CZ"/>
          </w:rPr>
          <w:tab/>
        </w:r>
        <w:r w:rsidR="00E63EFF" w:rsidRPr="00943BA1">
          <w:rPr>
            <w:rStyle w:val="Hypertextovodkaz"/>
            <w:noProof/>
          </w:rPr>
          <w:t>Lokalizace žádostí podle míst realizace</w:t>
        </w:r>
        <w:r w:rsidR="00E63EFF">
          <w:rPr>
            <w:noProof/>
            <w:webHidden/>
          </w:rPr>
          <w:tab/>
        </w:r>
        <w:r w:rsidR="00E63EFF">
          <w:rPr>
            <w:noProof/>
            <w:webHidden/>
          </w:rPr>
          <w:fldChar w:fldCharType="begin"/>
        </w:r>
        <w:r w:rsidR="00E63EFF">
          <w:rPr>
            <w:noProof/>
            <w:webHidden/>
          </w:rPr>
          <w:instrText xml:space="preserve"> PAGEREF _Toc81817630 \h </w:instrText>
        </w:r>
        <w:r w:rsidR="00E63EFF">
          <w:rPr>
            <w:noProof/>
            <w:webHidden/>
          </w:rPr>
        </w:r>
        <w:r w:rsidR="00E63EFF">
          <w:rPr>
            <w:noProof/>
            <w:webHidden/>
          </w:rPr>
          <w:fldChar w:fldCharType="separate"/>
        </w:r>
        <w:r w:rsidR="00E63EFF">
          <w:rPr>
            <w:noProof/>
            <w:webHidden/>
          </w:rPr>
          <w:t>89</w:t>
        </w:r>
        <w:r w:rsidR="00E63EFF">
          <w:rPr>
            <w:noProof/>
            <w:webHidden/>
          </w:rPr>
          <w:fldChar w:fldCharType="end"/>
        </w:r>
      </w:hyperlink>
    </w:p>
    <w:p w14:paraId="70FEE5D3" w14:textId="3BE51663" w:rsidR="00E63EFF" w:rsidRDefault="003A4538" w:rsidP="0026782D">
      <w:pPr>
        <w:pStyle w:val="Obsah4"/>
        <w:rPr>
          <w:rFonts w:asciiTheme="minorHAnsi" w:eastAsiaTheme="minorEastAsia" w:hAnsiTheme="minorHAnsi"/>
          <w:noProof/>
          <w:sz w:val="22"/>
          <w:szCs w:val="22"/>
          <w:lang w:val="cs-CZ" w:eastAsia="cs-CZ"/>
        </w:rPr>
      </w:pPr>
      <w:hyperlink w:anchor="_Toc81817631" w:history="1">
        <w:r w:rsidR="00E63EFF" w:rsidRPr="00943BA1">
          <w:rPr>
            <w:rStyle w:val="Hypertextovodkaz"/>
            <w:noProof/>
          </w:rPr>
          <w:t>Obrázek 45</w:t>
        </w:r>
        <w:r w:rsidR="00E63EFF">
          <w:rPr>
            <w:rFonts w:asciiTheme="minorHAnsi" w:eastAsiaTheme="minorEastAsia" w:hAnsiTheme="minorHAnsi"/>
            <w:noProof/>
            <w:sz w:val="22"/>
            <w:szCs w:val="22"/>
            <w:lang w:val="cs-CZ" w:eastAsia="cs-CZ"/>
          </w:rPr>
          <w:tab/>
        </w:r>
        <w:r w:rsidR="00E63EFF" w:rsidRPr="00943BA1">
          <w:rPr>
            <w:rStyle w:val="Hypertextovodkaz"/>
            <w:noProof/>
          </w:rPr>
          <w:t>Struktura žadatelů dle právní formy</w:t>
        </w:r>
        <w:r w:rsidR="00E63EFF">
          <w:rPr>
            <w:noProof/>
            <w:webHidden/>
          </w:rPr>
          <w:tab/>
        </w:r>
        <w:r w:rsidR="00E63EFF">
          <w:rPr>
            <w:noProof/>
            <w:webHidden/>
          </w:rPr>
          <w:fldChar w:fldCharType="begin"/>
        </w:r>
        <w:r w:rsidR="00E63EFF">
          <w:rPr>
            <w:noProof/>
            <w:webHidden/>
          </w:rPr>
          <w:instrText xml:space="preserve"> PAGEREF _Toc81817631 \h </w:instrText>
        </w:r>
        <w:r w:rsidR="00E63EFF">
          <w:rPr>
            <w:noProof/>
            <w:webHidden/>
          </w:rPr>
        </w:r>
        <w:r w:rsidR="00E63EFF">
          <w:rPr>
            <w:noProof/>
            <w:webHidden/>
          </w:rPr>
          <w:fldChar w:fldCharType="separate"/>
        </w:r>
        <w:r w:rsidR="00E63EFF">
          <w:rPr>
            <w:noProof/>
            <w:webHidden/>
          </w:rPr>
          <w:t>89</w:t>
        </w:r>
        <w:r w:rsidR="00E63EFF">
          <w:rPr>
            <w:noProof/>
            <w:webHidden/>
          </w:rPr>
          <w:fldChar w:fldCharType="end"/>
        </w:r>
      </w:hyperlink>
    </w:p>
    <w:p w14:paraId="7DC3C5D0" w14:textId="4B56A2FA" w:rsidR="00E63EFF" w:rsidRDefault="003A4538" w:rsidP="0026782D">
      <w:pPr>
        <w:pStyle w:val="Obsah4"/>
        <w:rPr>
          <w:rFonts w:asciiTheme="minorHAnsi" w:eastAsiaTheme="minorEastAsia" w:hAnsiTheme="minorHAnsi"/>
          <w:noProof/>
          <w:sz w:val="22"/>
          <w:szCs w:val="22"/>
          <w:lang w:val="cs-CZ" w:eastAsia="cs-CZ"/>
        </w:rPr>
      </w:pPr>
      <w:hyperlink w:anchor="_Toc81817632" w:history="1">
        <w:r w:rsidR="00E63EFF" w:rsidRPr="00943BA1">
          <w:rPr>
            <w:rStyle w:val="Hypertextovodkaz"/>
            <w:noProof/>
          </w:rPr>
          <w:t>Obrázek 46</w:t>
        </w:r>
        <w:r w:rsidR="00E63EFF">
          <w:rPr>
            <w:rFonts w:asciiTheme="minorHAnsi" w:eastAsiaTheme="minorEastAsia" w:hAnsiTheme="minorHAnsi"/>
            <w:noProof/>
            <w:sz w:val="22"/>
            <w:szCs w:val="22"/>
            <w:lang w:val="cs-CZ" w:eastAsia="cs-CZ"/>
          </w:rPr>
          <w:tab/>
        </w:r>
        <w:r w:rsidR="00E63EFF" w:rsidRPr="00943BA1">
          <w:rPr>
            <w:rStyle w:val="Hypertextovodkaz"/>
            <w:noProof/>
          </w:rPr>
          <w:t>Velikostní struktura podniků</w:t>
        </w:r>
        <w:r w:rsidR="00E63EFF">
          <w:rPr>
            <w:noProof/>
            <w:webHidden/>
          </w:rPr>
          <w:tab/>
        </w:r>
        <w:r w:rsidR="00E63EFF">
          <w:rPr>
            <w:noProof/>
            <w:webHidden/>
          </w:rPr>
          <w:fldChar w:fldCharType="begin"/>
        </w:r>
        <w:r w:rsidR="00E63EFF">
          <w:rPr>
            <w:noProof/>
            <w:webHidden/>
          </w:rPr>
          <w:instrText xml:space="preserve"> PAGEREF _Toc81817632 \h </w:instrText>
        </w:r>
        <w:r w:rsidR="00E63EFF">
          <w:rPr>
            <w:noProof/>
            <w:webHidden/>
          </w:rPr>
        </w:r>
        <w:r w:rsidR="00E63EFF">
          <w:rPr>
            <w:noProof/>
            <w:webHidden/>
          </w:rPr>
          <w:fldChar w:fldCharType="separate"/>
        </w:r>
        <w:r w:rsidR="00E63EFF">
          <w:rPr>
            <w:noProof/>
            <w:webHidden/>
          </w:rPr>
          <w:t>90</w:t>
        </w:r>
        <w:r w:rsidR="00E63EFF">
          <w:rPr>
            <w:noProof/>
            <w:webHidden/>
          </w:rPr>
          <w:fldChar w:fldCharType="end"/>
        </w:r>
      </w:hyperlink>
    </w:p>
    <w:p w14:paraId="5A88A7A2" w14:textId="02D025C5" w:rsidR="00E63EFF" w:rsidRDefault="003A4538" w:rsidP="0026782D">
      <w:pPr>
        <w:pStyle w:val="Obsah4"/>
        <w:rPr>
          <w:rFonts w:asciiTheme="minorHAnsi" w:eastAsiaTheme="minorEastAsia" w:hAnsiTheme="minorHAnsi"/>
          <w:noProof/>
          <w:sz w:val="22"/>
          <w:szCs w:val="22"/>
          <w:lang w:val="cs-CZ" w:eastAsia="cs-CZ"/>
        </w:rPr>
      </w:pPr>
      <w:hyperlink w:anchor="_Toc81817633" w:history="1">
        <w:r w:rsidR="00E63EFF" w:rsidRPr="00943BA1">
          <w:rPr>
            <w:rStyle w:val="Hypertextovodkaz"/>
            <w:noProof/>
          </w:rPr>
          <w:t>Obrázek 47</w:t>
        </w:r>
        <w:r w:rsidR="00E63EFF">
          <w:rPr>
            <w:rFonts w:asciiTheme="minorHAnsi" w:eastAsiaTheme="minorEastAsia" w:hAnsiTheme="minorHAnsi"/>
            <w:noProof/>
            <w:sz w:val="22"/>
            <w:szCs w:val="22"/>
            <w:lang w:val="cs-CZ" w:eastAsia="cs-CZ"/>
          </w:rPr>
          <w:tab/>
        </w:r>
        <w:r w:rsidR="00E63EFF" w:rsidRPr="00943BA1">
          <w:rPr>
            <w:rStyle w:val="Hypertextovodkaz"/>
            <w:noProof/>
          </w:rPr>
          <w:t>Žádosti podle velikosti a právní formy podniku</w:t>
        </w:r>
        <w:r w:rsidR="00E63EFF">
          <w:rPr>
            <w:noProof/>
            <w:webHidden/>
          </w:rPr>
          <w:tab/>
        </w:r>
        <w:r w:rsidR="00E63EFF">
          <w:rPr>
            <w:noProof/>
            <w:webHidden/>
          </w:rPr>
          <w:fldChar w:fldCharType="begin"/>
        </w:r>
        <w:r w:rsidR="00E63EFF">
          <w:rPr>
            <w:noProof/>
            <w:webHidden/>
          </w:rPr>
          <w:instrText xml:space="preserve"> PAGEREF _Toc81817633 \h </w:instrText>
        </w:r>
        <w:r w:rsidR="00E63EFF">
          <w:rPr>
            <w:noProof/>
            <w:webHidden/>
          </w:rPr>
        </w:r>
        <w:r w:rsidR="00E63EFF">
          <w:rPr>
            <w:noProof/>
            <w:webHidden/>
          </w:rPr>
          <w:fldChar w:fldCharType="separate"/>
        </w:r>
        <w:r w:rsidR="00E63EFF">
          <w:rPr>
            <w:noProof/>
            <w:webHidden/>
          </w:rPr>
          <w:t>90</w:t>
        </w:r>
        <w:r w:rsidR="00E63EFF">
          <w:rPr>
            <w:noProof/>
            <w:webHidden/>
          </w:rPr>
          <w:fldChar w:fldCharType="end"/>
        </w:r>
      </w:hyperlink>
    </w:p>
    <w:p w14:paraId="4793E16B" w14:textId="124D5C29" w:rsidR="00E63EFF" w:rsidRDefault="003A4538" w:rsidP="0026782D">
      <w:pPr>
        <w:pStyle w:val="Obsah4"/>
        <w:rPr>
          <w:rFonts w:asciiTheme="minorHAnsi" w:eastAsiaTheme="minorEastAsia" w:hAnsiTheme="minorHAnsi"/>
          <w:noProof/>
          <w:sz w:val="22"/>
          <w:szCs w:val="22"/>
          <w:lang w:val="cs-CZ" w:eastAsia="cs-CZ"/>
        </w:rPr>
      </w:pPr>
      <w:hyperlink w:anchor="_Toc81817634" w:history="1">
        <w:r w:rsidR="00E63EFF" w:rsidRPr="00943BA1">
          <w:rPr>
            <w:rStyle w:val="Hypertextovodkaz"/>
            <w:noProof/>
          </w:rPr>
          <w:t>Obrázek 48</w:t>
        </w:r>
        <w:r w:rsidR="00E63EFF">
          <w:rPr>
            <w:rFonts w:asciiTheme="minorHAnsi" w:eastAsiaTheme="minorEastAsia" w:hAnsiTheme="minorHAnsi"/>
            <w:noProof/>
            <w:sz w:val="22"/>
            <w:szCs w:val="22"/>
            <w:lang w:val="cs-CZ" w:eastAsia="cs-CZ"/>
          </w:rPr>
          <w:tab/>
        </w:r>
        <w:r w:rsidR="00E63EFF" w:rsidRPr="00943BA1">
          <w:rPr>
            <w:rStyle w:val="Hypertextovodkaz"/>
            <w:noProof/>
          </w:rPr>
          <w:t>Rozložení celkových výdajů (Kč na projekt)</w:t>
        </w:r>
        <w:r w:rsidR="00E63EFF">
          <w:rPr>
            <w:noProof/>
            <w:webHidden/>
          </w:rPr>
          <w:tab/>
        </w:r>
        <w:r w:rsidR="00E63EFF">
          <w:rPr>
            <w:noProof/>
            <w:webHidden/>
          </w:rPr>
          <w:fldChar w:fldCharType="begin"/>
        </w:r>
        <w:r w:rsidR="00E63EFF">
          <w:rPr>
            <w:noProof/>
            <w:webHidden/>
          </w:rPr>
          <w:instrText xml:space="preserve"> PAGEREF _Toc81817634 \h </w:instrText>
        </w:r>
        <w:r w:rsidR="00E63EFF">
          <w:rPr>
            <w:noProof/>
            <w:webHidden/>
          </w:rPr>
        </w:r>
        <w:r w:rsidR="00E63EFF">
          <w:rPr>
            <w:noProof/>
            <w:webHidden/>
          </w:rPr>
          <w:fldChar w:fldCharType="separate"/>
        </w:r>
        <w:r w:rsidR="00E63EFF">
          <w:rPr>
            <w:noProof/>
            <w:webHidden/>
          </w:rPr>
          <w:t>91</w:t>
        </w:r>
        <w:r w:rsidR="00E63EFF">
          <w:rPr>
            <w:noProof/>
            <w:webHidden/>
          </w:rPr>
          <w:fldChar w:fldCharType="end"/>
        </w:r>
      </w:hyperlink>
    </w:p>
    <w:p w14:paraId="0F3BB179" w14:textId="794D4DC8" w:rsidR="00E63EFF" w:rsidRDefault="003A4538" w:rsidP="0026782D">
      <w:pPr>
        <w:pStyle w:val="Obsah4"/>
        <w:rPr>
          <w:rFonts w:asciiTheme="minorHAnsi" w:eastAsiaTheme="minorEastAsia" w:hAnsiTheme="minorHAnsi"/>
          <w:noProof/>
          <w:sz w:val="22"/>
          <w:szCs w:val="22"/>
          <w:lang w:val="cs-CZ" w:eastAsia="cs-CZ"/>
        </w:rPr>
      </w:pPr>
      <w:hyperlink w:anchor="_Toc81817635" w:history="1">
        <w:r w:rsidR="00E63EFF" w:rsidRPr="00943BA1">
          <w:rPr>
            <w:rStyle w:val="Hypertextovodkaz"/>
            <w:noProof/>
          </w:rPr>
          <w:t>Obrázek 49</w:t>
        </w:r>
        <w:r w:rsidR="00E63EFF">
          <w:rPr>
            <w:rFonts w:asciiTheme="minorHAnsi" w:eastAsiaTheme="minorEastAsia" w:hAnsiTheme="minorHAnsi"/>
            <w:noProof/>
            <w:sz w:val="22"/>
            <w:szCs w:val="22"/>
            <w:lang w:val="cs-CZ" w:eastAsia="cs-CZ"/>
          </w:rPr>
          <w:tab/>
        </w:r>
        <w:r w:rsidR="00E63EFF" w:rsidRPr="00943BA1">
          <w:rPr>
            <w:rStyle w:val="Hypertextovodkaz"/>
            <w:noProof/>
          </w:rPr>
          <w:t>Rozložení celkových výdajů (Kč na projekt)</w:t>
        </w:r>
        <w:r w:rsidR="00E63EFF">
          <w:rPr>
            <w:noProof/>
            <w:webHidden/>
          </w:rPr>
          <w:tab/>
        </w:r>
        <w:r w:rsidR="00E63EFF">
          <w:rPr>
            <w:noProof/>
            <w:webHidden/>
          </w:rPr>
          <w:fldChar w:fldCharType="begin"/>
        </w:r>
        <w:r w:rsidR="00E63EFF">
          <w:rPr>
            <w:noProof/>
            <w:webHidden/>
          </w:rPr>
          <w:instrText xml:space="preserve"> PAGEREF _Toc81817635 \h </w:instrText>
        </w:r>
        <w:r w:rsidR="00E63EFF">
          <w:rPr>
            <w:noProof/>
            <w:webHidden/>
          </w:rPr>
        </w:r>
        <w:r w:rsidR="00E63EFF">
          <w:rPr>
            <w:noProof/>
            <w:webHidden/>
          </w:rPr>
          <w:fldChar w:fldCharType="separate"/>
        </w:r>
        <w:r w:rsidR="00E63EFF">
          <w:rPr>
            <w:noProof/>
            <w:webHidden/>
          </w:rPr>
          <w:t>92</w:t>
        </w:r>
        <w:r w:rsidR="00E63EFF">
          <w:rPr>
            <w:noProof/>
            <w:webHidden/>
          </w:rPr>
          <w:fldChar w:fldCharType="end"/>
        </w:r>
      </w:hyperlink>
    </w:p>
    <w:p w14:paraId="00141C25" w14:textId="06999A45" w:rsidR="00E63EFF" w:rsidRDefault="003A4538" w:rsidP="0026782D">
      <w:pPr>
        <w:pStyle w:val="Obsah4"/>
        <w:rPr>
          <w:rFonts w:asciiTheme="minorHAnsi" w:eastAsiaTheme="minorEastAsia" w:hAnsiTheme="minorHAnsi"/>
          <w:noProof/>
          <w:sz w:val="22"/>
          <w:szCs w:val="22"/>
          <w:lang w:val="cs-CZ" w:eastAsia="cs-CZ"/>
        </w:rPr>
      </w:pPr>
      <w:hyperlink w:anchor="_Toc81817636" w:history="1">
        <w:r w:rsidR="00E63EFF" w:rsidRPr="00943BA1">
          <w:rPr>
            <w:rStyle w:val="Hypertextovodkaz"/>
            <w:noProof/>
          </w:rPr>
          <w:t>Obrázek 50</w:t>
        </w:r>
        <w:r w:rsidR="00E63EFF">
          <w:rPr>
            <w:rFonts w:asciiTheme="minorHAnsi" w:eastAsiaTheme="minorEastAsia" w:hAnsiTheme="minorHAnsi"/>
            <w:noProof/>
            <w:sz w:val="22"/>
            <w:szCs w:val="22"/>
            <w:lang w:val="cs-CZ" w:eastAsia="cs-CZ"/>
          </w:rPr>
          <w:tab/>
        </w:r>
        <w:r w:rsidR="00E63EFF" w:rsidRPr="00943BA1">
          <w:rPr>
            <w:rStyle w:val="Hypertextovodkaz"/>
            <w:noProof/>
          </w:rPr>
          <w:t>Struktura způsobilých výdajů</w:t>
        </w:r>
        <w:r w:rsidR="00E63EFF">
          <w:rPr>
            <w:noProof/>
            <w:webHidden/>
          </w:rPr>
          <w:tab/>
        </w:r>
        <w:r w:rsidR="00E63EFF">
          <w:rPr>
            <w:noProof/>
            <w:webHidden/>
          </w:rPr>
          <w:fldChar w:fldCharType="begin"/>
        </w:r>
        <w:r w:rsidR="00E63EFF">
          <w:rPr>
            <w:noProof/>
            <w:webHidden/>
          </w:rPr>
          <w:instrText xml:space="preserve"> PAGEREF _Toc81817636 \h </w:instrText>
        </w:r>
        <w:r w:rsidR="00E63EFF">
          <w:rPr>
            <w:noProof/>
            <w:webHidden/>
          </w:rPr>
        </w:r>
        <w:r w:rsidR="00E63EFF">
          <w:rPr>
            <w:noProof/>
            <w:webHidden/>
          </w:rPr>
          <w:fldChar w:fldCharType="separate"/>
        </w:r>
        <w:r w:rsidR="00E63EFF">
          <w:rPr>
            <w:noProof/>
            <w:webHidden/>
          </w:rPr>
          <w:t>93</w:t>
        </w:r>
        <w:r w:rsidR="00E63EFF">
          <w:rPr>
            <w:noProof/>
            <w:webHidden/>
          </w:rPr>
          <w:fldChar w:fldCharType="end"/>
        </w:r>
      </w:hyperlink>
    </w:p>
    <w:p w14:paraId="1E8858DD" w14:textId="70B42C1B" w:rsidR="00E63EFF" w:rsidRDefault="003A4538" w:rsidP="0026782D">
      <w:pPr>
        <w:pStyle w:val="Obsah4"/>
        <w:rPr>
          <w:rFonts w:asciiTheme="minorHAnsi" w:eastAsiaTheme="minorEastAsia" w:hAnsiTheme="minorHAnsi"/>
          <w:noProof/>
          <w:sz w:val="22"/>
          <w:szCs w:val="22"/>
          <w:lang w:val="cs-CZ" w:eastAsia="cs-CZ"/>
        </w:rPr>
      </w:pPr>
      <w:hyperlink w:anchor="_Toc81817637" w:history="1">
        <w:r w:rsidR="00E63EFF" w:rsidRPr="00943BA1">
          <w:rPr>
            <w:rStyle w:val="Hypertextovodkaz"/>
            <w:noProof/>
          </w:rPr>
          <w:t>Obrázek 51</w:t>
        </w:r>
        <w:r w:rsidR="00E63EFF">
          <w:rPr>
            <w:rFonts w:asciiTheme="minorHAnsi" w:eastAsiaTheme="minorEastAsia" w:hAnsiTheme="minorHAnsi"/>
            <w:noProof/>
            <w:sz w:val="22"/>
            <w:szCs w:val="22"/>
            <w:lang w:val="cs-CZ" w:eastAsia="cs-CZ"/>
          </w:rPr>
          <w:tab/>
        </w:r>
        <w:r w:rsidR="00E63EFF" w:rsidRPr="00943BA1">
          <w:rPr>
            <w:rStyle w:val="Hypertextovodkaz"/>
            <w:noProof/>
          </w:rPr>
          <w:t>Uvedené ekonomické činnosti u žádostí v operaci 6.4.2</w:t>
        </w:r>
        <w:r w:rsidR="00E63EFF">
          <w:rPr>
            <w:noProof/>
            <w:webHidden/>
          </w:rPr>
          <w:tab/>
        </w:r>
        <w:r w:rsidR="00E63EFF">
          <w:rPr>
            <w:noProof/>
            <w:webHidden/>
          </w:rPr>
          <w:fldChar w:fldCharType="begin"/>
        </w:r>
        <w:r w:rsidR="00E63EFF">
          <w:rPr>
            <w:noProof/>
            <w:webHidden/>
          </w:rPr>
          <w:instrText xml:space="preserve"> PAGEREF _Toc81817637 \h </w:instrText>
        </w:r>
        <w:r w:rsidR="00E63EFF">
          <w:rPr>
            <w:noProof/>
            <w:webHidden/>
          </w:rPr>
        </w:r>
        <w:r w:rsidR="00E63EFF">
          <w:rPr>
            <w:noProof/>
            <w:webHidden/>
          </w:rPr>
          <w:fldChar w:fldCharType="separate"/>
        </w:r>
        <w:r w:rsidR="00E63EFF">
          <w:rPr>
            <w:noProof/>
            <w:webHidden/>
          </w:rPr>
          <w:t>94</w:t>
        </w:r>
        <w:r w:rsidR="00E63EFF">
          <w:rPr>
            <w:noProof/>
            <w:webHidden/>
          </w:rPr>
          <w:fldChar w:fldCharType="end"/>
        </w:r>
      </w:hyperlink>
    </w:p>
    <w:p w14:paraId="6FC5CA36" w14:textId="24463649" w:rsidR="00E63EFF" w:rsidRDefault="003A4538" w:rsidP="0026782D">
      <w:pPr>
        <w:pStyle w:val="Obsah4"/>
        <w:rPr>
          <w:rFonts w:asciiTheme="minorHAnsi" w:eastAsiaTheme="minorEastAsia" w:hAnsiTheme="minorHAnsi"/>
          <w:noProof/>
          <w:sz w:val="22"/>
          <w:szCs w:val="22"/>
          <w:lang w:val="cs-CZ" w:eastAsia="cs-CZ"/>
        </w:rPr>
      </w:pPr>
      <w:hyperlink w:anchor="_Toc81817638" w:history="1">
        <w:r w:rsidR="00E63EFF" w:rsidRPr="00943BA1">
          <w:rPr>
            <w:rStyle w:val="Hypertextovodkaz"/>
            <w:noProof/>
          </w:rPr>
          <w:t>Obrázek 52</w:t>
        </w:r>
        <w:r w:rsidR="00E63EFF">
          <w:rPr>
            <w:rFonts w:asciiTheme="minorHAnsi" w:eastAsiaTheme="minorEastAsia" w:hAnsiTheme="minorHAnsi"/>
            <w:noProof/>
            <w:sz w:val="22"/>
            <w:szCs w:val="22"/>
            <w:lang w:val="cs-CZ" w:eastAsia="cs-CZ"/>
          </w:rPr>
          <w:tab/>
        </w:r>
        <w:r w:rsidR="00E63EFF" w:rsidRPr="00943BA1">
          <w:rPr>
            <w:rStyle w:val="Hypertextovodkaz"/>
            <w:noProof/>
          </w:rPr>
          <w:t>Žádosti podle velikosti podniku</w:t>
        </w:r>
        <w:r w:rsidR="00E63EFF">
          <w:rPr>
            <w:noProof/>
            <w:webHidden/>
          </w:rPr>
          <w:tab/>
        </w:r>
        <w:r w:rsidR="00E63EFF">
          <w:rPr>
            <w:noProof/>
            <w:webHidden/>
          </w:rPr>
          <w:fldChar w:fldCharType="begin"/>
        </w:r>
        <w:r w:rsidR="00E63EFF">
          <w:rPr>
            <w:noProof/>
            <w:webHidden/>
          </w:rPr>
          <w:instrText xml:space="preserve"> PAGEREF _Toc81817638 \h </w:instrText>
        </w:r>
        <w:r w:rsidR="00E63EFF">
          <w:rPr>
            <w:noProof/>
            <w:webHidden/>
          </w:rPr>
        </w:r>
        <w:r w:rsidR="00E63EFF">
          <w:rPr>
            <w:noProof/>
            <w:webHidden/>
          </w:rPr>
          <w:fldChar w:fldCharType="separate"/>
        </w:r>
        <w:r w:rsidR="00E63EFF">
          <w:rPr>
            <w:noProof/>
            <w:webHidden/>
          </w:rPr>
          <w:t>95</w:t>
        </w:r>
        <w:r w:rsidR="00E63EFF">
          <w:rPr>
            <w:noProof/>
            <w:webHidden/>
          </w:rPr>
          <w:fldChar w:fldCharType="end"/>
        </w:r>
      </w:hyperlink>
    </w:p>
    <w:p w14:paraId="11EB5C60" w14:textId="4B9395C3" w:rsidR="00E63EFF" w:rsidRDefault="003A4538" w:rsidP="0026782D">
      <w:pPr>
        <w:pStyle w:val="Obsah4"/>
        <w:rPr>
          <w:rFonts w:asciiTheme="minorHAnsi" w:eastAsiaTheme="minorEastAsia" w:hAnsiTheme="minorHAnsi"/>
          <w:noProof/>
          <w:sz w:val="22"/>
          <w:szCs w:val="22"/>
          <w:lang w:val="cs-CZ" w:eastAsia="cs-CZ"/>
        </w:rPr>
      </w:pPr>
      <w:hyperlink w:anchor="_Toc81817639" w:history="1">
        <w:r w:rsidR="00E63EFF" w:rsidRPr="00943BA1">
          <w:rPr>
            <w:rStyle w:val="Hypertextovodkaz"/>
            <w:noProof/>
          </w:rPr>
          <w:t>Obrázek 53</w:t>
        </w:r>
        <w:r w:rsidR="00E63EFF">
          <w:rPr>
            <w:rFonts w:asciiTheme="minorHAnsi" w:eastAsiaTheme="minorEastAsia" w:hAnsiTheme="minorHAnsi"/>
            <w:noProof/>
            <w:sz w:val="22"/>
            <w:szCs w:val="22"/>
            <w:lang w:val="cs-CZ" w:eastAsia="cs-CZ"/>
          </w:rPr>
          <w:tab/>
        </w:r>
        <w:r w:rsidR="00E63EFF" w:rsidRPr="00943BA1">
          <w:rPr>
            <w:rStyle w:val="Hypertextovodkaz"/>
            <w:noProof/>
          </w:rPr>
          <w:t>Subjekty podle typu právní formy uvedené na žádosti 6.4.1</w:t>
        </w:r>
        <w:r w:rsidR="00E63EFF">
          <w:rPr>
            <w:noProof/>
            <w:webHidden/>
          </w:rPr>
          <w:tab/>
        </w:r>
        <w:r w:rsidR="00E63EFF">
          <w:rPr>
            <w:noProof/>
            <w:webHidden/>
          </w:rPr>
          <w:fldChar w:fldCharType="begin"/>
        </w:r>
        <w:r w:rsidR="00E63EFF">
          <w:rPr>
            <w:noProof/>
            <w:webHidden/>
          </w:rPr>
          <w:instrText xml:space="preserve"> PAGEREF _Toc81817639 \h </w:instrText>
        </w:r>
        <w:r w:rsidR="00E63EFF">
          <w:rPr>
            <w:noProof/>
            <w:webHidden/>
          </w:rPr>
        </w:r>
        <w:r w:rsidR="00E63EFF">
          <w:rPr>
            <w:noProof/>
            <w:webHidden/>
          </w:rPr>
          <w:fldChar w:fldCharType="separate"/>
        </w:r>
        <w:r w:rsidR="00E63EFF">
          <w:rPr>
            <w:noProof/>
            <w:webHidden/>
          </w:rPr>
          <w:t>97</w:t>
        </w:r>
        <w:r w:rsidR="00E63EFF">
          <w:rPr>
            <w:noProof/>
            <w:webHidden/>
          </w:rPr>
          <w:fldChar w:fldCharType="end"/>
        </w:r>
      </w:hyperlink>
    </w:p>
    <w:p w14:paraId="0D4391F0" w14:textId="5AEA9F5B" w:rsidR="00E63EFF" w:rsidRDefault="003A4538" w:rsidP="0026782D">
      <w:pPr>
        <w:pStyle w:val="Obsah4"/>
        <w:rPr>
          <w:rFonts w:asciiTheme="minorHAnsi" w:eastAsiaTheme="minorEastAsia" w:hAnsiTheme="minorHAnsi"/>
          <w:noProof/>
          <w:sz w:val="22"/>
          <w:szCs w:val="22"/>
          <w:lang w:val="cs-CZ" w:eastAsia="cs-CZ"/>
        </w:rPr>
      </w:pPr>
      <w:hyperlink w:anchor="_Toc81817640" w:history="1">
        <w:r w:rsidR="00E63EFF" w:rsidRPr="00943BA1">
          <w:rPr>
            <w:rStyle w:val="Hypertextovodkaz"/>
            <w:noProof/>
          </w:rPr>
          <w:t>Obrázek 54</w:t>
        </w:r>
        <w:r w:rsidR="00E63EFF">
          <w:rPr>
            <w:rFonts w:asciiTheme="minorHAnsi" w:eastAsiaTheme="minorEastAsia" w:hAnsiTheme="minorHAnsi"/>
            <w:noProof/>
            <w:sz w:val="22"/>
            <w:szCs w:val="22"/>
            <w:lang w:val="cs-CZ" w:eastAsia="cs-CZ"/>
          </w:rPr>
          <w:tab/>
        </w:r>
        <w:r w:rsidR="00E63EFF" w:rsidRPr="00943BA1">
          <w:rPr>
            <w:rStyle w:val="Hypertextovodkaz"/>
            <w:noProof/>
          </w:rPr>
          <w:t>Počty žádostí u podniků s více než 10 ha lesní půdy (6.4.1)</w:t>
        </w:r>
        <w:r w:rsidR="00E63EFF">
          <w:rPr>
            <w:noProof/>
            <w:webHidden/>
          </w:rPr>
          <w:tab/>
        </w:r>
        <w:r w:rsidR="00E63EFF">
          <w:rPr>
            <w:noProof/>
            <w:webHidden/>
          </w:rPr>
          <w:fldChar w:fldCharType="begin"/>
        </w:r>
        <w:r w:rsidR="00E63EFF">
          <w:rPr>
            <w:noProof/>
            <w:webHidden/>
          </w:rPr>
          <w:instrText xml:space="preserve"> PAGEREF _Toc81817640 \h </w:instrText>
        </w:r>
        <w:r w:rsidR="00E63EFF">
          <w:rPr>
            <w:noProof/>
            <w:webHidden/>
          </w:rPr>
        </w:r>
        <w:r w:rsidR="00E63EFF">
          <w:rPr>
            <w:noProof/>
            <w:webHidden/>
          </w:rPr>
          <w:fldChar w:fldCharType="separate"/>
        </w:r>
        <w:r w:rsidR="00E63EFF">
          <w:rPr>
            <w:noProof/>
            <w:webHidden/>
          </w:rPr>
          <w:t>98</w:t>
        </w:r>
        <w:r w:rsidR="00E63EFF">
          <w:rPr>
            <w:noProof/>
            <w:webHidden/>
          </w:rPr>
          <w:fldChar w:fldCharType="end"/>
        </w:r>
      </w:hyperlink>
    </w:p>
    <w:p w14:paraId="74426D77" w14:textId="2CCCAB2C" w:rsidR="00E63EFF" w:rsidRDefault="003A4538" w:rsidP="0026782D">
      <w:pPr>
        <w:pStyle w:val="Obsah4"/>
        <w:rPr>
          <w:rFonts w:asciiTheme="minorHAnsi" w:eastAsiaTheme="minorEastAsia" w:hAnsiTheme="minorHAnsi"/>
          <w:noProof/>
          <w:sz w:val="22"/>
          <w:szCs w:val="22"/>
          <w:lang w:val="cs-CZ" w:eastAsia="cs-CZ"/>
        </w:rPr>
      </w:pPr>
      <w:hyperlink w:anchor="_Toc81817641" w:history="1">
        <w:r w:rsidR="00E63EFF" w:rsidRPr="00943BA1">
          <w:rPr>
            <w:rStyle w:val="Hypertextovodkaz"/>
            <w:noProof/>
          </w:rPr>
          <w:t>Obrázek 55</w:t>
        </w:r>
        <w:r w:rsidR="00E63EFF">
          <w:rPr>
            <w:rFonts w:asciiTheme="minorHAnsi" w:eastAsiaTheme="minorEastAsia" w:hAnsiTheme="minorHAnsi"/>
            <w:noProof/>
            <w:sz w:val="22"/>
            <w:szCs w:val="22"/>
            <w:lang w:val="cs-CZ" w:eastAsia="cs-CZ"/>
          </w:rPr>
          <w:tab/>
        </w:r>
        <w:r w:rsidR="00E63EFF" w:rsidRPr="00943BA1">
          <w:rPr>
            <w:rStyle w:val="Hypertextovodkaz"/>
            <w:noProof/>
          </w:rPr>
          <w:t>Způsobilé náklady operace 6.4.1</w:t>
        </w:r>
        <w:r w:rsidR="00E63EFF">
          <w:rPr>
            <w:noProof/>
            <w:webHidden/>
          </w:rPr>
          <w:tab/>
        </w:r>
        <w:r w:rsidR="00E63EFF">
          <w:rPr>
            <w:noProof/>
            <w:webHidden/>
          </w:rPr>
          <w:fldChar w:fldCharType="begin"/>
        </w:r>
        <w:r w:rsidR="00E63EFF">
          <w:rPr>
            <w:noProof/>
            <w:webHidden/>
          </w:rPr>
          <w:instrText xml:space="preserve"> PAGEREF _Toc81817641 \h </w:instrText>
        </w:r>
        <w:r w:rsidR="00E63EFF">
          <w:rPr>
            <w:noProof/>
            <w:webHidden/>
          </w:rPr>
        </w:r>
        <w:r w:rsidR="00E63EFF">
          <w:rPr>
            <w:noProof/>
            <w:webHidden/>
          </w:rPr>
          <w:fldChar w:fldCharType="separate"/>
        </w:r>
        <w:r w:rsidR="00E63EFF">
          <w:rPr>
            <w:noProof/>
            <w:webHidden/>
          </w:rPr>
          <w:t>99</w:t>
        </w:r>
        <w:r w:rsidR="00E63EFF">
          <w:rPr>
            <w:noProof/>
            <w:webHidden/>
          </w:rPr>
          <w:fldChar w:fldCharType="end"/>
        </w:r>
      </w:hyperlink>
    </w:p>
    <w:p w14:paraId="336E60CC" w14:textId="43D7B118" w:rsidR="00E63EFF" w:rsidRDefault="003A4538" w:rsidP="0026782D">
      <w:pPr>
        <w:pStyle w:val="Obsah4"/>
        <w:rPr>
          <w:rFonts w:asciiTheme="minorHAnsi" w:eastAsiaTheme="minorEastAsia" w:hAnsiTheme="minorHAnsi"/>
          <w:noProof/>
          <w:sz w:val="22"/>
          <w:szCs w:val="22"/>
          <w:lang w:val="cs-CZ" w:eastAsia="cs-CZ"/>
        </w:rPr>
      </w:pPr>
      <w:hyperlink w:anchor="_Toc81817642" w:history="1">
        <w:r w:rsidR="00E63EFF" w:rsidRPr="00943BA1">
          <w:rPr>
            <w:rStyle w:val="Hypertextovodkaz"/>
            <w:noProof/>
          </w:rPr>
          <w:t>Obrázek 56</w:t>
        </w:r>
        <w:r w:rsidR="00E63EFF">
          <w:rPr>
            <w:rFonts w:asciiTheme="minorHAnsi" w:eastAsiaTheme="minorEastAsia" w:hAnsiTheme="minorHAnsi"/>
            <w:noProof/>
            <w:sz w:val="22"/>
            <w:szCs w:val="22"/>
            <w:lang w:val="cs-CZ" w:eastAsia="cs-CZ"/>
          </w:rPr>
          <w:tab/>
        </w:r>
        <w:r w:rsidR="00E63EFF" w:rsidRPr="00943BA1">
          <w:rPr>
            <w:rStyle w:val="Hypertextovodkaz"/>
            <w:noProof/>
          </w:rPr>
          <w:t>Subjekty podle právní formy na žádosti</w:t>
        </w:r>
        <w:r w:rsidR="00E63EFF">
          <w:rPr>
            <w:noProof/>
            <w:webHidden/>
          </w:rPr>
          <w:tab/>
        </w:r>
        <w:r w:rsidR="00E63EFF">
          <w:rPr>
            <w:noProof/>
            <w:webHidden/>
          </w:rPr>
          <w:fldChar w:fldCharType="begin"/>
        </w:r>
        <w:r w:rsidR="00E63EFF">
          <w:rPr>
            <w:noProof/>
            <w:webHidden/>
          </w:rPr>
          <w:instrText xml:space="preserve"> PAGEREF _Toc81817642 \h </w:instrText>
        </w:r>
        <w:r w:rsidR="00E63EFF">
          <w:rPr>
            <w:noProof/>
            <w:webHidden/>
          </w:rPr>
        </w:r>
        <w:r w:rsidR="00E63EFF">
          <w:rPr>
            <w:noProof/>
            <w:webHidden/>
          </w:rPr>
          <w:fldChar w:fldCharType="separate"/>
        </w:r>
        <w:r w:rsidR="00E63EFF">
          <w:rPr>
            <w:noProof/>
            <w:webHidden/>
          </w:rPr>
          <w:t>99</w:t>
        </w:r>
        <w:r w:rsidR="00E63EFF">
          <w:rPr>
            <w:noProof/>
            <w:webHidden/>
          </w:rPr>
          <w:fldChar w:fldCharType="end"/>
        </w:r>
      </w:hyperlink>
    </w:p>
    <w:p w14:paraId="2C84419C" w14:textId="309E5FD7" w:rsidR="00E63EFF" w:rsidRDefault="003A4538" w:rsidP="0026782D">
      <w:pPr>
        <w:pStyle w:val="Obsah4"/>
        <w:rPr>
          <w:rFonts w:asciiTheme="minorHAnsi" w:eastAsiaTheme="minorEastAsia" w:hAnsiTheme="minorHAnsi"/>
          <w:noProof/>
          <w:sz w:val="22"/>
          <w:szCs w:val="22"/>
          <w:lang w:val="cs-CZ" w:eastAsia="cs-CZ"/>
        </w:rPr>
      </w:pPr>
      <w:hyperlink w:anchor="_Toc81817643" w:history="1">
        <w:r w:rsidR="00E63EFF" w:rsidRPr="00943BA1">
          <w:rPr>
            <w:rStyle w:val="Hypertextovodkaz"/>
            <w:noProof/>
          </w:rPr>
          <w:t>Obrázek 57</w:t>
        </w:r>
        <w:r w:rsidR="00E63EFF">
          <w:rPr>
            <w:rFonts w:asciiTheme="minorHAnsi" w:eastAsiaTheme="minorEastAsia" w:hAnsiTheme="minorHAnsi"/>
            <w:noProof/>
            <w:sz w:val="22"/>
            <w:szCs w:val="22"/>
            <w:lang w:val="cs-CZ" w:eastAsia="cs-CZ"/>
          </w:rPr>
          <w:tab/>
        </w:r>
        <w:r w:rsidR="00E63EFF" w:rsidRPr="00943BA1">
          <w:rPr>
            <w:rStyle w:val="Hypertextovodkaz"/>
            <w:noProof/>
          </w:rPr>
          <w:t>Počty žádostí u podniků s více než 10 ha lesní půdy (6.4.2)</w:t>
        </w:r>
        <w:r w:rsidR="00E63EFF">
          <w:rPr>
            <w:noProof/>
            <w:webHidden/>
          </w:rPr>
          <w:tab/>
        </w:r>
        <w:r w:rsidR="00E63EFF">
          <w:rPr>
            <w:noProof/>
            <w:webHidden/>
          </w:rPr>
          <w:fldChar w:fldCharType="begin"/>
        </w:r>
        <w:r w:rsidR="00E63EFF">
          <w:rPr>
            <w:noProof/>
            <w:webHidden/>
          </w:rPr>
          <w:instrText xml:space="preserve"> PAGEREF _Toc81817643 \h </w:instrText>
        </w:r>
        <w:r w:rsidR="00E63EFF">
          <w:rPr>
            <w:noProof/>
            <w:webHidden/>
          </w:rPr>
        </w:r>
        <w:r w:rsidR="00E63EFF">
          <w:rPr>
            <w:noProof/>
            <w:webHidden/>
          </w:rPr>
          <w:fldChar w:fldCharType="separate"/>
        </w:r>
        <w:r w:rsidR="00E63EFF">
          <w:rPr>
            <w:noProof/>
            <w:webHidden/>
          </w:rPr>
          <w:t>100</w:t>
        </w:r>
        <w:r w:rsidR="00E63EFF">
          <w:rPr>
            <w:noProof/>
            <w:webHidden/>
          </w:rPr>
          <w:fldChar w:fldCharType="end"/>
        </w:r>
      </w:hyperlink>
    </w:p>
    <w:p w14:paraId="68D5CCCB" w14:textId="3267D41C" w:rsidR="00E63EFF" w:rsidRDefault="003A4538" w:rsidP="0026782D">
      <w:pPr>
        <w:pStyle w:val="Obsah4"/>
        <w:rPr>
          <w:rFonts w:asciiTheme="minorHAnsi" w:eastAsiaTheme="minorEastAsia" w:hAnsiTheme="minorHAnsi"/>
          <w:noProof/>
          <w:sz w:val="22"/>
          <w:szCs w:val="22"/>
          <w:lang w:val="cs-CZ" w:eastAsia="cs-CZ"/>
        </w:rPr>
      </w:pPr>
      <w:hyperlink w:anchor="_Toc81817644" w:history="1">
        <w:r w:rsidR="00E63EFF" w:rsidRPr="00943BA1">
          <w:rPr>
            <w:rStyle w:val="Hypertextovodkaz"/>
            <w:noProof/>
          </w:rPr>
          <w:t>Obrázek 58</w:t>
        </w:r>
        <w:r w:rsidR="00E63EFF">
          <w:rPr>
            <w:rFonts w:asciiTheme="minorHAnsi" w:eastAsiaTheme="minorEastAsia" w:hAnsiTheme="minorHAnsi"/>
            <w:noProof/>
            <w:sz w:val="22"/>
            <w:szCs w:val="22"/>
            <w:lang w:val="cs-CZ" w:eastAsia="cs-CZ"/>
          </w:rPr>
          <w:tab/>
        </w:r>
        <w:r w:rsidR="00E63EFF" w:rsidRPr="00943BA1">
          <w:rPr>
            <w:rStyle w:val="Hypertextovodkaz"/>
            <w:noProof/>
          </w:rPr>
          <w:t>Způsobilé náklady operace 6.4.2</w:t>
        </w:r>
        <w:r w:rsidR="00E63EFF">
          <w:rPr>
            <w:noProof/>
            <w:webHidden/>
          </w:rPr>
          <w:tab/>
        </w:r>
        <w:r w:rsidR="00E63EFF">
          <w:rPr>
            <w:noProof/>
            <w:webHidden/>
          </w:rPr>
          <w:fldChar w:fldCharType="begin"/>
        </w:r>
        <w:r w:rsidR="00E63EFF">
          <w:rPr>
            <w:noProof/>
            <w:webHidden/>
          </w:rPr>
          <w:instrText xml:space="preserve"> PAGEREF _Toc81817644 \h </w:instrText>
        </w:r>
        <w:r w:rsidR="00E63EFF">
          <w:rPr>
            <w:noProof/>
            <w:webHidden/>
          </w:rPr>
        </w:r>
        <w:r w:rsidR="00E63EFF">
          <w:rPr>
            <w:noProof/>
            <w:webHidden/>
          </w:rPr>
          <w:fldChar w:fldCharType="separate"/>
        </w:r>
        <w:r w:rsidR="00E63EFF">
          <w:rPr>
            <w:noProof/>
            <w:webHidden/>
          </w:rPr>
          <w:t>101</w:t>
        </w:r>
        <w:r w:rsidR="00E63EFF">
          <w:rPr>
            <w:noProof/>
            <w:webHidden/>
          </w:rPr>
          <w:fldChar w:fldCharType="end"/>
        </w:r>
      </w:hyperlink>
    </w:p>
    <w:p w14:paraId="6D1E80C1" w14:textId="45AB7840" w:rsidR="00E63EFF" w:rsidRDefault="003A4538" w:rsidP="0026782D">
      <w:pPr>
        <w:pStyle w:val="Obsah4"/>
        <w:rPr>
          <w:rFonts w:asciiTheme="minorHAnsi" w:eastAsiaTheme="minorEastAsia" w:hAnsiTheme="minorHAnsi"/>
          <w:noProof/>
          <w:sz w:val="22"/>
          <w:szCs w:val="22"/>
          <w:lang w:val="cs-CZ" w:eastAsia="cs-CZ"/>
        </w:rPr>
      </w:pPr>
      <w:hyperlink w:anchor="_Toc81817645" w:history="1">
        <w:r w:rsidR="00E63EFF" w:rsidRPr="00943BA1">
          <w:rPr>
            <w:rStyle w:val="Hypertextovodkaz"/>
            <w:noProof/>
          </w:rPr>
          <w:t>Obrázek 59</w:t>
        </w:r>
        <w:r w:rsidR="00E63EFF">
          <w:rPr>
            <w:rFonts w:asciiTheme="minorHAnsi" w:eastAsiaTheme="minorEastAsia" w:hAnsiTheme="minorHAnsi"/>
            <w:noProof/>
            <w:sz w:val="22"/>
            <w:szCs w:val="22"/>
            <w:lang w:val="cs-CZ" w:eastAsia="cs-CZ"/>
          </w:rPr>
          <w:tab/>
        </w:r>
        <w:r w:rsidR="00E63EFF" w:rsidRPr="00943BA1">
          <w:rPr>
            <w:rStyle w:val="Hypertextovodkaz"/>
            <w:noProof/>
          </w:rPr>
          <w:t>Subjekty podle právní formy na žádosti</w:t>
        </w:r>
        <w:r w:rsidR="00E63EFF">
          <w:rPr>
            <w:noProof/>
            <w:webHidden/>
          </w:rPr>
          <w:tab/>
        </w:r>
        <w:r w:rsidR="00E63EFF">
          <w:rPr>
            <w:noProof/>
            <w:webHidden/>
          </w:rPr>
          <w:fldChar w:fldCharType="begin"/>
        </w:r>
        <w:r w:rsidR="00E63EFF">
          <w:rPr>
            <w:noProof/>
            <w:webHidden/>
          </w:rPr>
          <w:instrText xml:space="preserve"> PAGEREF _Toc81817645 \h </w:instrText>
        </w:r>
        <w:r w:rsidR="00E63EFF">
          <w:rPr>
            <w:noProof/>
            <w:webHidden/>
          </w:rPr>
        </w:r>
        <w:r w:rsidR="00E63EFF">
          <w:rPr>
            <w:noProof/>
            <w:webHidden/>
          </w:rPr>
          <w:fldChar w:fldCharType="separate"/>
        </w:r>
        <w:r w:rsidR="00E63EFF">
          <w:rPr>
            <w:noProof/>
            <w:webHidden/>
          </w:rPr>
          <w:t>102</w:t>
        </w:r>
        <w:r w:rsidR="00E63EFF">
          <w:rPr>
            <w:noProof/>
            <w:webHidden/>
          </w:rPr>
          <w:fldChar w:fldCharType="end"/>
        </w:r>
      </w:hyperlink>
    </w:p>
    <w:p w14:paraId="463E535D" w14:textId="593C99C3" w:rsidR="00E63EFF" w:rsidRDefault="003A4538" w:rsidP="0026782D">
      <w:pPr>
        <w:pStyle w:val="Obsah4"/>
        <w:rPr>
          <w:rFonts w:asciiTheme="minorHAnsi" w:eastAsiaTheme="minorEastAsia" w:hAnsiTheme="minorHAnsi"/>
          <w:noProof/>
          <w:sz w:val="22"/>
          <w:szCs w:val="22"/>
          <w:lang w:val="cs-CZ" w:eastAsia="cs-CZ"/>
        </w:rPr>
      </w:pPr>
      <w:hyperlink w:anchor="_Toc81817646" w:history="1">
        <w:r w:rsidR="00E63EFF" w:rsidRPr="00943BA1">
          <w:rPr>
            <w:rStyle w:val="Hypertextovodkaz"/>
            <w:noProof/>
          </w:rPr>
          <w:t>Obrázek 60</w:t>
        </w:r>
        <w:r w:rsidR="00E63EFF">
          <w:rPr>
            <w:rFonts w:asciiTheme="minorHAnsi" w:eastAsiaTheme="minorEastAsia" w:hAnsiTheme="minorHAnsi"/>
            <w:noProof/>
            <w:sz w:val="22"/>
            <w:szCs w:val="22"/>
            <w:lang w:val="cs-CZ" w:eastAsia="cs-CZ"/>
          </w:rPr>
          <w:tab/>
        </w:r>
        <w:r w:rsidR="00E63EFF" w:rsidRPr="00943BA1">
          <w:rPr>
            <w:rStyle w:val="Hypertextovodkaz"/>
            <w:noProof/>
          </w:rPr>
          <w:t>Žádosti podle kódu právní formy</w:t>
        </w:r>
        <w:r w:rsidR="00E63EFF">
          <w:rPr>
            <w:noProof/>
            <w:webHidden/>
          </w:rPr>
          <w:tab/>
        </w:r>
        <w:r w:rsidR="00E63EFF">
          <w:rPr>
            <w:noProof/>
            <w:webHidden/>
          </w:rPr>
          <w:fldChar w:fldCharType="begin"/>
        </w:r>
        <w:r w:rsidR="00E63EFF">
          <w:rPr>
            <w:noProof/>
            <w:webHidden/>
          </w:rPr>
          <w:instrText xml:space="preserve"> PAGEREF _Toc81817646 \h </w:instrText>
        </w:r>
        <w:r w:rsidR="00E63EFF">
          <w:rPr>
            <w:noProof/>
            <w:webHidden/>
          </w:rPr>
        </w:r>
        <w:r w:rsidR="00E63EFF">
          <w:rPr>
            <w:noProof/>
            <w:webHidden/>
          </w:rPr>
          <w:fldChar w:fldCharType="separate"/>
        </w:r>
        <w:r w:rsidR="00E63EFF">
          <w:rPr>
            <w:noProof/>
            <w:webHidden/>
          </w:rPr>
          <w:t>103</w:t>
        </w:r>
        <w:r w:rsidR="00E63EFF">
          <w:rPr>
            <w:noProof/>
            <w:webHidden/>
          </w:rPr>
          <w:fldChar w:fldCharType="end"/>
        </w:r>
      </w:hyperlink>
    </w:p>
    <w:p w14:paraId="6010FC50" w14:textId="6B1CED74" w:rsidR="00E63EFF" w:rsidRDefault="003A4538" w:rsidP="0026782D">
      <w:pPr>
        <w:pStyle w:val="Obsah4"/>
        <w:rPr>
          <w:rFonts w:asciiTheme="minorHAnsi" w:eastAsiaTheme="minorEastAsia" w:hAnsiTheme="minorHAnsi"/>
          <w:noProof/>
          <w:sz w:val="22"/>
          <w:szCs w:val="22"/>
          <w:lang w:val="cs-CZ" w:eastAsia="cs-CZ"/>
        </w:rPr>
      </w:pPr>
      <w:hyperlink w:anchor="_Toc81817647" w:history="1">
        <w:r w:rsidR="00E63EFF" w:rsidRPr="00943BA1">
          <w:rPr>
            <w:rStyle w:val="Hypertextovodkaz"/>
            <w:noProof/>
          </w:rPr>
          <w:t>Obrázek 61</w:t>
        </w:r>
        <w:r w:rsidR="00E63EFF">
          <w:rPr>
            <w:rFonts w:asciiTheme="minorHAnsi" w:eastAsiaTheme="minorEastAsia" w:hAnsiTheme="minorHAnsi"/>
            <w:noProof/>
            <w:sz w:val="22"/>
            <w:szCs w:val="22"/>
            <w:lang w:val="cs-CZ" w:eastAsia="cs-CZ"/>
          </w:rPr>
          <w:tab/>
        </w:r>
        <w:r w:rsidR="00E63EFF" w:rsidRPr="00943BA1">
          <w:rPr>
            <w:rStyle w:val="Hypertextovodkaz"/>
            <w:noProof/>
          </w:rPr>
          <w:t>Počty žádostí podle velikostní kategorie</w:t>
        </w:r>
        <w:r w:rsidR="00E63EFF">
          <w:rPr>
            <w:noProof/>
            <w:webHidden/>
          </w:rPr>
          <w:tab/>
        </w:r>
        <w:r w:rsidR="00E63EFF">
          <w:rPr>
            <w:noProof/>
            <w:webHidden/>
          </w:rPr>
          <w:fldChar w:fldCharType="begin"/>
        </w:r>
        <w:r w:rsidR="00E63EFF">
          <w:rPr>
            <w:noProof/>
            <w:webHidden/>
          </w:rPr>
          <w:instrText xml:space="preserve"> PAGEREF _Toc81817647 \h </w:instrText>
        </w:r>
        <w:r w:rsidR="00E63EFF">
          <w:rPr>
            <w:noProof/>
            <w:webHidden/>
          </w:rPr>
        </w:r>
        <w:r w:rsidR="00E63EFF">
          <w:rPr>
            <w:noProof/>
            <w:webHidden/>
          </w:rPr>
          <w:fldChar w:fldCharType="separate"/>
        </w:r>
        <w:r w:rsidR="00E63EFF">
          <w:rPr>
            <w:noProof/>
            <w:webHidden/>
          </w:rPr>
          <w:t>103</w:t>
        </w:r>
        <w:r w:rsidR="00E63EFF">
          <w:rPr>
            <w:noProof/>
            <w:webHidden/>
          </w:rPr>
          <w:fldChar w:fldCharType="end"/>
        </w:r>
      </w:hyperlink>
    </w:p>
    <w:p w14:paraId="06AC67A0" w14:textId="3D3232F9" w:rsidR="00E63EFF" w:rsidRDefault="003A4538" w:rsidP="0026782D">
      <w:pPr>
        <w:pStyle w:val="Obsah4"/>
        <w:rPr>
          <w:rFonts w:asciiTheme="minorHAnsi" w:eastAsiaTheme="minorEastAsia" w:hAnsiTheme="minorHAnsi"/>
          <w:noProof/>
          <w:sz w:val="22"/>
          <w:szCs w:val="22"/>
          <w:lang w:val="cs-CZ" w:eastAsia="cs-CZ"/>
        </w:rPr>
      </w:pPr>
      <w:hyperlink w:anchor="_Toc81817648" w:history="1">
        <w:r w:rsidR="00E63EFF" w:rsidRPr="00943BA1">
          <w:rPr>
            <w:rStyle w:val="Hypertextovodkaz"/>
            <w:noProof/>
          </w:rPr>
          <w:t>Obrázek 62</w:t>
        </w:r>
        <w:r w:rsidR="00E63EFF">
          <w:rPr>
            <w:rFonts w:asciiTheme="minorHAnsi" w:eastAsiaTheme="minorEastAsia" w:hAnsiTheme="minorHAnsi"/>
            <w:noProof/>
            <w:sz w:val="22"/>
            <w:szCs w:val="22"/>
            <w:lang w:val="cs-CZ" w:eastAsia="cs-CZ"/>
          </w:rPr>
          <w:tab/>
        </w:r>
        <w:r w:rsidR="00E63EFF" w:rsidRPr="00943BA1">
          <w:rPr>
            <w:rStyle w:val="Hypertextovodkaz"/>
            <w:noProof/>
          </w:rPr>
          <w:t>Podíl žádostí podle krajů</w:t>
        </w:r>
        <w:r w:rsidR="00E63EFF">
          <w:rPr>
            <w:noProof/>
            <w:webHidden/>
          </w:rPr>
          <w:tab/>
        </w:r>
        <w:r w:rsidR="00E63EFF">
          <w:rPr>
            <w:noProof/>
            <w:webHidden/>
          </w:rPr>
          <w:fldChar w:fldCharType="begin"/>
        </w:r>
        <w:r w:rsidR="00E63EFF">
          <w:rPr>
            <w:noProof/>
            <w:webHidden/>
          </w:rPr>
          <w:instrText xml:space="preserve"> PAGEREF _Toc81817648 \h </w:instrText>
        </w:r>
        <w:r w:rsidR="00E63EFF">
          <w:rPr>
            <w:noProof/>
            <w:webHidden/>
          </w:rPr>
        </w:r>
        <w:r w:rsidR="00E63EFF">
          <w:rPr>
            <w:noProof/>
            <w:webHidden/>
          </w:rPr>
          <w:fldChar w:fldCharType="separate"/>
        </w:r>
        <w:r w:rsidR="00E63EFF">
          <w:rPr>
            <w:noProof/>
            <w:webHidden/>
          </w:rPr>
          <w:t>104</w:t>
        </w:r>
        <w:r w:rsidR="00E63EFF">
          <w:rPr>
            <w:noProof/>
            <w:webHidden/>
          </w:rPr>
          <w:fldChar w:fldCharType="end"/>
        </w:r>
      </w:hyperlink>
    </w:p>
    <w:p w14:paraId="1F102172" w14:textId="287F7371" w:rsidR="00E63EFF" w:rsidRDefault="003A4538" w:rsidP="0026782D">
      <w:pPr>
        <w:pStyle w:val="Obsah4"/>
        <w:rPr>
          <w:rFonts w:asciiTheme="minorHAnsi" w:eastAsiaTheme="minorEastAsia" w:hAnsiTheme="minorHAnsi"/>
          <w:noProof/>
          <w:sz w:val="22"/>
          <w:szCs w:val="22"/>
          <w:lang w:val="cs-CZ" w:eastAsia="cs-CZ"/>
        </w:rPr>
      </w:pPr>
      <w:hyperlink w:anchor="_Toc81817649" w:history="1">
        <w:r w:rsidR="00E63EFF" w:rsidRPr="00943BA1">
          <w:rPr>
            <w:rStyle w:val="Hypertextovodkaz"/>
            <w:noProof/>
          </w:rPr>
          <w:t>Obrázek 63</w:t>
        </w:r>
        <w:r w:rsidR="00E63EFF">
          <w:rPr>
            <w:rFonts w:asciiTheme="minorHAnsi" w:eastAsiaTheme="minorEastAsia" w:hAnsiTheme="minorHAnsi"/>
            <w:noProof/>
            <w:sz w:val="22"/>
            <w:szCs w:val="22"/>
            <w:lang w:val="cs-CZ" w:eastAsia="cs-CZ"/>
          </w:rPr>
          <w:tab/>
        </w:r>
        <w:r w:rsidR="00E63EFF" w:rsidRPr="00943BA1">
          <w:rPr>
            <w:rStyle w:val="Hypertextovodkaz"/>
            <w:noProof/>
          </w:rPr>
          <w:t>Zastoupení žádostí podle kódu článku nařízení</w:t>
        </w:r>
        <w:r w:rsidR="00E63EFF">
          <w:rPr>
            <w:noProof/>
            <w:webHidden/>
          </w:rPr>
          <w:tab/>
        </w:r>
        <w:r w:rsidR="00E63EFF">
          <w:rPr>
            <w:noProof/>
            <w:webHidden/>
          </w:rPr>
          <w:fldChar w:fldCharType="begin"/>
        </w:r>
        <w:r w:rsidR="00E63EFF">
          <w:rPr>
            <w:noProof/>
            <w:webHidden/>
          </w:rPr>
          <w:instrText xml:space="preserve"> PAGEREF _Toc81817649 \h </w:instrText>
        </w:r>
        <w:r w:rsidR="00E63EFF">
          <w:rPr>
            <w:noProof/>
            <w:webHidden/>
          </w:rPr>
        </w:r>
        <w:r w:rsidR="00E63EFF">
          <w:rPr>
            <w:noProof/>
            <w:webHidden/>
          </w:rPr>
          <w:fldChar w:fldCharType="separate"/>
        </w:r>
        <w:r w:rsidR="00E63EFF">
          <w:rPr>
            <w:noProof/>
            <w:webHidden/>
          </w:rPr>
          <w:t>105</w:t>
        </w:r>
        <w:r w:rsidR="00E63EFF">
          <w:rPr>
            <w:noProof/>
            <w:webHidden/>
          </w:rPr>
          <w:fldChar w:fldCharType="end"/>
        </w:r>
      </w:hyperlink>
    </w:p>
    <w:p w14:paraId="48DFCE5B" w14:textId="3963C8E3" w:rsidR="00E63EFF" w:rsidRDefault="003A4538" w:rsidP="0026782D">
      <w:pPr>
        <w:pStyle w:val="Obsah4"/>
        <w:rPr>
          <w:rFonts w:asciiTheme="minorHAnsi" w:eastAsiaTheme="minorEastAsia" w:hAnsiTheme="minorHAnsi"/>
          <w:noProof/>
          <w:sz w:val="22"/>
          <w:szCs w:val="22"/>
          <w:lang w:val="cs-CZ" w:eastAsia="cs-CZ"/>
        </w:rPr>
      </w:pPr>
      <w:hyperlink w:anchor="_Toc81817650" w:history="1">
        <w:r w:rsidR="00E63EFF" w:rsidRPr="00943BA1">
          <w:rPr>
            <w:rStyle w:val="Hypertextovodkaz"/>
            <w:noProof/>
          </w:rPr>
          <w:t>Obrázek 64</w:t>
        </w:r>
        <w:r w:rsidR="00E63EFF">
          <w:rPr>
            <w:rFonts w:asciiTheme="minorHAnsi" w:eastAsiaTheme="minorEastAsia" w:hAnsiTheme="minorHAnsi"/>
            <w:noProof/>
            <w:sz w:val="22"/>
            <w:szCs w:val="22"/>
            <w:lang w:val="cs-CZ" w:eastAsia="cs-CZ"/>
          </w:rPr>
          <w:tab/>
        </w:r>
        <w:r w:rsidR="00E63EFF" w:rsidRPr="00943BA1">
          <w:rPr>
            <w:rStyle w:val="Hypertextovodkaz"/>
            <w:noProof/>
          </w:rPr>
          <w:t>Podíl AS na zaměstnanosti celkem dle velikostních kategorií obcí</w:t>
        </w:r>
        <w:r w:rsidR="00E63EFF">
          <w:rPr>
            <w:noProof/>
            <w:webHidden/>
          </w:rPr>
          <w:tab/>
        </w:r>
        <w:r w:rsidR="00E63EFF">
          <w:rPr>
            <w:noProof/>
            <w:webHidden/>
          </w:rPr>
          <w:fldChar w:fldCharType="begin"/>
        </w:r>
        <w:r w:rsidR="00E63EFF">
          <w:rPr>
            <w:noProof/>
            <w:webHidden/>
          </w:rPr>
          <w:instrText xml:space="preserve"> PAGEREF _Toc81817650 \h </w:instrText>
        </w:r>
        <w:r w:rsidR="00E63EFF">
          <w:rPr>
            <w:noProof/>
            <w:webHidden/>
          </w:rPr>
        </w:r>
        <w:r w:rsidR="00E63EFF">
          <w:rPr>
            <w:noProof/>
            <w:webHidden/>
          </w:rPr>
          <w:fldChar w:fldCharType="separate"/>
        </w:r>
        <w:r w:rsidR="00E63EFF">
          <w:rPr>
            <w:noProof/>
            <w:webHidden/>
          </w:rPr>
          <w:t>106</w:t>
        </w:r>
        <w:r w:rsidR="00E63EFF">
          <w:rPr>
            <w:noProof/>
            <w:webHidden/>
          </w:rPr>
          <w:fldChar w:fldCharType="end"/>
        </w:r>
      </w:hyperlink>
    </w:p>
    <w:p w14:paraId="4CFC5EE3" w14:textId="6B4D9333" w:rsidR="00E63EFF" w:rsidRDefault="003A4538" w:rsidP="0026782D">
      <w:pPr>
        <w:pStyle w:val="Obsah4"/>
        <w:rPr>
          <w:rFonts w:asciiTheme="minorHAnsi" w:eastAsiaTheme="minorEastAsia" w:hAnsiTheme="minorHAnsi"/>
          <w:noProof/>
          <w:sz w:val="22"/>
          <w:szCs w:val="22"/>
          <w:lang w:val="cs-CZ" w:eastAsia="cs-CZ"/>
        </w:rPr>
      </w:pPr>
      <w:hyperlink w:anchor="_Toc81817651" w:history="1">
        <w:r w:rsidR="00E63EFF" w:rsidRPr="00943BA1">
          <w:rPr>
            <w:rStyle w:val="Hypertextovodkaz"/>
            <w:noProof/>
          </w:rPr>
          <w:t>Obrázek 65</w:t>
        </w:r>
        <w:r w:rsidR="00E63EFF">
          <w:rPr>
            <w:rFonts w:asciiTheme="minorHAnsi" w:eastAsiaTheme="minorEastAsia" w:hAnsiTheme="minorHAnsi"/>
            <w:noProof/>
            <w:sz w:val="22"/>
            <w:szCs w:val="22"/>
            <w:lang w:val="cs-CZ" w:eastAsia="cs-CZ"/>
          </w:rPr>
          <w:tab/>
        </w:r>
        <w:r w:rsidR="00E63EFF" w:rsidRPr="00943BA1">
          <w:rPr>
            <w:rStyle w:val="Hypertextovodkaz"/>
            <w:noProof/>
          </w:rPr>
          <w:t>Míra zaměstnatelnosti podle odvětví v roce 2011</w:t>
        </w:r>
        <w:r w:rsidR="00E63EFF">
          <w:rPr>
            <w:noProof/>
            <w:webHidden/>
          </w:rPr>
          <w:tab/>
        </w:r>
        <w:r w:rsidR="00E63EFF">
          <w:rPr>
            <w:noProof/>
            <w:webHidden/>
          </w:rPr>
          <w:fldChar w:fldCharType="begin"/>
        </w:r>
        <w:r w:rsidR="00E63EFF">
          <w:rPr>
            <w:noProof/>
            <w:webHidden/>
          </w:rPr>
          <w:instrText xml:space="preserve"> PAGEREF _Toc81817651 \h </w:instrText>
        </w:r>
        <w:r w:rsidR="00E63EFF">
          <w:rPr>
            <w:noProof/>
            <w:webHidden/>
          </w:rPr>
        </w:r>
        <w:r w:rsidR="00E63EFF">
          <w:rPr>
            <w:noProof/>
            <w:webHidden/>
          </w:rPr>
          <w:fldChar w:fldCharType="separate"/>
        </w:r>
        <w:r w:rsidR="00E63EFF">
          <w:rPr>
            <w:noProof/>
            <w:webHidden/>
          </w:rPr>
          <w:t>109</w:t>
        </w:r>
        <w:r w:rsidR="00E63EFF">
          <w:rPr>
            <w:noProof/>
            <w:webHidden/>
          </w:rPr>
          <w:fldChar w:fldCharType="end"/>
        </w:r>
      </w:hyperlink>
    </w:p>
    <w:p w14:paraId="08D0FE8A" w14:textId="5F2E43F5" w:rsidR="00E63EFF" w:rsidRDefault="003A4538" w:rsidP="0026782D">
      <w:pPr>
        <w:pStyle w:val="Obsah4"/>
        <w:rPr>
          <w:rFonts w:asciiTheme="minorHAnsi" w:eastAsiaTheme="minorEastAsia" w:hAnsiTheme="minorHAnsi"/>
          <w:noProof/>
          <w:sz w:val="22"/>
          <w:szCs w:val="22"/>
          <w:lang w:val="cs-CZ" w:eastAsia="cs-CZ"/>
        </w:rPr>
      </w:pPr>
      <w:hyperlink w:anchor="_Toc81817652" w:history="1">
        <w:r w:rsidR="00E63EFF" w:rsidRPr="00943BA1">
          <w:rPr>
            <w:rStyle w:val="Hypertextovodkaz"/>
            <w:noProof/>
          </w:rPr>
          <w:t>Obrázek 66</w:t>
        </w:r>
        <w:r w:rsidR="00E63EFF">
          <w:rPr>
            <w:rFonts w:asciiTheme="minorHAnsi" w:eastAsiaTheme="minorEastAsia" w:hAnsiTheme="minorHAnsi"/>
            <w:noProof/>
            <w:sz w:val="22"/>
            <w:szCs w:val="22"/>
            <w:lang w:val="cs-CZ" w:eastAsia="cs-CZ"/>
          </w:rPr>
          <w:tab/>
        </w:r>
        <w:r w:rsidR="00E63EFF" w:rsidRPr="00943BA1">
          <w:rPr>
            <w:rStyle w:val="Hypertextovodkaz"/>
            <w:noProof/>
          </w:rPr>
          <w:t>Počty zaměstnaných a pracovních míst v jednotlivých velikostních kategoriích obcí v roce 2011</w:t>
        </w:r>
        <w:r w:rsidR="00E63EFF">
          <w:rPr>
            <w:noProof/>
            <w:webHidden/>
          </w:rPr>
          <w:tab/>
        </w:r>
        <w:r w:rsidR="0026782D">
          <w:rPr>
            <w:noProof/>
            <w:webHidden/>
          </w:rPr>
          <w:tab/>
        </w:r>
        <w:r w:rsidR="0026782D">
          <w:rPr>
            <w:noProof/>
            <w:webHidden/>
          </w:rPr>
          <w:tab/>
        </w:r>
        <w:r w:rsidR="00E63EFF">
          <w:rPr>
            <w:noProof/>
            <w:webHidden/>
          </w:rPr>
          <w:fldChar w:fldCharType="begin"/>
        </w:r>
        <w:r w:rsidR="00E63EFF">
          <w:rPr>
            <w:noProof/>
            <w:webHidden/>
          </w:rPr>
          <w:instrText xml:space="preserve"> PAGEREF _Toc81817652 \h </w:instrText>
        </w:r>
        <w:r w:rsidR="00E63EFF">
          <w:rPr>
            <w:noProof/>
            <w:webHidden/>
          </w:rPr>
        </w:r>
        <w:r w:rsidR="00E63EFF">
          <w:rPr>
            <w:noProof/>
            <w:webHidden/>
          </w:rPr>
          <w:fldChar w:fldCharType="separate"/>
        </w:r>
        <w:r w:rsidR="00E63EFF">
          <w:rPr>
            <w:noProof/>
            <w:webHidden/>
          </w:rPr>
          <w:t>109</w:t>
        </w:r>
        <w:r w:rsidR="00E63EFF">
          <w:rPr>
            <w:noProof/>
            <w:webHidden/>
          </w:rPr>
          <w:fldChar w:fldCharType="end"/>
        </w:r>
      </w:hyperlink>
    </w:p>
    <w:p w14:paraId="54C19FF7" w14:textId="0FD612A0" w:rsidR="00E63EFF" w:rsidRDefault="003A4538" w:rsidP="0026782D">
      <w:pPr>
        <w:pStyle w:val="Obsah4"/>
        <w:rPr>
          <w:rFonts w:asciiTheme="minorHAnsi" w:eastAsiaTheme="minorEastAsia" w:hAnsiTheme="minorHAnsi"/>
          <w:noProof/>
          <w:sz w:val="22"/>
          <w:szCs w:val="22"/>
          <w:lang w:val="cs-CZ" w:eastAsia="cs-CZ"/>
        </w:rPr>
      </w:pPr>
      <w:hyperlink w:anchor="_Toc81817653" w:history="1">
        <w:r w:rsidR="00E63EFF" w:rsidRPr="00943BA1">
          <w:rPr>
            <w:rStyle w:val="Hypertextovodkaz"/>
            <w:noProof/>
          </w:rPr>
          <w:t>Obrázek 67</w:t>
        </w:r>
        <w:r w:rsidR="00E63EFF">
          <w:rPr>
            <w:rFonts w:asciiTheme="minorHAnsi" w:eastAsiaTheme="minorEastAsia" w:hAnsiTheme="minorHAnsi"/>
            <w:noProof/>
            <w:sz w:val="22"/>
            <w:szCs w:val="22"/>
            <w:lang w:val="cs-CZ" w:eastAsia="cs-CZ"/>
          </w:rPr>
          <w:tab/>
        </w:r>
        <w:r w:rsidR="00E63EFF" w:rsidRPr="00943BA1">
          <w:rPr>
            <w:rStyle w:val="Hypertextovodkaz"/>
            <w:noProof/>
          </w:rPr>
          <w:t>Vývoj počtu dosažitelných uchazečů o práci a podílu nezaměstnaných osob (%) v ČR 2005-2020 (roční průměry).</w:t>
        </w:r>
        <w:r w:rsidR="00E63EFF">
          <w:rPr>
            <w:noProof/>
            <w:webHidden/>
          </w:rPr>
          <w:tab/>
        </w:r>
        <w:r w:rsidR="00E63EFF">
          <w:rPr>
            <w:noProof/>
            <w:webHidden/>
          </w:rPr>
          <w:fldChar w:fldCharType="begin"/>
        </w:r>
        <w:r w:rsidR="00E63EFF">
          <w:rPr>
            <w:noProof/>
            <w:webHidden/>
          </w:rPr>
          <w:instrText xml:space="preserve"> PAGEREF _Toc81817653 \h </w:instrText>
        </w:r>
        <w:r w:rsidR="00E63EFF">
          <w:rPr>
            <w:noProof/>
            <w:webHidden/>
          </w:rPr>
        </w:r>
        <w:r w:rsidR="00E63EFF">
          <w:rPr>
            <w:noProof/>
            <w:webHidden/>
          </w:rPr>
          <w:fldChar w:fldCharType="separate"/>
        </w:r>
        <w:r w:rsidR="00E63EFF">
          <w:rPr>
            <w:noProof/>
            <w:webHidden/>
          </w:rPr>
          <w:t>110</w:t>
        </w:r>
        <w:r w:rsidR="00E63EFF">
          <w:rPr>
            <w:noProof/>
            <w:webHidden/>
          </w:rPr>
          <w:fldChar w:fldCharType="end"/>
        </w:r>
      </w:hyperlink>
    </w:p>
    <w:p w14:paraId="2322AA89" w14:textId="0CF1F2A3" w:rsidR="00E63EFF" w:rsidRDefault="003A4538" w:rsidP="0026782D">
      <w:pPr>
        <w:pStyle w:val="Obsah4"/>
        <w:rPr>
          <w:rFonts w:asciiTheme="minorHAnsi" w:eastAsiaTheme="minorEastAsia" w:hAnsiTheme="minorHAnsi"/>
          <w:noProof/>
          <w:sz w:val="22"/>
          <w:szCs w:val="22"/>
          <w:lang w:val="cs-CZ" w:eastAsia="cs-CZ"/>
        </w:rPr>
      </w:pPr>
      <w:hyperlink w:anchor="_Toc81817654" w:history="1">
        <w:r w:rsidR="00E63EFF" w:rsidRPr="00943BA1">
          <w:rPr>
            <w:rStyle w:val="Hypertextovodkaz"/>
            <w:rFonts w:eastAsiaTheme="majorEastAsia"/>
            <w:noProof/>
          </w:rPr>
          <w:t>Obrázek 68</w:t>
        </w:r>
        <w:r w:rsidR="00E63EFF">
          <w:rPr>
            <w:rFonts w:asciiTheme="minorHAnsi" w:eastAsiaTheme="minorEastAsia" w:hAnsiTheme="minorHAnsi"/>
            <w:noProof/>
            <w:sz w:val="22"/>
            <w:szCs w:val="22"/>
            <w:lang w:val="cs-CZ" w:eastAsia="cs-CZ"/>
          </w:rPr>
          <w:tab/>
        </w:r>
        <w:r w:rsidR="00E63EFF" w:rsidRPr="00943BA1">
          <w:rPr>
            <w:rStyle w:val="Hypertextovodkaz"/>
            <w:rFonts w:eastAsiaTheme="majorEastAsia"/>
            <w:noProof/>
          </w:rPr>
          <w:t>Vývoj podílu nezaměstnaných osob ve městě a na venkově ve vybraných měsících let 2015-2020(%)</w:t>
        </w:r>
        <w:r w:rsidR="00E63EFF">
          <w:rPr>
            <w:noProof/>
            <w:webHidden/>
          </w:rPr>
          <w:tab/>
        </w:r>
        <w:r w:rsidR="0026782D">
          <w:rPr>
            <w:noProof/>
            <w:webHidden/>
          </w:rPr>
          <w:tab/>
        </w:r>
        <w:r w:rsidR="00E63EFF">
          <w:rPr>
            <w:noProof/>
            <w:webHidden/>
          </w:rPr>
          <w:fldChar w:fldCharType="begin"/>
        </w:r>
        <w:r w:rsidR="00E63EFF">
          <w:rPr>
            <w:noProof/>
            <w:webHidden/>
          </w:rPr>
          <w:instrText xml:space="preserve"> PAGEREF _Toc81817654 \h </w:instrText>
        </w:r>
        <w:r w:rsidR="00E63EFF">
          <w:rPr>
            <w:noProof/>
            <w:webHidden/>
          </w:rPr>
        </w:r>
        <w:r w:rsidR="00E63EFF">
          <w:rPr>
            <w:noProof/>
            <w:webHidden/>
          </w:rPr>
          <w:fldChar w:fldCharType="separate"/>
        </w:r>
        <w:r w:rsidR="00E63EFF">
          <w:rPr>
            <w:noProof/>
            <w:webHidden/>
          </w:rPr>
          <w:t>111</w:t>
        </w:r>
        <w:r w:rsidR="00E63EFF">
          <w:rPr>
            <w:noProof/>
            <w:webHidden/>
          </w:rPr>
          <w:fldChar w:fldCharType="end"/>
        </w:r>
      </w:hyperlink>
    </w:p>
    <w:p w14:paraId="03F52184" w14:textId="51B19DB9" w:rsidR="00E63EFF" w:rsidRDefault="003A4538" w:rsidP="0026782D">
      <w:pPr>
        <w:pStyle w:val="Obsah4"/>
        <w:rPr>
          <w:rFonts w:asciiTheme="minorHAnsi" w:eastAsiaTheme="minorEastAsia" w:hAnsiTheme="minorHAnsi"/>
          <w:noProof/>
          <w:sz w:val="22"/>
          <w:szCs w:val="22"/>
          <w:lang w:val="cs-CZ" w:eastAsia="cs-CZ"/>
        </w:rPr>
      </w:pPr>
      <w:hyperlink w:anchor="_Toc81817655" w:history="1">
        <w:r w:rsidR="00E63EFF" w:rsidRPr="00943BA1">
          <w:rPr>
            <w:rStyle w:val="Hypertextovodkaz"/>
            <w:rFonts w:eastAsiaTheme="majorEastAsia"/>
            <w:noProof/>
          </w:rPr>
          <w:t>Obrázek 69</w:t>
        </w:r>
        <w:r w:rsidR="00E63EFF">
          <w:rPr>
            <w:rFonts w:asciiTheme="minorHAnsi" w:eastAsiaTheme="minorEastAsia" w:hAnsiTheme="minorHAnsi"/>
            <w:noProof/>
            <w:sz w:val="22"/>
            <w:szCs w:val="22"/>
            <w:lang w:val="cs-CZ" w:eastAsia="cs-CZ"/>
          </w:rPr>
          <w:tab/>
        </w:r>
        <w:r w:rsidR="00E63EFF" w:rsidRPr="00943BA1">
          <w:rPr>
            <w:rStyle w:val="Hypertextovodkaz"/>
            <w:rFonts w:eastAsiaTheme="majorEastAsia"/>
            <w:noProof/>
          </w:rPr>
          <w:t>Počet dosažitelných uchazečů a volných pracovních míst v krajích ČR v roce 2020 (roční průměr)</w:t>
        </w:r>
        <w:r w:rsidR="00E63EFF">
          <w:rPr>
            <w:noProof/>
            <w:webHidden/>
          </w:rPr>
          <w:tab/>
        </w:r>
        <w:r w:rsidR="0026782D">
          <w:rPr>
            <w:noProof/>
            <w:webHidden/>
          </w:rPr>
          <w:tab/>
        </w:r>
        <w:r w:rsidR="0026782D">
          <w:rPr>
            <w:noProof/>
            <w:webHidden/>
          </w:rPr>
          <w:tab/>
        </w:r>
        <w:r w:rsidR="00E63EFF">
          <w:rPr>
            <w:noProof/>
            <w:webHidden/>
          </w:rPr>
          <w:fldChar w:fldCharType="begin"/>
        </w:r>
        <w:r w:rsidR="00E63EFF">
          <w:rPr>
            <w:noProof/>
            <w:webHidden/>
          </w:rPr>
          <w:instrText xml:space="preserve"> PAGEREF _Toc81817655 \h </w:instrText>
        </w:r>
        <w:r w:rsidR="00E63EFF">
          <w:rPr>
            <w:noProof/>
            <w:webHidden/>
          </w:rPr>
        </w:r>
        <w:r w:rsidR="00E63EFF">
          <w:rPr>
            <w:noProof/>
            <w:webHidden/>
          </w:rPr>
          <w:fldChar w:fldCharType="separate"/>
        </w:r>
        <w:r w:rsidR="00E63EFF">
          <w:rPr>
            <w:noProof/>
            <w:webHidden/>
          </w:rPr>
          <w:t>112</w:t>
        </w:r>
        <w:r w:rsidR="00E63EFF">
          <w:rPr>
            <w:noProof/>
            <w:webHidden/>
          </w:rPr>
          <w:fldChar w:fldCharType="end"/>
        </w:r>
      </w:hyperlink>
    </w:p>
    <w:p w14:paraId="6E136CF6" w14:textId="44679AE9" w:rsidR="00E63EFF" w:rsidRDefault="003A4538" w:rsidP="0026782D">
      <w:pPr>
        <w:pStyle w:val="Obsah4"/>
        <w:rPr>
          <w:rFonts w:asciiTheme="minorHAnsi" w:eastAsiaTheme="minorEastAsia" w:hAnsiTheme="minorHAnsi"/>
          <w:noProof/>
          <w:sz w:val="22"/>
          <w:szCs w:val="22"/>
          <w:lang w:val="cs-CZ" w:eastAsia="cs-CZ"/>
        </w:rPr>
      </w:pPr>
      <w:hyperlink w:anchor="_Toc81817656" w:history="1">
        <w:r w:rsidR="00E63EFF" w:rsidRPr="00943BA1">
          <w:rPr>
            <w:rStyle w:val="Hypertextovodkaz"/>
            <w:rFonts w:eastAsiaTheme="majorEastAsia"/>
            <w:noProof/>
          </w:rPr>
          <w:t>Obrázek 70</w:t>
        </w:r>
        <w:r w:rsidR="00E63EFF">
          <w:rPr>
            <w:rFonts w:asciiTheme="minorHAnsi" w:eastAsiaTheme="minorEastAsia" w:hAnsiTheme="minorHAnsi"/>
            <w:noProof/>
            <w:sz w:val="22"/>
            <w:szCs w:val="22"/>
            <w:lang w:val="cs-CZ" w:eastAsia="cs-CZ"/>
          </w:rPr>
          <w:tab/>
        </w:r>
        <w:r w:rsidR="00E63EFF" w:rsidRPr="00943BA1">
          <w:rPr>
            <w:rStyle w:val="Hypertextovodkaz"/>
            <w:rFonts w:eastAsiaTheme="majorEastAsia"/>
            <w:noProof/>
          </w:rPr>
          <w:t>Vývoj ročních průměrů PNO v krajích ČR 2005-20 (%)</w:t>
        </w:r>
        <w:r w:rsidR="00E63EFF">
          <w:rPr>
            <w:noProof/>
            <w:webHidden/>
          </w:rPr>
          <w:tab/>
        </w:r>
        <w:r w:rsidR="00E63EFF">
          <w:rPr>
            <w:noProof/>
            <w:webHidden/>
          </w:rPr>
          <w:fldChar w:fldCharType="begin"/>
        </w:r>
        <w:r w:rsidR="00E63EFF">
          <w:rPr>
            <w:noProof/>
            <w:webHidden/>
          </w:rPr>
          <w:instrText xml:space="preserve"> PAGEREF _Toc81817656 \h </w:instrText>
        </w:r>
        <w:r w:rsidR="00E63EFF">
          <w:rPr>
            <w:noProof/>
            <w:webHidden/>
          </w:rPr>
        </w:r>
        <w:r w:rsidR="00E63EFF">
          <w:rPr>
            <w:noProof/>
            <w:webHidden/>
          </w:rPr>
          <w:fldChar w:fldCharType="separate"/>
        </w:r>
        <w:r w:rsidR="00E63EFF">
          <w:rPr>
            <w:noProof/>
            <w:webHidden/>
          </w:rPr>
          <w:t>112</w:t>
        </w:r>
        <w:r w:rsidR="00E63EFF">
          <w:rPr>
            <w:noProof/>
            <w:webHidden/>
          </w:rPr>
          <w:fldChar w:fldCharType="end"/>
        </w:r>
      </w:hyperlink>
    </w:p>
    <w:p w14:paraId="7A48196B" w14:textId="366B67C1" w:rsidR="00E63EFF" w:rsidRDefault="003A4538" w:rsidP="0026782D">
      <w:pPr>
        <w:pStyle w:val="Obsah4"/>
        <w:rPr>
          <w:rFonts w:asciiTheme="minorHAnsi" w:eastAsiaTheme="minorEastAsia" w:hAnsiTheme="minorHAnsi"/>
          <w:noProof/>
          <w:sz w:val="22"/>
          <w:szCs w:val="22"/>
          <w:lang w:val="cs-CZ" w:eastAsia="cs-CZ"/>
        </w:rPr>
      </w:pPr>
      <w:hyperlink w:anchor="_Toc81817657" w:history="1">
        <w:r w:rsidR="00E63EFF" w:rsidRPr="00943BA1">
          <w:rPr>
            <w:rStyle w:val="Hypertextovodkaz"/>
            <w:rFonts w:eastAsiaTheme="majorEastAsia"/>
            <w:noProof/>
          </w:rPr>
          <w:t>Obrázek 71</w:t>
        </w:r>
        <w:r w:rsidR="00E63EFF">
          <w:rPr>
            <w:rFonts w:asciiTheme="minorHAnsi" w:eastAsiaTheme="minorEastAsia" w:hAnsiTheme="minorHAnsi"/>
            <w:noProof/>
            <w:sz w:val="22"/>
            <w:szCs w:val="22"/>
            <w:lang w:val="cs-CZ" w:eastAsia="cs-CZ"/>
          </w:rPr>
          <w:tab/>
        </w:r>
        <w:r w:rsidR="00E63EFF" w:rsidRPr="00943BA1">
          <w:rPr>
            <w:rStyle w:val="Hypertextovodkaz"/>
            <w:rFonts w:eastAsiaTheme="majorEastAsia"/>
            <w:noProof/>
          </w:rPr>
          <w:t>Počty dosažitelných uchazečů o práci a volných pracovních míst ve městech a na venkově v ČR ve vybraných měsících let 2015-20120</w:t>
        </w:r>
        <w:r w:rsidR="00E63EFF">
          <w:rPr>
            <w:noProof/>
            <w:webHidden/>
          </w:rPr>
          <w:tab/>
        </w:r>
        <w:r w:rsidR="00E63EFF">
          <w:rPr>
            <w:noProof/>
            <w:webHidden/>
          </w:rPr>
          <w:fldChar w:fldCharType="begin"/>
        </w:r>
        <w:r w:rsidR="00E63EFF">
          <w:rPr>
            <w:noProof/>
            <w:webHidden/>
          </w:rPr>
          <w:instrText xml:space="preserve"> PAGEREF _Toc81817657 \h </w:instrText>
        </w:r>
        <w:r w:rsidR="00E63EFF">
          <w:rPr>
            <w:noProof/>
            <w:webHidden/>
          </w:rPr>
        </w:r>
        <w:r w:rsidR="00E63EFF">
          <w:rPr>
            <w:noProof/>
            <w:webHidden/>
          </w:rPr>
          <w:fldChar w:fldCharType="separate"/>
        </w:r>
        <w:r w:rsidR="00E63EFF">
          <w:rPr>
            <w:noProof/>
            <w:webHidden/>
          </w:rPr>
          <w:t>114</w:t>
        </w:r>
        <w:r w:rsidR="00E63EFF">
          <w:rPr>
            <w:noProof/>
            <w:webHidden/>
          </w:rPr>
          <w:fldChar w:fldCharType="end"/>
        </w:r>
      </w:hyperlink>
    </w:p>
    <w:p w14:paraId="3B04080C" w14:textId="6773285E" w:rsidR="00E63EFF" w:rsidRDefault="003A4538" w:rsidP="0026782D">
      <w:pPr>
        <w:pStyle w:val="Obsah4"/>
        <w:rPr>
          <w:rFonts w:asciiTheme="minorHAnsi" w:eastAsiaTheme="minorEastAsia" w:hAnsiTheme="minorHAnsi"/>
          <w:noProof/>
          <w:sz w:val="22"/>
          <w:szCs w:val="22"/>
          <w:lang w:val="cs-CZ" w:eastAsia="cs-CZ"/>
        </w:rPr>
      </w:pPr>
      <w:hyperlink w:anchor="_Toc81817658" w:history="1">
        <w:r w:rsidR="00E63EFF" w:rsidRPr="00943BA1">
          <w:rPr>
            <w:rStyle w:val="Hypertextovodkaz"/>
            <w:rFonts w:eastAsiaTheme="majorEastAsia"/>
            <w:noProof/>
          </w:rPr>
          <w:t>Obrázek 72</w:t>
        </w:r>
        <w:r w:rsidR="00E63EFF">
          <w:rPr>
            <w:rFonts w:asciiTheme="minorHAnsi" w:eastAsiaTheme="minorEastAsia" w:hAnsiTheme="minorHAnsi"/>
            <w:noProof/>
            <w:sz w:val="22"/>
            <w:szCs w:val="22"/>
            <w:lang w:val="cs-CZ" w:eastAsia="cs-CZ"/>
          </w:rPr>
          <w:tab/>
        </w:r>
        <w:r w:rsidR="00E63EFF" w:rsidRPr="00943BA1">
          <w:rPr>
            <w:rStyle w:val="Hypertextovodkaz"/>
            <w:rFonts w:eastAsiaTheme="majorEastAsia"/>
            <w:noProof/>
          </w:rPr>
          <w:t>Počet dosažitelných uchazečů o práci na jedno volné pracovní místo ve městě a na venkově v ČR ve vybraných měsících let 2015-20120</w:t>
        </w:r>
        <w:r w:rsidR="00E63EFF">
          <w:rPr>
            <w:noProof/>
            <w:webHidden/>
          </w:rPr>
          <w:tab/>
        </w:r>
        <w:r w:rsidR="00E63EFF">
          <w:rPr>
            <w:noProof/>
            <w:webHidden/>
          </w:rPr>
          <w:fldChar w:fldCharType="begin"/>
        </w:r>
        <w:r w:rsidR="00E63EFF">
          <w:rPr>
            <w:noProof/>
            <w:webHidden/>
          </w:rPr>
          <w:instrText xml:space="preserve"> PAGEREF _Toc81817658 \h </w:instrText>
        </w:r>
        <w:r w:rsidR="00E63EFF">
          <w:rPr>
            <w:noProof/>
            <w:webHidden/>
          </w:rPr>
        </w:r>
        <w:r w:rsidR="00E63EFF">
          <w:rPr>
            <w:noProof/>
            <w:webHidden/>
          </w:rPr>
          <w:fldChar w:fldCharType="separate"/>
        </w:r>
        <w:r w:rsidR="00E63EFF">
          <w:rPr>
            <w:noProof/>
            <w:webHidden/>
          </w:rPr>
          <w:t>115</w:t>
        </w:r>
        <w:r w:rsidR="00E63EFF">
          <w:rPr>
            <w:noProof/>
            <w:webHidden/>
          </w:rPr>
          <w:fldChar w:fldCharType="end"/>
        </w:r>
      </w:hyperlink>
    </w:p>
    <w:p w14:paraId="24B576AC" w14:textId="1A5B08C1" w:rsidR="00E63EFF" w:rsidRDefault="003A4538" w:rsidP="0026782D">
      <w:pPr>
        <w:pStyle w:val="Obsah4"/>
        <w:rPr>
          <w:rFonts w:asciiTheme="minorHAnsi" w:eastAsiaTheme="minorEastAsia" w:hAnsiTheme="minorHAnsi"/>
          <w:noProof/>
          <w:sz w:val="22"/>
          <w:szCs w:val="22"/>
          <w:lang w:val="cs-CZ" w:eastAsia="cs-CZ"/>
        </w:rPr>
      </w:pPr>
      <w:hyperlink w:anchor="_Toc81817659" w:history="1">
        <w:r w:rsidR="00E63EFF" w:rsidRPr="00943BA1">
          <w:rPr>
            <w:rStyle w:val="Hypertextovodkaz"/>
            <w:rFonts w:eastAsiaTheme="majorEastAsia"/>
            <w:noProof/>
          </w:rPr>
          <w:t>Obrázek 73</w:t>
        </w:r>
        <w:r w:rsidR="00E63EFF">
          <w:rPr>
            <w:rFonts w:asciiTheme="minorHAnsi" w:eastAsiaTheme="minorEastAsia" w:hAnsiTheme="minorHAnsi"/>
            <w:noProof/>
            <w:sz w:val="22"/>
            <w:szCs w:val="22"/>
            <w:lang w:val="cs-CZ" w:eastAsia="cs-CZ"/>
          </w:rPr>
          <w:tab/>
        </w:r>
        <w:r w:rsidR="00E63EFF" w:rsidRPr="00943BA1">
          <w:rPr>
            <w:rStyle w:val="Hypertextovodkaz"/>
            <w:rFonts w:eastAsiaTheme="majorEastAsia"/>
            <w:noProof/>
          </w:rPr>
          <w:t>Počet dosažitelných uchazečů a volných pracovních míst ve velikostních skupinách obcí ČR v roce 2020 roční průměr)</w:t>
        </w:r>
        <w:r w:rsidR="00E63EFF">
          <w:rPr>
            <w:noProof/>
            <w:webHidden/>
          </w:rPr>
          <w:tab/>
        </w:r>
        <w:r w:rsidR="00E63EFF">
          <w:rPr>
            <w:noProof/>
            <w:webHidden/>
          </w:rPr>
          <w:fldChar w:fldCharType="begin"/>
        </w:r>
        <w:r w:rsidR="00E63EFF">
          <w:rPr>
            <w:noProof/>
            <w:webHidden/>
          </w:rPr>
          <w:instrText xml:space="preserve"> PAGEREF _Toc81817659 \h </w:instrText>
        </w:r>
        <w:r w:rsidR="00E63EFF">
          <w:rPr>
            <w:noProof/>
            <w:webHidden/>
          </w:rPr>
        </w:r>
        <w:r w:rsidR="00E63EFF">
          <w:rPr>
            <w:noProof/>
            <w:webHidden/>
          </w:rPr>
          <w:fldChar w:fldCharType="separate"/>
        </w:r>
        <w:r w:rsidR="00E63EFF">
          <w:rPr>
            <w:noProof/>
            <w:webHidden/>
          </w:rPr>
          <w:t>116</w:t>
        </w:r>
        <w:r w:rsidR="00E63EFF">
          <w:rPr>
            <w:noProof/>
            <w:webHidden/>
          </w:rPr>
          <w:fldChar w:fldCharType="end"/>
        </w:r>
      </w:hyperlink>
    </w:p>
    <w:p w14:paraId="609674CE" w14:textId="4DC268FB" w:rsidR="00E63EFF" w:rsidRDefault="003A4538" w:rsidP="0026782D">
      <w:pPr>
        <w:pStyle w:val="Obsah4"/>
        <w:rPr>
          <w:rFonts w:asciiTheme="minorHAnsi" w:eastAsiaTheme="minorEastAsia" w:hAnsiTheme="minorHAnsi"/>
          <w:noProof/>
          <w:sz w:val="22"/>
          <w:szCs w:val="22"/>
          <w:lang w:val="cs-CZ" w:eastAsia="cs-CZ"/>
        </w:rPr>
      </w:pPr>
      <w:hyperlink w:anchor="_Toc81817660" w:history="1">
        <w:r w:rsidR="00E63EFF" w:rsidRPr="00943BA1">
          <w:rPr>
            <w:rStyle w:val="Hypertextovodkaz"/>
            <w:noProof/>
          </w:rPr>
          <w:t>Obrázek 74</w:t>
        </w:r>
        <w:r w:rsidR="00E63EFF">
          <w:rPr>
            <w:rFonts w:asciiTheme="minorHAnsi" w:eastAsiaTheme="minorEastAsia" w:hAnsiTheme="minorHAnsi"/>
            <w:noProof/>
            <w:sz w:val="22"/>
            <w:szCs w:val="22"/>
            <w:lang w:val="cs-CZ" w:eastAsia="cs-CZ"/>
          </w:rPr>
          <w:tab/>
        </w:r>
        <w:r w:rsidR="00E63EFF" w:rsidRPr="00943BA1">
          <w:rPr>
            <w:rStyle w:val="Hypertextovodkaz"/>
            <w:noProof/>
          </w:rPr>
          <w:t>Vývoj průměrných mezd dle typologie městských a venkovských regionů (NUTS3) v letech 2011-2019 (Kč)</w:t>
        </w:r>
        <w:r w:rsidR="00E63EFF">
          <w:rPr>
            <w:noProof/>
            <w:webHidden/>
          </w:rPr>
          <w:tab/>
        </w:r>
        <w:r w:rsidR="00E63EFF">
          <w:rPr>
            <w:noProof/>
            <w:webHidden/>
          </w:rPr>
          <w:fldChar w:fldCharType="begin"/>
        </w:r>
        <w:r w:rsidR="00E63EFF">
          <w:rPr>
            <w:noProof/>
            <w:webHidden/>
          </w:rPr>
          <w:instrText xml:space="preserve"> PAGEREF _Toc81817660 \h </w:instrText>
        </w:r>
        <w:r w:rsidR="00E63EFF">
          <w:rPr>
            <w:noProof/>
            <w:webHidden/>
          </w:rPr>
        </w:r>
        <w:r w:rsidR="00E63EFF">
          <w:rPr>
            <w:noProof/>
            <w:webHidden/>
          </w:rPr>
          <w:fldChar w:fldCharType="separate"/>
        </w:r>
        <w:r w:rsidR="00E63EFF">
          <w:rPr>
            <w:noProof/>
            <w:webHidden/>
          </w:rPr>
          <w:t>119</w:t>
        </w:r>
        <w:r w:rsidR="00E63EFF">
          <w:rPr>
            <w:noProof/>
            <w:webHidden/>
          </w:rPr>
          <w:fldChar w:fldCharType="end"/>
        </w:r>
      </w:hyperlink>
    </w:p>
    <w:p w14:paraId="070BF841" w14:textId="360F0533" w:rsidR="00E63EFF" w:rsidRDefault="003A4538" w:rsidP="0026782D">
      <w:pPr>
        <w:pStyle w:val="Obsah4"/>
        <w:rPr>
          <w:rFonts w:asciiTheme="minorHAnsi" w:eastAsiaTheme="minorEastAsia" w:hAnsiTheme="minorHAnsi"/>
          <w:noProof/>
          <w:sz w:val="22"/>
          <w:szCs w:val="22"/>
          <w:lang w:val="cs-CZ" w:eastAsia="cs-CZ"/>
        </w:rPr>
      </w:pPr>
      <w:hyperlink w:anchor="_Toc81817661" w:history="1">
        <w:r w:rsidR="00E63EFF" w:rsidRPr="00943BA1">
          <w:rPr>
            <w:rStyle w:val="Hypertextovodkaz"/>
            <w:noProof/>
          </w:rPr>
          <w:t>Obrázek 75</w:t>
        </w:r>
        <w:r w:rsidR="00E63EFF">
          <w:rPr>
            <w:rFonts w:asciiTheme="minorHAnsi" w:eastAsiaTheme="minorEastAsia" w:hAnsiTheme="minorHAnsi"/>
            <w:noProof/>
            <w:sz w:val="22"/>
            <w:szCs w:val="22"/>
            <w:lang w:val="cs-CZ" w:eastAsia="cs-CZ"/>
          </w:rPr>
          <w:tab/>
        </w:r>
        <w:r w:rsidR="00E63EFF" w:rsidRPr="00943BA1">
          <w:rPr>
            <w:rStyle w:val="Hypertextovodkaz"/>
            <w:noProof/>
          </w:rPr>
          <w:t>Vývoj mediánů mezd dle typologie městských a venkovských regionů (NUTS3) v letech 2011-2019 (Kč)</w:t>
        </w:r>
        <w:r w:rsidR="00E63EFF">
          <w:rPr>
            <w:noProof/>
            <w:webHidden/>
          </w:rPr>
          <w:tab/>
        </w:r>
        <w:r w:rsidR="00E63EFF">
          <w:rPr>
            <w:noProof/>
            <w:webHidden/>
          </w:rPr>
          <w:fldChar w:fldCharType="begin"/>
        </w:r>
        <w:r w:rsidR="00E63EFF">
          <w:rPr>
            <w:noProof/>
            <w:webHidden/>
          </w:rPr>
          <w:instrText xml:space="preserve"> PAGEREF _Toc81817661 \h </w:instrText>
        </w:r>
        <w:r w:rsidR="00E63EFF">
          <w:rPr>
            <w:noProof/>
            <w:webHidden/>
          </w:rPr>
        </w:r>
        <w:r w:rsidR="00E63EFF">
          <w:rPr>
            <w:noProof/>
            <w:webHidden/>
          </w:rPr>
          <w:fldChar w:fldCharType="separate"/>
        </w:r>
        <w:r w:rsidR="00E63EFF">
          <w:rPr>
            <w:noProof/>
            <w:webHidden/>
          </w:rPr>
          <w:t>120</w:t>
        </w:r>
        <w:r w:rsidR="00E63EFF">
          <w:rPr>
            <w:noProof/>
            <w:webHidden/>
          </w:rPr>
          <w:fldChar w:fldCharType="end"/>
        </w:r>
      </w:hyperlink>
    </w:p>
    <w:p w14:paraId="713F7AED" w14:textId="7822BBFB" w:rsidR="00E63EFF" w:rsidRDefault="003A4538" w:rsidP="0026782D">
      <w:pPr>
        <w:pStyle w:val="Obsah4"/>
        <w:rPr>
          <w:rFonts w:asciiTheme="minorHAnsi" w:eastAsiaTheme="minorEastAsia" w:hAnsiTheme="minorHAnsi"/>
          <w:noProof/>
          <w:sz w:val="22"/>
          <w:szCs w:val="22"/>
          <w:lang w:val="cs-CZ" w:eastAsia="cs-CZ"/>
        </w:rPr>
      </w:pPr>
      <w:hyperlink w:anchor="_Toc81817662" w:history="1">
        <w:r w:rsidR="00E63EFF" w:rsidRPr="00943BA1">
          <w:rPr>
            <w:rStyle w:val="Hypertextovodkaz"/>
            <w:noProof/>
          </w:rPr>
          <w:t>Obrázek 76</w:t>
        </w:r>
        <w:r w:rsidR="00E63EFF">
          <w:rPr>
            <w:rFonts w:asciiTheme="minorHAnsi" w:eastAsiaTheme="minorEastAsia" w:hAnsiTheme="minorHAnsi"/>
            <w:noProof/>
            <w:sz w:val="22"/>
            <w:szCs w:val="22"/>
            <w:lang w:val="cs-CZ" w:eastAsia="cs-CZ"/>
          </w:rPr>
          <w:tab/>
        </w:r>
        <w:r w:rsidR="00E63EFF" w:rsidRPr="00943BA1">
          <w:rPr>
            <w:rStyle w:val="Hypertextovodkaz"/>
            <w:noProof/>
          </w:rPr>
          <w:t>Průměrné mzdy v krajích regionu soudržnosti Praha a Střední Čechy v zemědělství, průmyslu a NH (v Kč)</w:t>
        </w:r>
        <w:r w:rsidR="00E63EFF">
          <w:rPr>
            <w:noProof/>
            <w:webHidden/>
          </w:rPr>
          <w:tab/>
        </w:r>
        <w:r w:rsidR="00E63EFF">
          <w:rPr>
            <w:noProof/>
            <w:webHidden/>
          </w:rPr>
          <w:fldChar w:fldCharType="begin"/>
        </w:r>
        <w:r w:rsidR="00E63EFF">
          <w:rPr>
            <w:noProof/>
            <w:webHidden/>
          </w:rPr>
          <w:instrText xml:space="preserve"> PAGEREF _Toc81817662 \h </w:instrText>
        </w:r>
        <w:r w:rsidR="00E63EFF">
          <w:rPr>
            <w:noProof/>
            <w:webHidden/>
          </w:rPr>
        </w:r>
        <w:r w:rsidR="00E63EFF">
          <w:rPr>
            <w:noProof/>
            <w:webHidden/>
          </w:rPr>
          <w:fldChar w:fldCharType="separate"/>
        </w:r>
        <w:r w:rsidR="00E63EFF">
          <w:rPr>
            <w:noProof/>
            <w:webHidden/>
          </w:rPr>
          <w:t>121</w:t>
        </w:r>
        <w:r w:rsidR="00E63EFF">
          <w:rPr>
            <w:noProof/>
            <w:webHidden/>
          </w:rPr>
          <w:fldChar w:fldCharType="end"/>
        </w:r>
      </w:hyperlink>
    </w:p>
    <w:p w14:paraId="2B5BC179" w14:textId="06F7DA3F" w:rsidR="00E63EFF" w:rsidRDefault="003A4538" w:rsidP="0026782D">
      <w:pPr>
        <w:pStyle w:val="Obsah4"/>
        <w:rPr>
          <w:rFonts w:asciiTheme="minorHAnsi" w:eastAsiaTheme="minorEastAsia" w:hAnsiTheme="minorHAnsi"/>
          <w:noProof/>
          <w:sz w:val="22"/>
          <w:szCs w:val="22"/>
          <w:lang w:val="cs-CZ" w:eastAsia="cs-CZ"/>
        </w:rPr>
      </w:pPr>
      <w:hyperlink w:anchor="_Toc81817663" w:history="1">
        <w:r w:rsidR="00E63EFF" w:rsidRPr="00943BA1">
          <w:rPr>
            <w:rStyle w:val="Hypertextovodkaz"/>
            <w:noProof/>
          </w:rPr>
          <w:t>Obrázek 77</w:t>
        </w:r>
        <w:r w:rsidR="00E63EFF">
          <w:rPr>
            <w:rFonts w:asciiTheme="minorHAnsi" w:eastAsiaTheme="minorEastAsia" w:hAnsiTheme="minorHAnsi"/>
            <w:noProof/>
            <w:sz w:val="22"/>
            <w:szCs w:val="22"/>
            <w:lang w:val="cs-CZ" w:eastAsia="cs-CZ"/>
          </w:rPr>
          <w:tab/>
        </w:r>
        <w:r w:rsidR="00E63EFF" w:rsidRPr="00943BA1">
          <w:rPr>
            <w:rStyle w:val="Hypertextovodkaz"/>
            <w:noProof/>
          </w:rPr>
          <w:t>Průměrné mzdy v krajích regionu soudržnosti Jihozápad v zemědělství, průmyslu a NH (v Kč)</w:t>
        </w:r>
        <w:r w:rsidR="00E63EFF">
          <w:rPr>
            <w:noProof/>
            <w:webHidden/>
          </w:rPr>
          <w:tab/>
        </w:r>
        <w:r w:rsidR="00E63EFF">
          <w:rPr>
            <w:noProof/>
            <w:webHidden/>
          </w:rPr>
          <w:fldChar w:fldCharType="begin"/>
        </w:r>
        <w:r w:rsidR="00E63EFF">
          <w:rPr>
            <w:noProof/>
            <w:webHidden/>
          </w:rPr>
          <w:instrText xml:space="preserve"> PAGEREF _Toc81817663 \h </w:instrText>
        </w:r>
        <w:r w:rsidR="00E63EFF">
          <w:rPr>
            <w:noProof/>
            <w:webHidden/>
          </w:rPr>
        </w:r>
        <w:r w:rsidR="00E63EFF">
          <w:rPr>
            <w:noProof/>
            <w:webHidden/>
          </w:rPr>
          <w:fldChar w:fldCharType="separate"/>
        </w:r>
        <w:r w:rsidR="00E63EFF">
          <w:rPr>
            <w:noProof/>
            <w:webHidden/>
          </w:rPr>
          <w:t>122</w:t>
        </w:r>
        <w:r w:rsidR="00E63EFF">
          <w:rPr>
            <w:noProof/>
            <w:webHidden/>
          </w:rPr>
          <w:fldChar w:fldCharType="end"/>
        </w:r>
      </w:hyperlink>
    </w:p>
    <w:p w14:paraId="7A19FDAB" w14:textId="6793A32D" w:rsidR="00E63EFF" w:rsidRDefault="003A4538" w:rsidP="0026782D">
      <w:pPr>
        <w:pStyle w:val="Obsah4"/>
        <w:rPr>
          <w:rFonts w:asciiTheme="minorHAnsi" w:eastAsiaTheme="minorEastAsia" w:hAnsiTheme="minorHAnsi"/>
          <w:noProof/>
          <w:sz w:val="22"/>
          <w:szCs w:val="22"/>
          <w:lang w:val="cs-CZ" w:eastAsia="cs-CZ"/>
        </w:rPr>
      </w:pPr>
      <w:hyperlink w:anchor="_Toc81817664" w:history="1">
        <w:r w:rsidR="00E63EFF" w:rsidRPr="00943BA1">
          <w:rPr>
            <w:rStyle w:val="Hypertextovodkaz"/>
            <w:noProof/>
          </w:rPr>
          <w:t>Obrázek 78</w:t>
        </w:r>
        <w:r w:rsidR="00E63EFF">
          <w:rPr>
            <w:rFonts w:asciiTheme="minorHAnsi" w:eastAsiaTheme="minorEastAsia" w:hAnsiTheme="minorHAnsi"/>
            <w:noProof/>
            <w:sz w:val="22"/>
            <w:szCs w:val="22"/>
            <w:lang w:val="cs-CZ" w:eastAsia="cs-CZ"/>
          </w:rPr>
          <w:tab/>
        </w:r>
        <w:r w:rsidR="00E63EFF" w:rsidRPr="00943BA1">
          <w:rPr>
            <w:rStyle w:val="Hypertextovodkaz"/>
            <w:noProof/>
          </w:rPr>
          <w:t>Průměrné mzdy v krajích regionu soudržnosti Severozápad v zemědělství, průmyslu a NH (v Kč)</w:t>
        </w:r>
        <w:r w:rsidR="00E63EFF">
          <w:rPr>
            <w:noProof/>
            <w:webHidden/>
          </w:rPr>
          <w:tab/>
        </w:r>
        <w:r w:rsidR="0026782D">
          <w:rPr>
            <w:noProof/>
            <w:webHidden/>
          </w:rPr>
          <w:tab/>
        </w:r>
        <w:r w:rsidR="0026782D">
          <w:rPr>
            <w:noProof/>
            <w:webHidden/>
          </w:rPr>
          <w:tab/>
        </w:r>
        <w:r w:rsidR="00E63EFF">
          <w:rPr>
            <w:noProof/>
            <w:webHidden/>
          </w:rPr>
          <w:fldChar w:fldCharType="begin"/>
        </w:r>
        <w:r w:rsidR="00E63EFF">
          <w:rPr>
            <w:noProof/>
            <w:webHidden/>
          </w:rPr>
          <w:instrText xml:space="preserve"> PAGEREF _Toc81817664 \h </w:instrText>
        </w:r>
        <w:r w:rsidR="00E63EFF">
          <w:rPr>
            <w:noProof/>
            <w:webHidden/>
          </w:rPr>
        </w:r>
        <w:r w:rsidR="00E63EFF">
          <w:rPr>
            <w:noProof/>
            <w:webHidden/>
          </w:rPr>
          <w:fldChar w:fldCharType="separate"/>
        </w:r>
        <w:r w:rsidR="00E63EFF">
          <w:rPr>
            <w:noProof/>
            <w:webHidden/>
          </w:rPr>
          <w:t>123</w:t>
        </w:r>
        <w:r w:rsidR="00E63EFF">
          <w:rPr>
            <w:noProof/>
            <w:webHidden/>
          </w:rPr>
          <w:fldChar w:fldCharType="end"/>
        </w:r>
      </w:hyperlink>
    </w:p>
    <w:p w14:paraId="52258A99" w14:textId="25E7DA81" w:rsidR="00E63EFF" w:rsidRDefault="003A4538" w:rsidP="0026782D">
      <w:pPr>
        <w:pStyle w:val="Obsah4"/>
        <w:rPr>
          <w:rFonts w:asciiTheme="minorHAnsi" w:eastAsiaTheme="minorEastAsia" w:hAnsiTheme="minorHAnsi"/>
          <w:noProof/>
          <w:sz w:val="22"/>
          <w:szCs w:val="22"/>
          <w:lang w:val="cs-CZ" w:eastAsia="cs-CZ"/>
        </w:rPr>
      </w:pPr>
      <w:hyperlink w:anchor="_Toc81817665" w:history="1">
        <w:r w:rsidR="00E63EFF" w:rsidRPr="00943BA1">
          <w:rPr>
            <w:rStyle w:val="Hypertextovodkaz"/>
            <w:noProof/>
          </w:rPr>
          <w:t>Obrázek 79</w:t>
        </w:r>
        <w:r w:rsidR="00E63EFF">
          <w:rPr>
            <w:rFonts w:asciiTheme="minorHAnsi" w:eastAsiaTheme="minorEastAsia" w:hAnsiTheme="minorHAnsi"/>
            <w:noProof/>
            <w:sz w:val="22"/>
            <w:szCs w:val="22"/>
            <w:lang w:val="cs-CZ" w:eastAsia="cs-CZ"/>
          </w:rPr>
          <w:tab/>
        </w:r>
        <w:r w:rsidR="00E63EFF" w:rsidRPr="00943BA1">
          <w:rPr>
            <w:rStyle w:val="Hypertextovodkaz"/>
            <w:noProof/>
          </w:rPr>
          <w:t>Průměrné mzdy v krajích regionu soudržnosti Severovýchod v zemědělství, průmyslu a NH (v Kč)</w:t>
        </w:r>
        <w:r w:rsidR="00E63EFF">
          <w:rPr>
            <w:noProof/>
            <w:webHidden/>
          </w:rPr>
          <w:tab/>
        </w:r>
        <w:r w:rsidR="0026782D">
          <w:rPr>
            <w:noProof/>
            <w:webHidden/>
          </w:rPr>
          <w:tab/>
        </w:r>
        <w:r w:rsidR="00E63EFF">
          <w:rPr>
            <w:noProof/>
            <w:webHidden/>
          </w:rPr>
          <w:fldChar w:fldCharType="begin"/>
        </w:r>
        <w:r w:rsidR="00E63EFF">
          <w:rPr>
            <w:noProof/>
            <w:webHidden/>
          </w:rPr>
          <w:instrText xml:space="preserve"> PAGEREF _Toc81817665 \h </w:instrText>
        </w:r>
        <w:r w:rsidR="00E63EFF">
          <w:rPr>
            <w:noProof/>
            <w:webHidden/>
          </w:rPr>
        </w:r>
        <w:r w:rsidR="00E63EFF">
          <w:rPr>
            <w:noProof/>
            <w:webHidden/>
          </w:rPr>
          <w:fldChar w:fldCharType="separate"/>
        </w:r>
        <w:r w:rsidR="00E63EFF">
          <w:rPr>
            <w:noProof/>
            <w:webHidden/>
          </w:rPr>
          <w:t>124</w:t>
        </w:r>
        <w:r w:rsidR="00E63EFF">
          <w:rPr>
            <w:noProof/>
            <w:webHidden/>
          </w:rPr>
          <w:fldChar w:fldCharType="end"/>
        </w:r>
      </w:hyperlink>
    </w:p>
    <w:p w14:paraId="0542E4A1" w14:textId="4D251F0D" w:rsidR="00E63EFF" w:rsidRDefault="003A4538" w:rsidP="0026782D">
      <w:pPr>
        <w:pStyle w:val="Obsah4"/>
        <w:rPr>
          <w:rFonts w:asciiTheme="minorHAnsi" w:eastAsiaTheme="minorEastAsia" w:hAnsiTheme="minorHAnsi"/>
          <w:noProof/>
          <w:sz w:val="22"/>
          <w:szCs w:val="22"/>
          <w:lang w:val="cs-CZ" w:eastAsia="cs-CZ"/>
        </w:rPr>
      </w:pPr>
      <w:hyperlink w:anchor="_Toc81817666" w:history="1">
        <w:r w:rsidR="00E63EFF" w:rsidRPr="00943BA1">
          <w:rPr>
            <w:rStyle w:val="Hypertextovodkaz"/>
            <w:noProof/>
          </w:rPr>
          <w:t>Obrázek 80</w:t>
        </w:r>
        <w:r w:rsidR="00E63EFF">
          <w:rPr>
            <w:rFonts w:asciiTheme="minorHAnsi" w:eastAsiaTheme="minorEastAsia" w:hAnsiTheme="minorHAnsi"/>
            <w:noProof/>
            <w:sz w:val="22"/>
            <w:szCs w:val="22"/>
            <w:lang w:val="cs-CZ" w:eastAsia="cs-CZ"/>
          </w:rPr>
          <w:tab/>
        </w:r>
        <w:r w:rsidR="00E63EFF" w:rsidRPr="00943BA1">
          <w:rPr>
            <w:rStyle w:val="Hypertextovodkaz"/>
            <w:noProof/>
          </w:rPr>
          <w:t>Průměrné mzdy v krajích regionu soudržnosti Jihovýchod v zemědělství, průmyslu a NH (v Kč)</w:t>
        </w:r>
        <w:r w:rsidR="00E63EFF">
          <w:rPr>
            <w:noProof/>
            <w:webHidden/>
          </w:rPr>
          <w:tab/>
        </w:r>
        <w:r w:rsidR="0026782D">
          <w:rPr>
            <w:noProof/>
            <w:webHidden/>
          </w:rPr>
          <w:tab/>
        </w:r>
        <w:r w:rsidR="0026782D">
          <w:rPr>
            <w:noProof/>
            <w:webHidden/>
          </w:rPr>
          <w:tab/>
        </w:r>
        <w:r w:rsidR="00E63EFF">
          <w:rPr>
            <w:noProof/>
            <w:webHidden/>
          </w:rPr>
          <w:fldChar w:fldCharType="begin"/>
        </w:r>
        <w:r w:rsidR="00E63EFF">
          <w:rPr>
            <w:noProof/>
            <w:webHidden/>
          </w:rPr>
          <w:instrText xml:space="preserve"> PAGEREF _Toc81817666 \h </w:instrText>
        </w:r>
        <w:r w:rsidR="00E63EFF">
          <w:rPr>
            <w:noProof/>
            <w:webHidden/>
          </w:rPr>
        </w:r>
        <w:r w:rsidR="00E63EFF">
          <w:rPr>
            <w:noProof/>
            <w:webHidden/>
          </w:rPr>
          <w:fldChar w:fldCharType="separate"/>
        </w:r>
        <w:r w:rsidR="00E63EFF">
          <w:rPr>
            <w:noProof/>
            <w:webHidden/>
          </w:rPr>
          <w:t>125</w:t>
        </w:r>
        <w:r w:rsidR="00E63EFF">
          <w:rPr>
            <w:noProof/>
            <w:webHidden/>
          </w:rPr>
          <w:fldChar w:fldCharType="end"/>
        </w:r>
      </w:hyperlink>
    </w:p>
    <w:p w14:paraId="7249AE2E" w14:textId="560121B6" w:rsidR="00E63EFF" w:rsidRDefault="003A4538" w:rsidP="0026782D">
      <w:pPr>
        <w:pStyle w:val="Obsah4"/>
        <w:rPr>
          <w:rFonts w:asciiTheme="minorHAnsi" w:eastAsiaTheme="minorEastAsia" w:hAnsiTheme="minorHAnsi"/>
          <w:noProof/>
          <w:sz w:val="22"/>
          <w:szCs w:val="22"/>
          <w:lang w:val="cs-CZ" w:eastAsia="cs-CZ"/>
        </w:rPr>
      </w:pPr>
      <w:hyperlink w:anchor="_Toc81817667" w:history="1">
        <w:r w:rsidR="00E63EFF" w:rsidRPr="00943BA1">
          <w:rPr>
            <w:rStyle w:val="Hypertextovodkaz"/>
            <w:noProof/>
          </w:rPr>
          <w:t>Obrázek 81</w:t>
        </w:r>
        <w:r w:rsidR="00E63EFF">
          <w:rPr>
            <w:rFonts w:asciiTheme="minorHAnsi" w:eastAsiaTheme="minorEastAsia" w:hAnsiTheme="minorHAnsi"/>
            <w:noProof/>
            <w:sz w:val="22"/>
            <w:szCs w:val="22"/>
            <w:lang w:val="cs-CZ" w:eastAsia="cs-CZ"/>
          </w:rPr>
          <w:tab/>
        </w:r>
        <w:r w:rsidR="00E63EFF" w:rsidRPr="00943BA1">
          <w:rPr>
            <w:rStyle w:val="Hypertextovodkaz"/>
            <w:noProof/>
          </w:rPr>
          <w:t>Průměrné mzdy v krajích regionu soudržnosti Střední Morava a Moravskoslezsko v zemědělství, průmyslu a NH (v Kč)</w:t>
        </w:r>
        <w:r w:rsidR="00E63EFF">
          <w:rPr>
            <w:noProof/>
            <w:webHidden/>
          </w:rPr>
          <w:tab/>
        </w:r>
        <w:r w:rsidR="00E63EFF">
          <w:rPr>
            <w:noProof/>
            <w:webHidden/>
          </w:rPr>
          <w:fldChar w:fldCharType="begin"/>
        </w:r>
        <w:r w:rsidR="00E63EFF">
          <w:rPr>
            <w:noProof/>
            <w:webHidden/>
          </w:rPr>
          <w:instrText xml:space="preserve"> PAGEREF _Toc81817667 \h </w:instrText>
        </w:r>
        <w:r w:rsidR="00E63EFF">
          <w:rPr>
            <w:noProof/>
            <w:webHidden/>
          </w:rPr>
        </w:r>
        <w:r w:rsidR="00E63EFF">
          <w:rPr>
            <w:noProof/>
            <w:webHidden/>
          </w:rPr>
          <w:fldChar w:fldCharType="separate"/>
        </w:r>
        <w:r w:rsidR="00E63EFF">
          <w:rPr>
            <w:noProof/>
            <w:webHidden/>
          </w:rPr>
          <w:t>126</w:t>
        </w:r>
        <w:r w:rsidR="00E63EFF">
          <w:rPr>
            <w:noProof/>
            <w:webHidden/>
          </w:rPr>
          <w:fldChar w:fldCharType="end"/>
        </w:r>
      </w:hyperlink>
    </w:p>
    <w:p w14:paraId="0FAC15AC" w14:textId="714E9DE5" w:rsidR="00E63EFF" w:rsidRDefault="003A4538" w:rsidP="0026782D">
      <w:pPr>
        <w:pStyle w:val="Obsah4"/>
        <w:rPr>
          <w:rFonts w:asciiTheme="minorHAnsi" w:eastAsiaTheme="minorEastAsia" w:hAnsiTheme="minorHAnsi"/>
          <w:noProof/>
          <w:sz w:val="22"/>
          <w:szCs w:val="22"/>
          <w:lang w:val="cs-CZ" w:eastAsia="cs-CZ"/>
        </w:rPr>
      </w:pPr>
      <w:hyperlink w:anchor="_Toc81817668" w:history="1">
        <w:r w:rsidR="00E63EFF" w:rsidRPr="00943BA1">
          <w:rPr>
            <w:rStyle w:val="Hypertextovodkaz"/>
            <w:noProof/>
          </w:rPr>
          <w:t>Obrázek 82</w:t>
        </w:r>
        <w:r w:rsidR="00E63EFF">
          <w:rPr>
            <w:rFonts w:asciiTheme="minorHAnsi" w:eastAsiaTheme="minorEastAsia" w:hAnsiTheme="minorHAnsi"/>
            <w:noProof/>
            <w:sz w:val="22"/>
            <w:szCs w:val="22"/>
            <w:lang w:val="cs-CZ" w:eastAsia="cs-CZ"/>
          </w:rPr>
          <w:tab/>
        </w:r>
        <w:r w:rsidR="00E63EFF" w:rsidRPr="00943BA1">
          <w:rPr>
            <w:rStyle w:val="Hypertextovodkaz"/>
            <w:noProof/>
          </w:rPr>
          <w:t>Souhrnný ukazatel rizika chudoby nebo sociálního vyloučení v ČR v letech 2005–2019</w:t>
        </w:r>
        <w:r w:rsidR="00E63EFF">
          <w:rPr>
            <w:noProof/>
            <w:webHidden/>
          </w:rPr>
          <w:tab/>
        </w:r>
        <w:r w:rsidR="00E63EFF">
          <w:rPr>
            <w:noProof/>
            <w:webHidden/>
          </w:rPr>
          <w:fldChar w:fldCharType="begin"/>
        </w:r>
        <w:r w:rsidR="00E63EFF">
          <w:rPr>
            <w:noProof/>
            <w:webHidden/>
          </w:rPr>
          <w:instrText xml:space="preserve"> PAGEREF _Toc81817668 \h </w:instrText>
        </w:r>
        <w:r w:rsidR="00E63EFF">
          <w:rPr>
            <w:noProof/>
            <w:webHidden/>
          </w:rPr>
        </w:r>
        <w:r w:rsidR="00E63EFF">
          <w:rPr>
            <w:noProof/>
            <w:webHidden/>
          </w:rPr>
          <w:fldChar w:fldCharType="separate"/>
        </w:r>
        <w:r w:rsidR="00E63EFF">
          <w:rPr>
            <w:noProof/>
            <w:webHidden/>
          </w:rPr>
          <w:t>128</w:t>
        </w:r>
        <w:r w:rsidR="00E63EFF">
          <w:rPr>
            <w:noProof/>
            <w:webHidden/>
          </w:rPr>
          <w:fldChar w:fldCharType="end"/>
        </w:r>
      </w:hyperlink>
    </w:p>
    <w:p w14:paraId="57C81DCE" w14:textId="6588EE26" w:rsidR="00E63EFF" w:rsidRDefault="003A4538" w:rsidP="0026782D">
      <w:pPr>
        <w:pStyle w:val="Obsah4"/>
        <w:rPr>
          <w:rFonts w:asciiTheme="minorHAnsi" w:eastAsiaTheme="minorEastAsia" w:hAnsiTheme="minorHAnsi"/>
          <w:noProof/>
          <w:sz w:val="22"/>
          <w:szCs w:val="22"/>
          <w:lang w:val="cs-CZ" w:eastAsia="cs-CZ"/>
        </w:rPr>
      </w:pPr>
      <w:hyperlink w:anchor="_Toc81817669" w:history="1">
        <w:r w:rsidR="00E63EFF" w:rsidRPr="00943BA1">
          <w:rPr>
            <w:rStyle w:val="Hypertextovodkaz"/>
            <w:noProof/>
          </w:rPr>
          <w:t>Obrázek 83</w:t>
        </w:r>
        <w:r w:rsidR="00E63EFF">
          <w:rPr>
            <w:rFonts w:asciiTheme="minorHAnsi" w:eastAsiaTheme="minorEastAsia" w:hAnsiTheme="minorHAnsi"/>
            <w:noProof/>
            <w:sz w:val="22"/>
            <w:szCs w:val="22"/>
            <w:lang w:val="cs-CZ" w:eastAsia="cs-CZ"/>
          </w:rPr>
          <w:tab/>
        </w:r>
        <w:r w:rsidR="00E63EFF" w:rsidRPr="00943BA1">
          <w:rPr>
            <w:rStyle w:val="Hypertextovodkaz"/>
            <w:noProof/>
          </w:rPr>
          <w:t>Souhrnný ukazatel rizika chudoby nebo sociálního vyloučení v jednotlivých NUTS2 v letech 2005–2019</w:t>
        </w:r>
        <w:r w:rsidR="00E63EFF">
          <w:rPr>
            <w:noProof/>
            <w:webHidden/>
          </w:rPr>
          <w:tab/>
        </w:r>
        <w:r w:rsidR="00E63EFF">
          <w:rPr>
            <w:noProof/>
            <w:webHidden/>
          </w:rPr>
          <w:fldChar w:fldCharType="begin"/>
        </w:r>
        <w:r w:rsidR="00E63EFF">
          <w:rPr>
            <w:noProof/>
            <w:webHidden/>
          </w:rPr>
          <w:instrText xml:space="preserve"> PAGEREF _Toc81817669 \h </w:instrText>
        </w:r>
        <w:r w:rsidR="00E63EFF">
          <w:rPr>
            <w:noProof/>
            <w:webHidden/>
          </w:rPr>
        </w:r>
        <w:r w:rsidR="00E63EFF">
          <w:rPr>
            <w:noProof/>
            <w:webHidden/>
          </w:rPr>
          <w:fldChar w:fldCharType="separate"/>
        </w:r>
        <w:r w:rsidR="00E63EFF">
          <w:rPr>
            <w:noProof/>
            <w:webHidden/>
          </w:rPr>
          <w:t>129</w:t>
        </w:r>
        <w:r w:rsidR="00E63EFF">
          <w:rPr>
            <w:noProof/>
            <w:webHidden/>
          </w:rPr>
          <w:fldChar w:fldCharType="end"/>
        </w:r>
      </w:hyperlink>
    </w:p>
    <w:p w14:paraId="332C5C20" w14:textId="0612CA53" w:rsidR="00E63EFF" w:rsidRDefault="003A4538" w:rsidP="0026782D">
      <w:pPr>
        <w:pStyle w:val="Obsah4"/>
        <w:rPr>
          <w:rFonts w:asciiTheme="minorHAnsi" w:eastAsiaTheme="minorEastAsia" w:hAnsiTheme="minorHAnsi"/>
          <w:noProof/>
          <w:sz w:val="22"/>
          <w:szCs w:val="22"/>
          <w:lang w:val="cs-CZ" w:eastAsia="cs-CZ"/>
        </w:rPr>
      </w:pPr>
      <w:hyperlink w:anchor="_Toc81817670" w:history="1">
        <w:r w:rsidR="00E63EFF" w:rsidRPr="00943BA1">
          <w:rPr>
            <w:rStyle w:val="Hypertextovodkaz"/>
            <w:noProof/>
          </w:rPr>
          <w:t>Obrázek 84</w:t>
        </w:r>
        <w:r w:rsidR="00E63EFF">
          <w:rPr>
            <w:rFonts w:asciiTheme="minorHAnsi" w:eastAsiaTheme="minorEastAsia" w:hAnsiTheme="minorHAnsi"/>
            <w:noProof/>
            <w:sz w:val="22"/>
            <w:szCs w:val="22"/>
            <w:lang w:val="cs-CZ" w:eastAsia="cs-CZ"/>
          </w:rPr>
          <w:tab/>
        </w:r>
        <w:r w:rsidR="00E63EFF" w:rsidRPr="00943BA1">
          <w:rPr>
            <w:rStyle w:val="Hypertextovodkaz"/>
            <w:noProof/>
          </w:rPr>
          <w:t>Vývoj míry ohrožení příjmovou chudobou v ČR v letech 2005–2020</w:t>
        </w:r>
        <w:r w:rsidR="00E63EFF">
          <w:rPr>
            <w:noProof/>
            <w:webHidden/>
          </w:rPr>
          <w:tab/>
        </w:r>
        <w:r w:rsidR="00E63EFF">
          <w:rPr>
            <w:noProof/>
            <w:webHidden/>
          </w:rPr>
          <w:fldChar w:fldCharType="begin"/>
        </w:r>
        <w:r w:rsidR="00E63EFF">
          <w:rPr>
            <w:noProof/>
            <w:webHidden/>
          </w:rPr>
          <w:instrText xml:space="preserve"> PAGEREF _Toc81817670 \h </w:instrText>
        </w:r>
        <w:r w:rsidR="00E63EFF">
          <w:rPr>
            <w:noProof/>
            <w:webHidden/>
          </w:rPr>
        </w:r>
        <w:r w:rsidR="00E63EFF">
          <w:rPr>
            <w:noProof/>
            <w:webHidden/>
          </w:rPr>
          <w:fldChar w:fldCharType="separate"/>
        </w:r>
        <w:r w:rsidR="00E63EFF">
          <w:rPr>
            <w:noProof/>
            <w:webHidden/>
          </w:rPr>
          <w:t>129</w:t>
        </w:r>
        <w:r w:rsidR="00E63EFF">
          <w:rPr>
            <w:noProof/>
            <w:webHidden/>
          </w:rPr>
          <w:fldChar w:fldCharType="end"/>
        </w:r>
      </w:hyperlink>
    </w:p>
    <w:p w14:paraId="47D70DDE" w14:textId="5F49E09E" w:rsidR="00E63EFF" w:rsidRDefault="003A4538" w:rsidP="0026782D">
      <w:pPr>
        <w:pStyle w:val="Obsah4"/>
        <w:rPr>
          <w:rFonts w:asciiTheme="minorHAnsi" w:eastAsiaTheme="minorEastAsia" w:hAnsiTheme="minorHAnsi"/>
          <w:noProof/>
          <w:sz w:val="22"/>
          <w:szCs w:val="22"/>
          <w:lang w:val="cs-CZ" w:eastAsia="cs-CZ"/>
        </w:rPr>
      </w:pPr>
      <w:hyperlink w:anchor="_Toc81817671" w:history="1">
        <w:r w:rsidR="00E63EFF" w:rsidRPr="00943BA1">
          <w:rPr>
            <w:rStyle w:val="Hypertextovodkaz"/>
            <w:noProof/>
          </w:rPr>
          <w:t>Obrázek 85</w:t>
        </w:r>
        <w:r w:rsidR="00E63EFF">
          <w:rPr>
            <w:rFonts w:asciiTheme="minorHAnsi" w:eastAsiaTheme="minorEastAsia" w:hAnsiTheme="minorHAnsi"/>
            <w:noProof/>
            <w:sz w:val="22"/>
            <w:szCs w:val="22"/>
            <w:lang w:val="cs-CZ" w:eastAsia="cs-CZ"/>
          </w:rPr>
          <w:tab/>
        </w:r>
        <w:r w:rsidR="00E63EFF" w:rsidRPr="00943BA1">
          <w:rPr>
            <w:rStyle w:val="Hypertextovodkaz"/>
            <w:noProof/>
          </w:rPr>
          <w:t>Vývoj ohrožení příjmovou chudobou v jednotlivých NUTS2 v letech 2005–2019</w:t>
        </w:r>
        <w:r w:rsidR="00E63EFF">
          <w:rPr>
            <w:noProof/>
            <w:webHidden/>
          </w:rPr>
          <w:tab/>
        </w:r>
        <w:r w:rsidR="00E63EFF">
          <w:rPr>
            <w:noProof/>
            <w:webHidden/>
          </w:rPr>
          <w:fldChar w:fldCharType="begin"/>
        </w:r>
        <w:r w:rsidR="00E63EFF">
          <w:rPr>
            <w:noProof/>
            <w:webHidden/>
          </w:rPr>
          <w:instrText xml:space="preserve"> PAGEREF _Toc81817671 \h </w:instrText>
        </w:r>
        <w:r w:rsidR="00E63EFF">
          <w:rPr>
            <w:noProof/>
            <w:webHidden/>
          </w:rPr>
        </w:r>
        <w:r w:rsidR="00E63EFF">
          <w:rPr>
            <w:noProof/>
            <w:webHidden/>
          </w:rPr>
          <w:fldChar w:fldCharType="separate"/>
        </w:r>
        <w:r w:rsidR="00E63EFF">
          <w:rPr>
            <w:noProof/>
            <w:webHidden/>
          </w:rPr>
          <w:t>130</w:t>
        </w:r>
        <w:r w:rsidR="00E63EFF">
          <w:rPr>
            <w:noProof/>
            <w:webHidden/>
          </w:rPr>
          <w:fldChar w:fldCharType="end"/>
        </w:r>
      </w:hyperlink>
    </w:p>
    <w:p w14:paraId="203BDA1D" w14:textId="7EFA4641" w:rsidR="00E63EFF" w:rsidRDefault="003A4538" w:rsidP="0026782D">
      <w:pPr>
        <w:pStyle w:val="Obsah4"/>
        <w:rPr>
          <w:rFonts w:asciiTheme="minorHAnsi" w:eastAsiaTheme="minorEastAsia" w:hAnsiTheme="minorHAnsi"/>
          <w:noProof/>
          <w:sz w:val="22"/>
          <w:szCs w:val="22"/>
          <w:lang w:val="cs-CZ" w:eastAsia="cs-CZ"/>
        </w:rPr>
      </w:pPr>
      <w:hyperlink w:anchor="_Toc81817672" w:history="1">
        <w:r w:rsidR="00E63EFF" w:rsidRPr="00943BA1">
          <w:rPr>
            <w:rStyle w:val="Hypertextovodkaz"/>
            <w:noProof/>
          </w:rPr>
          <w:t>Obrázek 86</w:t>
        </w:r>
        <w:r w:rsidR="00E63EFF">
          <w:rPr>
            <w:rFonts w:asciiTheme="minorHAnsi" w:eastAsiaTheme="minorEastAsia" w:hAnsiTheme="minorHAnsi"/>
            <w:noProof/>
            <w:sz w:val="22"/>
            <w:szCs w:val="22"/>
            <w:lang w:val="cs-CZ" w:eastAsia="cs-CZ"/>
          </w:rPr>
          <w:tab/>
        </w:r>
        <w:r w:rsidR="00E63EFF" w:rsidRPr="00943BA1">
          <w:rPr>
            <w:rStyle w:val="Hypertextovodkaz"/>
            <w:noProof/>
          </w:rPr>
          <w:t>Vývoj celkové míry materiální deprivace v ČR v letech 2005–2020</w:t>
        </w:r>
        <w:r w:rsidR="00E63EFF">
          <w:rPr>
            <w:noProof/>
            <w:webHidden/>
          </w:rPr>
          <w:tab/>
        </w:r>
        <w:r w:rsidR="00E63EFF">
          <w:rPr>
            <w:noProof/>
            <w:webHidden/>
          </w:rPr>
          <w:fldChar w:fldCharType="begin"/>
        </w:r>
        <w:r w:rsidR="00E63EFF">
          <w:rPr>
            <w:noProof/>
            <w:webHidden/>
          </w:rPr>
          <w:instrText xml:space="preserve"> PAGEREF _Toc81817672 \h </w:instrText>
        </w:r>
        <w:r w:rsidR="00E63EFF">
          <w:rPr>
            <w:noProof/>
            <w:webHidden/>
          </w:rPr>
        </w:r>
        <w:r w:rsidR="00E63EFF">
          <w:rPr>
            <w:noProof/>
            <w:webHidden/>
          </w:rPr>
          <w:fldChar w:fldCharType="separate"/>
        </w:r>
        <w:r w:rsidR="00E63EFF">
          <w:rPr>
            <w:noProof/>
            <w:webHidden/>
          </w:rPr>
          <w:t>131</w:t>
        </w:r>
        <w:r w:rsidR="00E63EFF">
          <w:rPr>
            <w:noProof/>
            <w:webHidden/>
          </w:rPr>
          <w:fldChar w:fldCharType="end"/>
        </w:r>
      </w:hyperlink>
    </w:p>
    <w:p w14:paraId="332B438F" w14:textId="39DE4485" w:rsidR="00E63EFF" w:rsidRDefault="003A4538" w:rsidP="0026782D">
      <w:pPr>
        <w:pStyle w:val="Obsah4"/>
        <w:rPr>
          <w:rFonts w:asciiTheme="minorHAnsi" w:eastAsiaTheme="minorEastAsia" w:hAnsiTheme="minorHAnsi"/>
          <w:noProof/>
          <w:sz w:val="22"/>
          <w:szCs w:val="22"/>
          <w:lang w:val="cs-CZ" w:eastAsia="cs-CZ"/>
        </w:rPr>
      </w:pPr>
      <w:hyperlink w:anchor="_Toc81817673" w:history="1">
        <w:r w:rsidR="00E63EFF" w:rsidRPr="00943BA1">
          <w:rPr>
            <w:rStyle w:val="Hypertextovodkaz"/>
            <w:noProof/>
          </w:rPr>
          <w:t>Obrázek 87</w:t>
        </w:r>
        <w:r w:rsidR="00E63EFF">
          <w:rPr>
            <w:rFonts w:asciiTheme="minorHAnsi" w:eastAsiaTheme="minorEastAsia" w:hAnsiTheme="minorHAnsi"/>
            <w:noProof/>
            <w:sz w:val="22"/>
            <w:szCs w:val="22"/>
            <w:lang w:val="cs-CZ" w:eastAsia="cs-CZ"/>
          </w:rPr>
          <w:tab/>
        </w:r>
        <w:r w:rsidR="00E63EFF" w:rsidRPr="00943BA1">
          <w:rPr>
            <w:rStyle w:val="Hypertextovodkaz"/>
            <w:noProof/>
          </w:rPr>
          <w:t>Vývoj míry materiální deprivace v jednotlivých NUTS 2 v letech 2005–2019</w:t>
        </w:r>
        <w:r w:rsidR="00E63EFF">
          <w:rPr>
            <w:noProof/>
            <w:webHidden/>
          </w:rPr>
          <w:tab/>
        </w:r>
        <w:r w:rsidR="00E63EFF">
          <w:rPr>
            <w:noProof/>
            <w:webHidden/>
          </w:rPr>
          <w:fldChar w:fldCharType="begin"/>
        </w:r>
        <w:r w:rsidR="00E63EFF">
          <w:rPr>
            <w:noProof/>
            <w:webHidden/>
          </w:rPr>
          <w:instrText xml:space="preserve"> PAGEREF _Toc81817673 \h </w:instrText>
        </w:r>
        <w:r w:rsidR="00E63EFF">
          <w:rPr>
            <w:noProof/>
            <w:webHidden/>
          </w:rPr>
        </w:r>
        <w:r w:rsidR="00E63EFF">
          <w:rPr>
            <w:noProof/>
            <w:webHidden/>
          </w:rPr>
          <w:fldChar w:fldCharType="separate"/>
        </w:r>
        <w:r w:rsidR="00E63EFF">
          <w:rPr>
            <w:noProof/>
            <w:webHidden/>
          </w:rPr>
          <w:t>131</w:t>
        </w:r>
        <w:r w:rsidR="00E63EFF">
          <w:rPr>
            <w:noProof/>
            <w:webHidden/>
          </w:rPr>
          <w:fldChar w:fldCharType="end"/>
        </w:r>
      </w:hyperlink>
    </w:p>
    <w:p w14:paraId="1DCB8132" w14:textId="3BE169DE" w:rsidR="00E63EFF" w:rsidRDefault="003A4538" w:rsidP="0026782D">
      <w:pPr>
        <w:pStyle w:val="Obsah4"/>
        <w:rPr>
          <w:rFonts w:asciiTheme="minorHAnsi" w:eastAsiaTheme="minorEastAsia" w:hAnsiTheme="minorHAnsi"/>
          <w:noProof/>
          <w:sz w:val="22"/>
          <w:szCs w:val="22"/>
          <w:lang w:val="cs-CZ" w:eastAsia="cs-CZ"/>
        </w:rPr>
      </w:pPr>
      <w:hyperlink w:anchor="_Toc81817674" w:history="1">
        <w:r w:rsidR="00E63EFF" w:rsidRPr="00943BA1">
          <w:rPr>
            <w:rStyle w:val="Hypertextovodkaz"/>
            <w:noProof/>
          </w:rPr>
          <w:t>Obrázek 88</w:t>
        </w:r>
        <w:r w:rsidR="00E63EFF">
          <w:rPr>
            <w:rFonts w:asciiTheme="minorHAnsi" w:eastAsiaTheme="minorEastAsia" w:hAnsiTheme="minorHAnsi"/>
            <w:noProof/>
            <w:sz w:val="22"/>
            <w:szCs w:val="22"/>
            <w:lang w:val="cs-CZ" w:eastAsia="cs-CZ"/>
          </w:rPr>
          <w:tab/>
        </w:r>
        <w:r w:rsidR="00E63EFF" w:rsidRPr="00943BA1">
          <w:rPr>
            <w:rStyle w:val="Hypertextovodkaz"/>
            <w:noProof/>
          </w:rPr>
          <w:t>Vývoj celkové míry nízké pracovní intenzity v ČR v letech 2005–2019</w:t>
        </w:r>
        <w:r w:rsidR="00E63EFF">
          <w:rPr>
            <w:noProof/>
            <w:webHidden/>
          </w:rPr>
          <w:tab/>
        </w:r>
        <w:r w:rsidR="00E63EFF">
          <w:rPr>
            <w:noProof/>
            <w:webHidden/>
          </w:rPr>
          <w:fldChar w:fldCharType="begin"/>
        </w:r>
        <w:r w:rsidR="00E63EFF">
          <w:rPr>
            <w:noProof/>
            <w:webHidden/>
          </w:rPr>
          <w:instrText xml:space="preserve"> PAGEREF _Toc81817674 \h </w:instrText>
        </w:r>
        <w:r w:rsidR="00E63EFF">
          <w:rPr>
            <w:noProof/>
            <w:webHidden/>
          </w:rPr>
        </w:r>
        <w:r w:rsidR="00E63EFF">
          <w:rPr>
            <w:noProof/>
            <w:webHidden/>
          </w:rPr>
          <w:fldChar w:fldCharType="separate"/>
        </w:r>
        <w:r w:rsidR="00E63EFF">
          <w:rPr>
            <w:noProof/>
            <w:webHidden/>
          </w:rPr>
          <w:t>133</w:t>
        </w:r>
        <w:r w:rsidR="00E63EFF">
          <w:rPr>
            <w:noProof/>
            <w:webHidden/>
          </w:rPr>
          <w:fldChar w:fldCharType="end"/>
        </w:r>
      </w:hyperlink>
    </w:p>
    <w:p w14:paraId="23281024" w14:textId="61A65546" w:rsidR="00E63EFF" w:rsidRDefault="003A4538" w:rsidP="0026782D">
      <w:pPr>
        <w:pStyle w:val="Obsah4"/>
        <w:rPr>
          <w:rFonts w:asciiTheme="minorHAnsi" w:eastAsiaTheme="minorEastAsia" w:hAnsiTheme="minorHAnsi"/>
          <w:noProof/>
          <w:sz w:val="22"/>
          <w:szCs w:val="22"/>
          <w:lang w:val="cs-CZ" w:eastAsia="cs-CZ"/>
        </w:rPr>
      </w:pPr>
      <w:hyperlink w:anchor="_Toc81817675" w:history="1">
        <w:r w:rsidR="00E63EFF" w:rsidRPr="00943BA1">
          <w:rPr>
            <w:rStyle w:val="Hypertextovodkaz"/>
            <w:noProof/>
          </w:rPr>
          <w:t>Obrázek 89</w:t>
        </w:r>
        <w:r w:rsidR="00E63EFF">
          <w:rPr>
            <w:rFonts w:asciiTheme="minorHAnsi" w:eastAsiaTheme="minorEastAsia" w:hAnsiTheme="minorHAnsi"/>
            <w:noProof/>
            <w:sz w:val="22"/>
            <w:szCs w:val="22"/>
            <w:lang w:val="cs-CZ" w:eastAsia="cs-CZ"/>
          </w:rPr>
          <w:tab/>
        </w:r>
        <w:r w:rsidR="00E63EFF" w:rsidRPr="00943BA1">
          <w:rPr>
            <w:rStyle w:val="Hypertextovodkaz"/>
            <w:noProof/>
          </w:rPr>
          <w:t>Vývoj nízké pracovní intenzity v jednotlivých NUTS 2 v letech 2005–2019</w:t>
        </w:r>
        <w:r w:rsidR="00E63EFF">
          <w:rPr>
            <w:noProof/>
            <w:webHidden/>
          </w:rPr>
          <w:tab/>
        </w:r>
        <w:r w:rsidR="00E63EFF">
          <w:rPr>
            <w:noProof/>
            <w:webHidden/>
          </w:rPr>
          <w:fldChar w:fldCharType="begin"/>
        </w:r>
        <w:r w:rsidR="00E63EFF">
          <w:rPr>
            <w:noProof/>
            <w:webHidden/>
          </w:rPr>
          <w:instrText xml:space="preserve"> PAGEREF _Toc81817675 \h </w:instrText>
        </w:r>
        <w:r w:rsidR="00E63EFF">
          <w:rPr>
            <w:noProof/>
            <w:webHidden/>
          </w:rPr>
        </w:r>
        <w:r w:rsidR="00E63EFF">
          <w:rPr>
            <w:noProof/>
            <w:webHidden/>
          </w:rPr>
          <w:fldChar w:fldCharType="separate"/>
        </w:r>
        <w:r w:rsidR="00E63EFF">
          <w:rPr>
            <w:noProof/>
            <w:webHidden/>
          </w:rPr>
          <w:t>133</w:t>
        </w:r>
        <w:r w:rsidR="00E63EFF">
          <w:rPr>
            <w:noProof/>
            <w:webHidden/>
          </w:rPr>
          <w:fldChar w:fldCharType="end"/>
        </w:r>
      </w:hyperlink>
    </w:p>
    <w:p w14:paraId="52FFF8AA" w14:textId="5E5749D9" w:rsidR="00E63EFF" w:rsidRDefault="003A4538" w:rsidP="0026782D">
      <w:pPr>
        <w:pStyle w:val="Obsah4"/>
        <w:rPr>
          <w:rFonts w:asciiTheme="minorHAnsi" w:eastAsiaTheme="minorEastAsia" w:hAnsiTheme="minorHAnsi"/>
          <w:noProof/>
          <w:sz w:val="22"/>
          <w:szCs w:val="22"/>
          <w:lang w:val="cs-CZ" w:eastAsia="cs-CZ"/>
        </w:rPr>
      </w:pPr>
      <w:hyperlink w:anchor="_Toc81817676" w:history="1">
        <w:r w:rsidR="00E63EFF" w:rsidRPr="00943BA1">
          <w:rPr>
            <w:rStyle w:val="Hypertextovodkaz"/>
            <w:noProof/>
          </w:rPr>
          <w:t>Obrázek 90</w:t>
        </w:r>
        <w:r w:rsidR="00E63EFF">
          <w:rPr>
            <w:rFonts w:asciiTheme="minorHAnsi" w:eastAsiaTheme="minorEastAsia" w:hAnsiTheme="minorHAnsi"/>
            <w:noProof/>
            <w:sz w:val="22"/>
            <w:szCs w:val="22"/>
            <w:lang w:val="cs-CZ" w:eastAsia="cs-CZ"/>
          </w:rPr>
          <w:tab/>
        </w:r>
        <w:r w:rsidR="00E63EFF" w:rsidRPr="00943BA1">
          <w:rPr>
            <w:rStyle w:val="Hypertextovodkaz"/>
            <w:noProof/>
          </w:rPr>
          <w:t>Potřeby měst a obcí podle krajů</w:t>
        </w:r>
        <w:r w:rsidR="00E63EFF">
          <w:rPr>
            <w:noProof/>
            <w:webHidden/>
          </w:rPr>
          <w:tab/>
        </w:r>
        <w:r w:rsidR="00E63EFF">
          <w:rPr>
            <w:noProof/>
            <w:webHidden/>
          </w:rPr>
          <w:fldChar w:fldCharType="begin"/>
        </w:r>
        <w:r w:rsidR="00E63EFF">
          <w:rPr>
            <w:noProof/>
            <w:webHidden/>
          </w:rPr>
          <w:instrText xml:space="preserve"> PAGEREF _Toc81817676 \h </w:instrText>
        </w:r>
        <w:r w:rsidR="00E63EFF">
          <w:rPr>
            <w:noProof/>
            <w:webHidden/>
          </w:rPr>
        </w:r>
        <w:r w:rsidR="00E63EFF">
          <w:rPr>
            <w:noProof/>
            <w:webHidden/>
          </w:rPr>
          <w:fldChar w:fldCharType="separate"/>
        </w:r>
        <w:r w:rsidR="00E63EFF">
          <w:rPr>
            <w:noProof/>
            <w:webHidden/>
          </w:rPr>
          <w:t>134</w:t>
        </w:r>
        <w:r w:rsidR="00E63EFF">
          <w:rPr>
            <w:noProof/>
            <w:webHidden/>
          </w:rPr>
          <w:fldChar w:fldCharType="end"/>
        </w:r>
      </w:hyperlink>
    </w:p>
    <w:p w14:paraId="40F36574" w14:textId="2C7A5EA0" w:rsidR="00E63EFF" w:rsidRDefault="003A4538" w:rsidP="0026782D">
      <w:pPr>
        <w:pStyle w:val="Obsah4"/>
        <w:rPr>
          <w:rFonts w:asciiTheme="minorHAnsi" w:eastAsiaTheme="minorEastAsia" w:hAnsiTheme="minorHAnsi"/>
          <w:noProof/>
          <w:sz w:val="22"/>
          <w:szCs w:val="22"/>
          <w:lang w:val="cs-CZ" w:eastAsia="cs-CZ"/>
        </w:rPr>
      </w:pPr>
      <w:hyperlink w:anchor="_Toc81817677" w:history="1">
        <w:r w:rsidR="00E63EFF" w:rsidRPr="00943BA1">
          <w:rPr>
            <w:rStyle w:val="Hypertextovodkaz"/>
            <w:noProof/>
          </w:rPr>
          <w:t>Obrázek 91</w:t>
        </w:r>
        <w:r w:rsidR="00E63EFF">
          <w:rPr>
            <w:rFonts w:asciiTheme="minorHAnsi" w:eastAsiaTheme="minorEastAsia" w:hAnsiTheme="minorHAnsi"/>
            <w:noProof/>
            <w:sz w:val="22"/>
            <w:szCs w:val="22"/>
            <w:lang w:val="cs-CZ" w:eastAsia="cs-CZ"/>
          </w:rPr>
          <w:tab/>
        </w:r>
        <w:r w:rsidR="00E63EFF" w:rsidRPr="00943BA1">
          <w:rPr>
            <w:rStyle w:val="Hypertextovodkaz"/>
            <w:noProof/>
          </w:rPr>
          <w:t>Podíl odděleně sbíraných složek na celkové produkci komunálního odpadu v krajích ČR</w:t>
        </w:r>
        <w:r w:rsidR="00E63EFF">
          <w:rPr>
            <w:noProof/>
            <w:webHidden/>
          </w:rPr>
          <w:tab/>
        </w:r>
        <w:r w:rsidR="00E63EFF">
          <w:rPr>
            <w:noProof/>
            <w:webHidden/>
          </w:rPr>
          <w:fldChar w:fldCharType="begin"/>
        </w:r>
        <w:r w:rsidR="00E63EFF">
          <w:rPr>
            <w:noProof/>
            <w:webHidden/>
          </w:rPr>
          <w:instrText xml:space="preserve"> PAGEREF _Toc81817677 \h </w:instrText>
        </w:r>
        <w:r w:rsidR="00E63EFF">
          <w:rPr>
            <w:noProof/>
            <w:webHidden/>
          </w:rPr>
        </w:r>
        <w:r w:rsidR="00E63EFF">
          <w:rPr>
            <w:noProof/>
            <w:webHidden/>
          </w:rPr>
          <w:fldChar w:fldCharType="separate"/>
        </w:r>
        <w:r w:rsidR="00E63EFF">
          <w:rPr>
            <w:noProof/>
            <w:webHidden/>
          </w:rPr>
          <w:t>140</w:t>
        </w:r>
        <w:r w:rsidR="00E63EFF">
          <w:rPr>
            <w:noProof/>
            <w:webHidden/>
          </w:rPr>
          <w:fldChar w:fldCharType="end"/>
        </w:r>
      </w:hyperlink>
    </w:p>
    <w:p w14:paraId="5487E8DC" w14:textId="52034460" w:rsidR="00E63EFF" w:rsidRDefault="003A4538" w:rsidP="0026782D">
      <w:pPr>
        <w:pStyle w:val="Obsah4"/>
        <w:rPr>
          <w:rFonts w:asciiTheme="minorHAnsi" w:eastAsiaTheme="minorEastAsia" w:hAnsiTheme="minorHAnsi"/>
          <w:noProof/>
          <w:sz w:val="22"/>
          <w:szCs w:val="22"/>
          <w:lang w:val="cs-CZ" w:eastAsia="cs-CZ"/>
        </w:rPr>
      </w:pPr>
      <w:hyperlink w:anchor="_Toc81817678" w:history="1">
        <w:r w:rsidR="00E63EFF" w:rsidRPr="00943BA1">
          <w:rPr>
            <w:rStyle w:val="Hypertextovodkaz"/>
            <w:noProof/>
          </w:rPr>
          <w:t>Obrázek 92</w:t>
        </w:r>
        <w:r w:rsidR="00E63EFF">
          <w:rPr>
            <w:rFonts w:asciiTheme="minorHAnsi" w:eastAsiaTheme="minorEastAsia" w:hAnsiTheme="minorHAnsi"/>
            <w:noProof/>
            <w:sz w:val="22"/>
            <w:szCs w:val="22"/>
            <w:lang w:val="cs-CZ" w:eastAsia="cs-CZ"/>
          </w:rPr>
          <w:tab/>
        </w:r>
        <w:r w:rsidR="00E63EFF" w:rsidRPr="00943BA1">
          <w:rPr>
            <w:rStyle w:val="Hypertextovodkaz"/>
            <w:noProof/>
          </w:rPr>
          <w:t>Pokrytí území veřejné širokopásmové mobilní sítě dle typologie městských a venkovských regionů (NUTS3) a operátora (data k 15. 4. 2021)</w:t>
        </w:r>
        <w:r w:rsidR="00E63EFF">
          <w:rPr>
            <w:noProof/>
            <w:webHidden/>
          </w:rPr>
          <w:tab/>
        </w:r>
        <w:r w:rsidR="00E63EFF">
          <w:rPr>
            <w:noProof/>
            <w:webHidden/>
          </w:rPr>
          <w:fldChar w:fldCharType="begin"/>
        </w:r>
        <w:r w:rsidR="00E63EFF">
          <w:rPr>
            <w:noProof/>
            <w:webHidden/>
          </w:rPr>
          <w:instrText xml:space="preserve"> PAGEREF _Toc81817678 \h </w:instrText>
        </w:r>
        <w:r w:rsidR="00E63EFF">
          <w:rPr>
            <w:noProof/>
            <w:webHidden/>
          </w:rPr>
        </w:r>
        <w:r w:rsidR="00E63EFF">
          <w:rPr>
            <w:noProof/>
            <w:webHidden/>
          </w:rPr>
          <w:fldChar w:fldCharType="separate"/>
        </w:r>
        <w:r w:rsidR="00E63EFF">
          <w:rPr>
            <w:noProof/>
            <w:webHidden/>
          </w:rPr>
          <w:t>141</w:t>
        </w:r>
        <w:r w:rsidR="00E63EFF">
          <w:rPr>
            <w:noProof/>
            <w:webHidden/>
          </w:rPr>
          <w:fldChar w:fldCharType="end"/>
        </w:r>
      </w:hyperlink>
    </w:p>
    <w:p w14:paraId="7CFD11F7" w14:textId="4DE4592D" w:rsidR="00E63EFF" w:rsidRDefault="003A4538" w:rsidP="0026782D">
      <w:pPr>
        <w:pStyle w:val="Obsah4"/>
        <w:rPr>
          <w:rFonts w:asciiTheme="minorHAnsi" w:eastAsiaTheme="minorEastAsia" w:hAnsiTheme="minorHAnsi"/>
          <w:noProof/>
          <w:sz w:val="22"/>
          <w:szCs w:val="22"/>
          <w:lang w:val="cs-CZ" w:eastAsia="cs-CZ"/>
        </w:rPr>
      </w:pPr>
      <w:hyperlink w:anchor="_Toc81817679" w:history="1">
        <w:r w:rsidR="00E63EFF" w:rsidRPr="00943BA1">
          <w:rPr>
            <w:rStyle w:val="Hypertextovodkaz"/>
            <w:noProof/>
          </w:rPr>
          <w:t>Obrázek 93</w:t>
        </w:r>
        <w:r w:rsidR="00E63EFF">
          <w:rPr>
            <w:rFonts w:asciiTheme="minorHAnsi" w:eastAsiaTheme="minorEastAsia" w:hAnsiTheme="minorHAnsi"/>
            <w:noProof/>
            <w:sz w:val="22"/>
            <w:szCs w:val="22"/>
            <w:lang w:val="cs-CZ" w:eastAsia="cs-CZ"/>
          </w:rPr>
          <w:tab/>
        </w:r>
        <w:r w:rsidR="00E63EFF" w:rsidRPr="00943BA1">
          <w:rPr>
            <w:rStyle w:val="Hypertextovodkaz"/>
            <w:noProof/>
          </w:rPr>
          <w:t>Podíl bílých, šedých a černých ZSJ na celkových ZSJ dle typologie městských a venkovských regionů (NUTS3) v roce 2019</w:t>
        </w:r>
        <w:r w:rsidR="00E63EFF">
          <w:rPr>
            <w:noProof/>
            <w:webHidden/>
          </w:rPr>
          <w:tab/>
        </w:r>
        <w:r w:rsidR="00E63EFF">
          <w:rPr>
            <w:noProof/>
            <w:webHidden/>
          </w:rPr>
          <w:fldChar w:fldCharType="begin"/>
        </w:r>
        <w:r w:rsidR="00E63EFF">
          <w:rPr>
            <w:noProof/>
            <w:webHidden/>
          </w:rPr>
          <w:instrText xml:space="preserve"> PAGEREF _Toc81817679 \h </w:instrText>
        </w:r>
        <w:r w:rsidR="00E63EFF">
          <w:rPr>
            <w:noProof/>
            <w:webHidden/>
          </w:rPr>
        </w:r>
        <w:r w:rsidR="00E63EFF">
          <w:rPr>
            <w:noProof/>
            <w:webHidden/>
          </w:rPr>
          <w:fldChar w:fldCharType="separate"/>
        </w:r>
        <w:r w:rsidR="00E63EFF">
          <w:rPr>
            <w:noProof/>
            <w:webHidden/>
          </w:rPr>
          <w:t>143</w:t>
        </w:r>
        <w:r w:rsidR="00E63EFF">
          <w:rPr>
            <w:noProof/>
            <w:webHidden/>
          </w:rPr>
          <w:fldChar w:fldCharType="end"/>
        </w:r>
      </w:hyperlink>
    </w:p>
    <w:p w14:paraId="13A72CF7" w14:textId="38ABA122" w:rsidR="00E63EFF" w:rsidRDefault="003A4538" w:rsidP="0026782D">
      <w:pPr>
        <w:pStyle w:val="Obsah4"/>
        <w:rPr>
          <w:rFonts w:asciiTheme="minorHAnsi" w:eastAsiaTheme="minorEastAsia" w:hAnsiTheme="minorHAnsi"/>
          <w:noProof/>
          <w:sz w:val="22"/>
          <w:szCs w:val="22"/>
          <w:lang w:val="cs-CZ" w:eastAsia="cs-CZ"/>
        </w:rPr>
      </w:pPr>
      <w:hyperlink w:anchor="_Toc81817680" w:history="1">
        <w:r w:rsidR="00E63EFF" w:rsidRPr="00943BA1">
          <w:rPr>
            <w:rStyle w:val="Hypertextovodkaz"/>
            <w:noProof/>
          </w:rPr>
          <w:t>Obrázek 94</w:t>
        </w:r>
        <w:r w:rsidR="00E63EFF">
          <w:rPr>
            <w:rFonts w:asciiTheme="minorHAnsi" w:eastAsiaTheme="minorEastAsia" w:hAnsiTheme="minorHAnsi"/>
            <w:noProof/>
            <w:sz w:val="22"/>
            <w:szCs w:val="22"/>
            <w:lang w:val="cs-CZ" w:eastAsia="cs-CZ"/>
          </w:rPr>
          <w:tab/>
        </w:r>
        <w:r w:rsidR="00E63EFF" w:rsidRPr="00943BA1">
          <w:rPr>
            <w:rStyle w:val="Hypertextovodkaz"/>
            <w:noProof/>
          </w:rPr>
          <w:t>Počet ZSJ s pokrytím NGA menším, než 40/50 % dle typologie městských a venkovských regionů (NUTS3) v roce 2016</w:t>
        </w:r>
        <w:r w:rsidR="00E63EFF">
          <w:rPr>
            <w:noProof/>
            <w:webHidden/>
          </w:rPr>
          <w:tab/>
        </w:r>
        <w:r w:rsidR="00E63EFF">
          <w:rPr>
            <w:noProof/>
            <w:webHidden/>
          </w:rPr>
          <w:fldChar w:fldCharType="begin"/>
        </w:r>
        <w:r w:rsidR="00E63EFF">
          <w:rPr>
            <w:noProof/>
            <w:webHidden/>
          </w:rPr>
          <w:instrText xml:space="preserve"> PAGEREF _Toc81817680 \h </w:instrText>
        </w:r>
        <w:r w:rsidR="00E63EFF">
          <w:rPr>
            <w:noProof/>
            <w:webHidden/>
          </w:rPr>
        </w:r>
        <w:r w:rsidR="00E63EFF">
          <w:rPr>
            <w:noProof/>
            <w:webHidden/>
          </w:rPr>
          <w:fldChar w:fldCharType="separate"/>
        </w:r>
        <w:r w:rsidR="00E63EFF">
          <w:rPr>
            <w:noProof/>
            <w:webHidden/>
          </w:rPr>
          <w:t>144</w:t>
        </w:r>
        <w:r w:rsidR="00E63EFF">
          <w:rPr>
            <w:noProof/>
            <w:webHidden/>
          </w:rPr>
          <w:fldChar w:fldCharType="end"/>
        </w:r>
      </w:hyperlink>
    </w:p>
    <w:p w14:paraId="01E0C9B3" w14:textId="0F74B981" w:rsidR="00CA317E" w:rsidRDefault="00E63EFF" w:rsidP="00F777D4">
      <w:pPr>
        <w:spacing w:after="160" w:line="259" w:lineRule="auto"/>
        <w:ind w:left="1134" w:hanging="1134"/>
        <w:jc w:val="left"/>
        <w:rPr>
          <w:rFonts w:eastAsiaTheme="majorEastAsia" w:cstheme="majorBidi"/>
          <w:b/>
          <w:color w:val="000000" w:themeColor="text1"/>
          <w:sz w:val="28"/>
          <w:szCs w:val="32"/>
          <w:lang w:val="cs-CZ" w:eastAsia="cs-CZ"/>
        </w:rPr>
      </w:pPr>
      <w:r>
        <w:fldChar w:fldCharType="end"/>
      </w:r>
      <w:r w:rsidR="00CA317E">
        <w:br w:type="page"/>
      </w:r>
    </w:p>
    <w:p w14:paraId="2864B135" w14:textId="1B936D9C" w:rsidR="00853224" w:rsidRPr="00FF10FF" w:rsidRDefault="00FF10FF" w:rsidP="007A363D">
      <w:pPr>
        <w:pStyle w:val="UZEINadpis1stbezsla"/>
      </w:pPr>
      <w:proofErr w:type="gramStart"/>
      <w:r w:rsidRPr="00FF10FF">
        <w:lastRenderedPageBreak/>
        <w:t>Příloha</w:t>
      </w:r>
      <w:r w:rsidR="00471AE4">
        <w:t xml:space="preserve"> </w:t>
      </w:r>
      <w:r w:rsidR="008C5D6D">
        <w:t>-</w:t>
      </w:r>
      <w:r w:rsidRPr="00FF10FF">
        <w:t xml:space="preserve"> </w:t>
      </w:r>
      <w:r w:rsidR="007A363D" w:rsidRPr="0080085B">
        <w:t>Analýza</w:t>
      </w:r>
      <w:proofErr w:type="gramEnd"/>
      <w:r w:rsidR="007A363D" w:rsidRPr="0080085B">
        <w:t xml:space="preserve"> situace podle tematických oblastí</w:t>
      </w:r>
      <w:bookmarkEnd w:id="249"/>
      <w:bookmarkEnd w:id="250"/>
      <w:bookmarkEnd w:id="251"/>
      <w:bookmarkEnd w:id="252"/>
      <w:r w:rsidR="007A363D">
        <w:t xml:space="preserve"> </w:t>
      </w:r>
    </w:p>
    <w:p w14:paraId="54E94F1A" w14:textId="26C0618D" w:rsidR="00A14B9B" w:rsidRPr="000D63DA" w:rsidRDefault="00363115" w:rsidP="000D63DA">
      <w:pPr>
        <w:pStyle w:val="UZEINadpis4st"/>
      </w:pPr>
      <w:bookmarkStart w:id="253" w:name="_Toc81815677"/>
      <w:bookmarkStart w:id="254" w:name="_Toc81816214"/>
      <w:bookmarkStart w:id="255" w:name="_Toc81817309"/>
      <w:r w:rsidRPr="000D63DA">
        <w:t xml:space="preserve">Příloha </w:t>
      </w:r>
      <w:r w:rsidR="004E7AF4" w:rsidRPr="000D63DA">
        <w:t>1 Úvod</w:t>
      </w:r>
      <w:bookmarkEnd w:id="253"/>
      <w:bookmarkEnd w:id="254"/>
      <w:bookmarkEnd w:id="255"/>
    </w:p>
    <w:p w14:paraId="158C853E" w14:textId="77777777" w:rsidR="00A14B9B" w:rsidRPr="002A0D4F" w:rsidRDefault="00A14B9B" w:rsidP="001303B6">
      <w:pPr>
        <w:pStyle w:val="UZEINormaln"/>
      </w:pPr>
      <w:r w:rsidRPr="002A0D4F">
        <w:t xml:space="preserve">Existuje více přístupů využívaných pro vymezování venkova. Venkovský prostor lze vymezovat na základě velikostní kategorie obcí (počtu trvale bydlících obyvatel), hustoty zalidnění, jiných znaků (např. charakteru sídel, vybavenosti obcí) či negativním vymezením jako protikladu k městu apod. </w:t>
      </w:r>
    </w:p>
    <w:p w14:paraId="4AE06B79" w14:textId="77777777" w:rsidR="00A14B9B" w:rsidRPr="002A0D4F" w:rsidRDefault="00A14B9B" w:rsidP="001303B6">
      <w:pPr>
        <w:pStyle w:val="UZEINormaln"/>
        <w:rPr>
          <w:rFonts w:eastAsiaTheme="minorEastAsia"/>
        </w:rPr>
      </w:pPr>
      <w:r w:rsidRPr="002A0D4F">
        <w:t>Vzhledem k různé dostupnosti statistických dat (indikátorů) za jednotlivé územní celky (obec, okres, kraj, ČR) se v textu setkáme nejčastěji s vymezením venkova na úrovni obcí (za venkovské obce považovány obce do 2000 obyvatel, příp. dle typologie OECD obce s hustotou zalidnění do 150 obyvatel/km</w:t>
      </w:r>
      <w:r w:rsidRPr="002A0D4F">
        <w:rPr>
          <w:vertAlign w:val="superscript"/>
        </w:rPr>
        <w:t>2</w:t>
      </w:r>
      <w:r w:rsidRPr="002A0D4F">
        <w:t xml:space="preserve">) a krajů, kde vycházíme z nové městsko-venkovské typologie regionů NUTS 3 Evropské komise, která </w:t>
      </w:r>
      <w:r w:rsidRPr="002A0D4F">
        <w:rPr>
          <w:rFonts w:eastAsiaTheme="minorEastAsia"/>
        </w:rPr>
        <w:t>rozlišuje regiony na převážně městské, smíšené a převážně venkovské dle hustoty zalidnění na základě rastrových buněk. Podle této typologie patří mezi regiony převážně městské kraj Praha a Středočeský kraj a mezi regiony převážně venkovské kraje Plzeňský, Jihočeský, Vysočina, Pardubický, Olomoucký a Zlínský. Ostatní kraje Karlovarský, Ústecký, Liberecký, Královéhradecký, Jihomoravský a Moravskoslezský jsou smíšené</w:t>
      </w:r>
      <w:r w:rsidRPr="002A0D4F">
        <w:rPr>
          <w:rStyle w:val="Znakapoznpodarou"/>
          <w:rFonts w:eastAsiaTheme="minorEastAsia"/>
        </w:rPr>
        <w:footnoteReference w:id="12"/>
      </w:r>
      <w:r w:rsidRPr="002A0D4F">
        <w:rPr>
          <w:rFonts w:eastAsiaTheme="minorEastAsia"/>
        </w:rPr>
        <w:t>.</w:t>
      </w:r>
    </w:p>
    <w:p w14:paraId="1E87D388" w14:textId="6DC69EC6" w:rsidR="00A14B9B" w:rsidRPr="001303B6" w:rsidRDefault="00A14B9B" w:rsidP="001303B6">
      <w:pPr>
        <w:pStyle w:val="UZEINormaln"/>
      </w:pPr>
      <w:r w:rsidRPr="001303B6">
        <w:t>Dle metodologie OECD tvořilo v roce 2020 venkovský prostor ČR na nejnižší administrativní úrovni (LAU 2) 5332obcí s hustotou zalidnění nižší než 150 obyvatel/km</w:t>
      </w:r>
      <w:r w:rsidRPr="001303B6">
        <w:rPr>
          <w:vertAlign w:val="superscript"/>
        </w:rPr>
        <w:t>2</w:t>
      </w:r>
      <w:r w:rsidRPr="001303B6">
        <w:t>, což představuje 85,2 % z celkového počtu obcí ČR, 81,4 % rozlohy státu, a žilo zde necelých 30 % obyvatelstva (29,5 %)</w:t>
      </w:r>
    </w:p>
    <w:p w14:paraId="0C8DD3A8" w14:textId="77777777" w:rsidR="00A14B9B" w:rsidRPr="002A0D4F" w:rsidRDefault="00A14B9B" w:rsidP="001303B6">
      <w:pPr>
        <w:pStyle w:val="UZEINormaln"/>
      </w:pPr>
      <w:r w:rsidRPr="002A0D4F">
        <w:t xml:space="preserve">Dle tradičního vymezení venkovských obcí v ČR (jako obcí do 2 000 obyvatel) bylo v roce 2020 venkovských obcí 5 552, což představovalo 88,7 % všech obcí ČR a 72,4 % rozlohy ČR. Žilo zde 27 % obyvatel státu. </w:t>
      </w:r>
      <w:r w:rsidRPr="002A0D4F">
        <w:br w:type="page"/>
      </w:r>
    </w:p>
    <w:p w14:paraId="37FD7DEB" w14:textId="2CAC8DF0" w:rsidR="00A14B9B" w:rsidRPr="00055B90" w:rsidRDefault="008C5D6D" w:rsidP="000D63DA">
      <w:pPr>
        <w:pStyle w:val="UZEINadpis4st"/>
      </w:pPr>
      <w:bookmarkStart w:id="256" w:name="_Toc81815678"/>
      <w:bookmarkStart w:id="257" w:name="_Toc81816215"/>
      <w:bookmarkStart w:id="258" w:name="_Toc81817310"/>
      <w:r>
        <w:lastRenderedPageBreak/>
        <w:t xml:space="preserve">Příloha </w:t>
      </w:r>
      <w:r w:rsidR="00A66879">
        <w:t>2</w:t>
      </w:r>
      <w:r w:rsidR="00A66879" w:rsidRPr="00055B90">
        <w:t xml:space="preserve"> </w:t>
      </w:r>
      <w:r w:rsidR="00A14B9B" w:rsidRPr="00055B90">
        <w:t>Obyvatelstvo</w:t>
      </w:r>
      <w:bookmarkEnd w:id="256"/>
      <w:bookmarkEnd w:id="257"/>
      <w:bookmarkEnd w:id="258"/>
    </w:p>
    <w:p w14:paraId="12D46875" w14:textId="65343C70" w:rsidR="00A14B9B" w:rsidRPr="002A0D4F" w:rsidRDefault="00AE4D0B" w:rsidP="00A66879">
      <w:pPr>
        <w:pStyle w:val="UZEINormaln"/>
      </w:pPr>
      <w:r>
        <w:fldChar w:fldCharType="begin"/>
      </w:r>
      <w:r>
        <w:instrText xml:space="preserve"> REF _Ref81777574 \r \h </w:instrText>
      </w:r>
      <w:r>
        <w:fldChar w:fldCharType="separate"/>
      </w:r>
      <w:r>
        <w:t>Tabulka 2</w:t>
      </w:r>
      <w:r>
        <w:fldChar w:fldCharType="end"/>
      </w:r>
      <w:r w:rsidR="00A14B9B" w:rsidRPr="002A0D4F">
        <w:t xml:space="preserve"> poskytuje přehled o vývoji početních stavů obyvatel ve velikostních kategoriích obcí (případné meziroční srovnání populačního vývoje v jednotlivých kategoriích venkovských obcí je zde však zkresleno posunem obcí mezi velikostními kategoriemi). K výrazným změnám v počtu obyvatel bydlících v jednotlivých velikostních kategoriích obcí v posledních letech nedochází – většina obyvatel venkova v roce 2020</w:t>
      </w:r>
      <w:r>
        <w:t xml:space="preserve"> </w:t>
      </w:r>
      <w:r w:rsidR="00A14B9B" w:rsidRPr="002A0D4F">
        <w:t xml:space="preserve">žila v obcích s 500 a více obyvateli (71,1 %), podíl těchto obcí na celkovém obyvatelstvu venkova se postupně mírně zvyšuje. </w:t>
      </w:r>
    </w:p>
    <w:p w14:paraId="68A98E99" w14:textId="06334FE9" w:rsidR="00A14B9B" w:rsidRPr="00A66879" w:rsidRDefault="00A14B9B" w:rsidP="00A66879">
      <w:pPr>
        <w:pStyle w:val="UZEITaB"/>
        <w:rPr>
          <w:rFonts w:eastAsiaTheme="minorEastAsia"/>
        </w:rPr>
      </w:pPr>
      <w:bookmarkStart w:id="259" w:name="_Toc25919996"/>
      <w:bookmarkStart w:id="260" w:name="_Toc81757323"/>
      <w:bookmarkStart w:id="261" w:name="_Ref81777574"/>
      <w:bookmarkStart w:id="262" w:name="_Toc81815319"/>
      <w:bookmarkStart w:id="263" w:name="_Toc81816997"/>
      <w:bookmarkStart w:id="264" w:name="_Toc81817510"/>
      <w:r w:rsidRPr="00A66879">
        <w:rPr>
          <w:rFonts w:eastAsiaTheme="minorEastAsia"/>
        </w:rPr>
        <w:t>Počet venkovských obcí a obyvatel podle velikostních kategorií obcí v ČR ve vybraných letech</w:t>
      </w:r>
      <w:bookmarkEnd w:id="259"/>
      <w:bookmarkEnd w:id="260"/>
      <w:bookmarkEnd w:id="261"/>
      <w:bookmarkEnd w:id="262"/>
      <w:bookmarkEnd w:id="263"/>
      <w:bookmarkEnd w:id="264"/>
    </w:p>
    <w:p w14:paraId="4BD06C55" w14:textId="77777777" w:rsidR="00A14B9B" w:rsidRPr="002A0D4F" w:rsidRDefault="00A14B9B" w:rsidP="00A14B9B">
      <w:pPr>
        <w:rPr>
          <w:rFonts w:eastAsia="Times New Roman" w:cs="Times New Roman"/>
          <w:szCs w:val="23"/>
          <w:lang w:val="cs-CZ"/>
        </w:rPr>
      </w:pPr>
      <w:r w:rsidRPr="002A0D4F">
        <w:rPr>
          <w:noProof/>
          <w:lang w:val="cs-CZ" w:eastAsia="cs-CZ"/>
        </w:rPr>
        <w:drawing>
          <wp:inline distT="0" distB="0" distL="0" distR="0" wp14:anchorId="248A5F19" wp14:editId="6B6F158D">
            <wp:extent cx="5610224" cy="1040229"/>
            <wp:effectExtent l="0" t="0" r="0" b="0"/>
            <wp:docPr id="775581469" name="Obrázek 775581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775581469"/>
                    <pic:cNvPicPr/>
                  </pic:nvPicPr>
                  <pic:blipFill>
                    <a:blip r:embed="rId11">
                      <a:extLst>
                        <a:ext uri="{28A0092B-C50C-407E-A947-70E740481C1C}">
                          <a14:useLocalDpi xmlns:a14="http://schemas.microsoft.com/office/drawing/2010/main" val="0"/>
                        </a:ext>
                      </a:extLst>
                    </a:blip>
                    <a:stretch>
                      <a:fillRect/>
                    </a:stretch>
                  </pic:blipFill>
                  <pic:spPr>
                    <a:xfrm>
                      <a:off x="0" y="0"/>
                      <a:ext cx="5610224" cy="1040229"/>
                    </a:xfrm>
                    <a:prstGeom prst="rect">
                      <a:avLst/>
                    </a:prstGeom>
                  </pic:spPr>
                </pic:pic>
              </a:graphicData>
            </a:graphic>
          </wp:inline>
        </w:drawing>
      </w:r>
    </w:p>
    <w:p w14:paraId="15D8D02C" w14:textId="07069BEE" w:rsidR="00A14B9B" w:rsidRPr="002A0D4F" w:rsidRDefault="00A14B9B" w:rsidP="00A66879">
      <w:pPr>
        <w:pStyle w:val="UZEIZdroj"/>
        <w:rPr>
          <w:rFonts w:asciiTheme="minorHAnsi" w:eastAsiaTheme="minorEastAsia" w:hAnsiTheme="minorHAnsi"/>
          <w:i w:val="0"/>
          <w:sz w:val="18"/>
          <w:szCs w:val="18"/>
        </w:rPr>
      </w:pPr>
      <w:r w:rsidRPr="002A0D4F">
        <w:t>Zdroj: S; Lexikon obcí ČR 015-2020, ČSÚ 2016-2021.</w:t>
      </w:r>
    </w:p>
    <w:p w14:paraId="2398B2B5" w14:textId="6105D625" w:rsidR="00A66879" w:rsidRDefault="00246595" w:rsidP="00A66879">
      <w:pPr>
        <w:pStyle w:val="UZEIZdroj"/>
      </w:pPr>
      <w:r w:rsidRPr="002A0D4F">
        <w:rPr>
          <w:rFonts w:eastAsiaTheme="minorEastAsia"/>
          <w:noProof/>
          <w:lang w:eastAsia="cs-CZ"/>
        </w:rPr>
        <w:drawing>
          <wp:inline distT="0" distB="0" distL="0" distR="0" wp14:anchorId="37F52275" wp14:editId="57C19EB0">
            <wp:extent cx="5731510" cy="1423401"/>
            <wp:effectExtent l="0" t="0" r="2540" b="5715"/>
            <wp:docPr id="1737972138" name="Obrázek 1737972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731510" cy="1423401"/>
                    </a:xfrm>
                    <a:prstGeom prst="rect">
                      <a:avLst/>
                    </a:prstGeom>
                    <a:noFill/>
                    <a:ln>
                      <a:noFill/>
                    </a:ln>
                  </pic:spPr>
                </pic:pic>
              </a:graphicData>
            </a:graphic>
          </wp:inline>
        </w:drawing>
      </w:r>
    </w:p>
    <w:p w14:paraId="612F121B" w14:textId="11D1D339" w:rsidR="00C40B81" w:rsidRDefault="00A14B9B" w:rsidP="00C40B81">
      <w:pPr>
        <w:pStyle w:val="UZEINormaln"/>
      </w:pPr>
      <w:r w:rsidRPr="002A0D4F">
        <w:t>Rozmístění obyvatel na území ČR není rovnoměrné – z ekonomického pohledu se obyvatelstvo nejvíce koncentruje v oblastech větší nabídky pracovních příležitostí – tj. především v největších městech ČR (Praha, Brno, Ostrava, Plzeň) a průmyslových oblastech (severní Čechy, Ostravsko, střední Morava). Průměrná hustota zalidnění pro celé území ČR je relativně vysoká a činí 135,6ob./km</w:t>
      </w:r>
      <w:r w:rsidRPr="002A0D4F">
        <w:rPr>
          <w:vertAlign w:val="superscript"/>
        </w:rPr>
        <w:t xml:space="preserve">2 </w:t>
      </w:r>
      <w:r w:rsidRPr="002A0D4F">
        <w:t xml:space="preserve">(k 1.1.2020). Z převážně venkovských krajů (v grafech označených písmenem V) vykazuje nejvyšší hustotu zalidnění kraj Zlínský, nejnižší pak kraje Jihočeský, Kraj Vysočina a Plzeňský, které se tímto ukazatelem výrazněji odlišují od zbytku ČR (viz </w:t>
      </w:r>
      <w:r w:rsidR="008C1251">
        <w:fldChar w:fldCharType="begin"/>
      </w:r>
      <w:r w:rsidR="008C1251">
        <w:instrText xml:space="preserve"> REF _Ref81729864 \r \h </w:instrText>
      </w:r>
      <w:r w:rsidR="008C1251">
        <w:fldChar w:fldCharType="separate"/>
      </w:r>
      <w:r w:rsidR="008C1251">
        <w:t>Obrázek 2</w:t>
      </w:r>
      <w:r w:rsidR="008C1251">
        <w:fldChar w:fldCharType="end"/>
      </w:r>
      <w:r w:rsidRPr="002A0D4F">
        <w:t>). V kraji Vysočina jako v jediném z krajů ČR přesahuje podíl obyvatelstva v obcích s nízkou hustotou zalidnění 50 % (</w:t>
      </w:r>
      <w:r w:rsidR="00D92322">
        <w:fldChar w:fldCharType="begin"/>
      </w:r>
      <w:r w:rsidR="00D92322">
        <w:instrText xml:space="preserve"> REF _Ref81729918 \r \h </w:instrText>
      </w:r>
      <w:r w:rsidR="00D92322">
        <w:fldChar w:fldCharType="separate"/>
      </w:r>
      <w:r w:rsidR="00D92322">
        <w:t>O</w:t>
      </w:r>
      <w:r w:rsidR="00AE4D0B">
        <w:fldChar w:fldCharType="begin"/>
      </w:r>
      <w:r w:rsidR="00AE4D0B">
        <w:instrText xml:space="preserve"> REF _Ref81729918 \r \h </w:instrText>
      </w:r>
      <w:r w:rsidR="00AE4D0B">
        <w:fldChar w:fldCharType="separate"/>
      </w:r>
      <w:r w:rsidR="00AE4D0B">
        <w:t>brázek 3</w:t>
      </w:r>
      <w:r w:rsidR="00AE4D0B">
        <w:fldChar w:fldCharType="end"/>
      </w:r>
      <w:r w:rsidR="00D92322">
        <w:fldChar w:fldCharType="end"/>
      </w:r>
      <w:r w:rsidRPr="002A0D4F">
        <w:t xml:space="preserve">). </w:t>
      </w:r>
      <w:bookmarkStart w:id="265" w:name="_Toc525727618"/>
      <w:bookmarkStart w:id="266" w:name="_Toc525735905"/>
    </w:p>
    <w:p w14:paraId="44C3C45F" w14:textId="65D66F6C" w:rsidR="00A14B9B" w:rsidRPr="00E06E8D" w:rsidRDefault="00A14B9B" w:rsidP="00E06E8D">
      <w:pPr>
        <w:pStyle w:val="UZEIObr"/>
      </w:pPr>
      <w:bookmarkStart w:id="267" w:name="_Ref81729864"/>
      <w:bookmarkStart w:id="268" w:name="_Toc81815383"/>
      <w:bookmarkStart w:id="269" w:name="_Toc81817588"/>
      <w:r w:rsidRPr="00E06E8D">
        <w:rPr>
          <w:rFonts w:eastAsiaTheme="minorEastAsia"/>
        </w:rPr>
        <w:t>Počet obyvatel a hustota zalidnění v krajích ČR v roce 2020 (ob./km2)</w:t>
      </w:r>
      <w:bookmarkEnd w:id="267"/>
      <w:bookmarkEnd w:id="268"/>
      <w:bookmarkEnd w:id="269"/>
    </w:p>
    <w:bookmarkEnd w:id="265"/>
    <w:bookmarkEnd w:id="266"/>
    <w:p w14:paraId="3E95A8EC" w14:textId="77777777" w:rsidR="00DD0538" w:rsidRPr="004928A2" w:rsidRDefault="00DD0538" w:rsidP="00DD0538">
      <w:pPr>
        <w:rPr>
          <w:rFonts w:eastAsia="Times New Roman" w:cs="Times New Roman"/>
          <w:szCs w:val="23"/>
        </w:rPr>
      </w:pPr>
      <w:r>
        <w:rPr>
          <w:noProof/>
          <w:lang w:val="cs-CZ" w:eastAsia="cs-CZ"/>
        </w:rPr>
        <w:drawing>
          <wp:inline distT="0" distB="0" distL="0" distR="0" wp14:anchorId="259804DB" wp14:editId="53FF016D">
            <wp:extent cx="4572000" cy="2143125"/>
            <wp:effectExtent l="0" t="0" r="0" b="0"/>
            <wp:docPr id="439063699" name="Picture 439063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9063699"/>
                    <pic:cNvPicPr/>
                  </pic:nvPicPr>
                  <pic:blipFill>
                    <a:blip r:embed="rId13">
                      <a:extLst>
                        <a:ext uri="{28A0092B-C50C-407E-A947-70E740481C1C}">
                          <a14:useLocalDpi xmlns:a14="http://schemas.microsoft.com/office/drawing/2010/main" val="0"/>
                        </a:ext>
                      </a:extLst>
                    </a:blip>
                    <a:stretch>
                      <a:fillRect/>
                    </a:stretch>
                  </pic:blipFill>
                  <pic:spPr>
                    <a:xfrm>
                      <a:off x="0" y="0"/>
                      <a:ext cx="4572000" cy="2143125"/>
                    </a:xfrm>
                    <a:prstGeom prst="rect">
                      <a:avLst/>
                    </a:prstGeom>
                  </pic:spPr>
                </pic:pic>
              </a:graphicData>
            </a:graphic>
          </wp:inline>
        </w:drawing>
      </w:r>
    </w:p>
    <w:p w14:paraId="0E7E2A26" w14:textId="77777777" w:rsidR="00DD0538" w:rsidRPr="002A0D4F" w:rsidRDefault="00DD0538" w:rsidP="001D2B4E">
      <w:pPr>
        <w:pStyle w:val="UZEIZdroj"/>
        <w:rPr>
          <w:rFonts w:asciiTheme="minorHAnsi" w:eastAsiaTheme="minorEastAsia" w:hAnsiTheme="minorHAnsi"/>
          <w:i w:val="0"/>
          <w:sz w:val="18"/>
          <w:szCs w:val="18"/>
        </w:rPr>
      </w:pPr>
      <w:r w:rsidRPr="0BD933EA">
        <w:t xml:space="preserve">Zdroj: Malý lexikon obcí ČR 2020, ČSÚ 2021. Kraje kromě hl. města Prahy (2669 ob/km2 v r. 2020) Kraje v řazení dle počtu obyvatel. </w:t>
      </w:r>
    </w:p>
    <w:p w14:paraId="5D29BF2D" w14:textId="1282D088" w:rsidR="00DD0538" w:rsidRDefault="00DD0538" w:rsidP="00DD0538">
      <w:pPr>
        <w:keepNext/>
      </w:pPr>
      <w:r>
        <w:rPr>
          <w:noProof/>
          <w:lang w:val="cs-CZ" w:eastAsia="cs-CZ"/>
        </w:rPr>
        <w:lastRenderedPageBreak/>
        <w:drawing>
          <wp:inline distT="0" distB="0" distL="0" distR="0" wp14:anchorId="78E69174" wp14:editId="40670DB2">
            <wp:extent cx="5676900" cy="2581275"/>
            <wp:effectExtent l="0" t="0" r="0" b="9525"/>
            <wp:docPr id="1737972149" name="Graf 1737972149">
              <a:extLst xmlns:a="http://schemas.openxmlformats.org/drawingml/2006/main">
                <a:ext uri="{FF2B5EF4-FFF2-40B4-BE49-F238E27FC236}">
                  <a16:creationId xmlns:a16="http://schemas.microsoft.com/office/drawing/2014/main" id="{8FB319AD-3D6D-4883-ACB3-676BE3535C9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14:paraId="63E069B3" w14:textId="77777777" w:rsidR="004F0FB9" w:rsidRPr="002A0D4F" w:rsidRDefault="004F0FB9" w:rsidP="001D2B4E">
      <w:pPr>
        <w:pStyle w:val="UZEIZdroj"/>
        <w:rPr>
          <w:rFonts w:asciiTheme="minorHAnsi" w:eastAsiaTheme="minorEastAsia" w:hAnsiTheme="minorHAnsi"/>
          <w:i w:val="0"/>
          <w:sz w:val="18"/>
          <w:szCs w:val="18"/>
        </w:rPr>
      </w:pPr>
      <w:r w:rsidRPr="2D8B3C9A">
        <w:t>Zdroj: Malý lexikon obcí ČR 2019, ČSÚ 2020. Kraje kromě hl. města Prahy.</w:t>
      </w:r>
    </w:p>
    <w:p w14:paraId="226D99B6" w14:textId="6763D0EF" w:rsidR="00A14B9B" w:rsidRPr="003A1441" w:rsidRDefault="00A14B9B" w:rsidP="00E06E8D">
      <w:pPr>
        <w:pStyle w:val="UZEIObr"/>
        <w:ind w:left="0" w:firstLine="0"/>
        <w:rPr>
          <w:rFonts w:eastAsiaTheme="minorEastAsia"/>
        </w:rPr>
      </w:pPr>
      <w:bookmarkStart w:id="270" w:name="_Ref81729918"/>
      <w:bookmarkStart w:id="271" w:name="_Toc81815384"/>
      <w:bookmarkStart w:id="272" w:name="_Toc81817589"/>
      <w:r w:rsidRPr="003A1441">
        <w:rPr>
          <w:rFonts w:eastAsiaTheme="minorEastAsia"/>
        </w:rPr>
        <w:t>Počet a podíl obyvatel v obcích s nízkou hustotou zalidnění (do 150 ob./km2) v krajích ČR v roce2020 (%)</w:t>
      </w:r>
      <w:bookmarkEnd w:id="270"/>
      <w:bookmarkEnd w:id="271"/>
      <w:bookmarkEnd w:id="272"/>
    </w:p>
    <w:p w14:paraId="61AEAF56" w14:textId="77777777" w:rsidR="00A14B9B" w:rsidRPr="002A0D4F" w:rsidRDefault="00A14B9B" w:rsidP="00A14B9B">
      <w:pPr>
        <w:rPr>
          <w:rFonts w:eastAsia="Times New Roman" w:cs="Times New Roman"/>
          <w:szCs w:val="23"/>
          <w:lang w:val="cs-CZ"/>
        </w:rPr>
      </w:pPr>
      <w:r w:rsidRPr="002A0D4F">
        <w:rPr>
          <w:noProof/>
          <w:lang w:val="cs-CZ" w:eastAsia="cs-CZ"/>
        </w:rPr>
        <w:drawing>
          <wp:inline distT="0" distB="0" distL="0" distR="0" wp14:anchorId="11DD2436" wp14:editId="6BC2E72F">
            <wp:extent cx="5087320" cy="2562225"/>
            <wp:effectExtent l="0" t="0" r="0" b="0"/>
            <wp:docPr id="1495212462" name="Picture 1495212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5212462"/>
                    <pic:cNvPicPr/>
                  </pic:nvPicPr>
                  <pic:blipFill>
                    <a:blip r:embed="rId15">
                      <a:extLst>
                        <a:ext uri="{28A0092B-C50C-407E-A947-70E740481C1C}">
                          <a14:useLocalDpi xmlns:a14="http://schemas.microsoft.com/office/drawing/2010/main" val="0"/>
                        </a:ext>
                      </a:extLst>
                    </a:blip>
                    <a:stretch>
                      <a:fillRect/>
                    </a:stretch>
                  </pic:blipFill>
                  <pic:spPr>
                    <a:xfrm>
                      <a:off x="0" y="0"/>
                      <a:ext cx="5087320" cy="2562225"/>
                    </a:xfrm>
                    <a:prstGeom prst="rect">
                      <a:avLst/>
                    </a:prstGeom>
                  </pic:spPr>
                </pic:pic>
              </a:graphicData>
            </a:graphic>
          </wp:inline>
        </w:drawing>
      </w:r>
    </w:p>
    <w:p w14:paraId="05895661" w14:textId="77777777" w:rsidR="00A14B9B" w:rsidRPr="002A0D4F" w:rsidRDefault="00A14B9B" w:rsidP="007505CA">
      <w:pPr>
        <w:pStyle w:val="UZEIZdroj"/>
        <w:rPr>
          <w:rFonts w:asciiTheme="minorHAnsi" w:eastAsiaTheme="minorEastAsia" w:hAnsiTheme="minorHAnsi"/>
          <w:i w:val="0"/>
          <w:sz w:val="18"/>
          <w:szCs w:val="18"/>
        </w:rPr>
      </w:pPr>
      <w:r w:rsidRPr="002A0D4F">
        <w:t xml:space="preserve"> </w:t>
      </w:r>
      <w:r w:rsidRPr="002A0D4F">
        <w:rPr>
          <w:noProof/>
          <w:lang w:eastAsia="cs-CZ"/>
        </w:rPr>
        <w:drawing>
          <wp:inline distT="0" distB="0" distL="0" distR="0" wp14:anchorId="2F2BDF6D" wp14:editId="41271B0F">
            <wp:extent cx="5953452" cy="2700740"/>
            <wp:effectExtent l="0" t="0" r="0" b="0"/>
            <wp:docPr id="316618094" name="Picture 1277351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7351818"/>
                    <pic:cNvPicPr/>
                  </pic:nvPicPr>
                  <pic:blipFill>
                    <a:blip r:embed="rId16">
                      <a:extLst>
                        <a:ext uri="{28A0092B-C50C-407E-A947-70E740481C1C}">
                          <a14:useLocalDpi xmlns:a14="http://schemas.microsoft.com/office/drawing/2010/main" val="0"/>
                        </a:ext>
                      </a:extLst>
                    </a:blip>
                    <a:stretch>
                      <a:fillRect/>
                    </a:stretch>
                  </pic:blipFill>
                  <pic:spPr>
                    <a:xfrm>
                      <a:off x="0" y="0"/>
                      <a:ext cx="5953452" cy="2700740"/>
                    </a:xfrm>
                    <a:prstGeom prst="rect">
                      <a:avLst/>
                    </a:prstGeom>
                  </pic:spPr>
                </pic:pic>
              </a:graphicData>
            </a:graphic>
          </wp:inline>
        </w:drawing>
      </w:r>
      <w:r w:rsidRPr="002A0D4F">
        <w:t>Zdroj: Malý lexikon obcí ČR 2020, ČSÚ 20201 Kraje kromě hl. města Prahy.</w:t>
      </w:r>
    </w:p>
    <w:p w14:paraId="6689AD2D" w14:textId="77777777" w:rsidR="00A14B9B" w:rsidRPr="002A0D4F" w:rsidRDefault="00A14B9B" w:rsidP="00A14B9B">
      <w:pPr>
        <w:rPr>
          <w:rFonts w:asciiTheme="minorHAnsi" w:eastAsiaTheme="minorEastAsia" w:hAnsiTheme="minorHAnsi"/>
          <w:b/>
          <w:bCs/>
          <w:sz w:val="22"/>
          <w:lang w:val="cs-CZ"/>
        </w:rPr>
      </w:pPr>
      <w:r w:rsidRPr="002A0D4F">
        <w:rPr>
          <w:noProof/>
          <w:lang w:val="cs-CZ" w:eastAsia="cs-CZ"/>
        </w:rPr>
        <w:lastRenderedPageBreak/>
        <w:drawing>
          <wp:inline distT="0" distB="0" distL="0" distR="0" wp14:anchorId="1445ECB6" wp14:editId="5996C8EC">
            <wp:extent cx="5695950" cy="2828925"/>
            <wp:effectExtent l="0" t="0" r="0" b="9525"/>
            <wp:docPr id="1737972147" name="Graf 1737972147">
              <a:extLst xmlns:a="http://schemas.openxmlformats.org/drawingml/2006/main">
                <a:ext uri="{FF2B5EF4-FFF2-40B4-BE49-F238E27FC236}">
                  <a16:creationId xmlns:a16="http://schemas.microsoft.com/office/drawing/2014/main" id="{001A1358-486E-4238-9C1B-156539775CF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14:paraId="4AC5850B" w14:textId="3B1631CD" w:rsidR="00A14B9B" w:rsidRPr="002A0D4F" w:rsidRDefault="00A14B9B" w:rsidP="007505CA">
      <w:pPr>
        <w:pStyle w:val="UZEINormaln"/>
        <w:rPr>
          <w:rStyle w:val="odkaz-style-wrapper"/>
        </w:rPr>
      </w:pPr>
      <w:r w:rsidRPr="002A0D4F">
        <w:rPr>
          <w:rStyle w:val="odkaz-style-wrapper"/>
        </w:rPr>
        <w:t>Současná sídelní struktura ČR, byť vzhledem k odlišným přírodním a socioekonomickým faktorům přirozeně vykazuje řadu územních specifik, se obecně vyznačuje poměrně značnou roztříštěností, typický je pro ni relativně velký počet menších obcí (dáno dlouhým historickým vývojem sídelní sítě; po roce 1989 v reakci na předchozí slučování obcí počet obcí opět rostl). K 1.1.2020 v ČR existovalo 6258 obcí při průměrné populační velikosti obce 1708,8 obyvatel. Z celkového počtu 5552 venkovských obcí (tj. do 2000 obyvatel) pak větší část (61,4 %) připadala na obce s méně než 500 obyvateli. Venkovská obec měla v průměru 520 obyvatel (</w:t>
      </w:r>
      <w:r w:rsidR="008C1251">
        <w:rPr>
          <w:rStyle w:val="odkaz-style-wrapper"/>
        </w:rPr>
        <w:fldChar w:fldCharType="begin"/>
      </w:r>
      <w:r w:rsidR="008C1251">
        <w:rPr>
          <w:rStyle w:val="odkaz-style-wrapper"/>
        </w:rPr>
        <w:instrText xml:space="preserve"> REF _Ref81777618 \r \h </w:instrText>
      </w:r>
      <w:r w:rsidR="008C1251">
        <w:rPr>
          <w:rStyle w:val="odkaz-style-wrapper"/>
        </w:rPr>
      </w:r>
      <w:r w:rsidR="008C1251">
        <w:rPr>
          <w:rStyle w:val="odkaz-style-wrapper"/>
        </w:rPr>
        <w:fldChar w:fldCharType="separate"/>
      </w:r>
      <w:r w:rsidR="008C1251">
        <w:rPr>
          <w:rStyle w:val="odkaz-style-wrapper"/>
        </w:rPr>
        <w:t>Obrázek 4</w:t>
      </w:r>
      <w:r w:rsidR="008C1251">
        <w:rPr>
          <w:rStyle w:val="odkaz-style-wrapper"/>
        </w:rPr>
        <w:fldChar w:fldCharType="end"/>
      </w:r>
      <w:r w:rsidR="00E9561C">
        <w:rPr>
          <w:rStyle w:val="odkaz-style-wrapper"/>
        </w:rPr>
        <w:t xml:space="preserve"> </w:t>
      </w:r>
      <w:r w:rsidRPr="002A0D4F">
        <w:rPr>
          <w:rStyle w:val="odkaz-style-wrapper"/>
        </w:rPr>
        <w:t>) a polovina venkovských obcí měla dokonce méně než 378 obyvatel (mediánová velikost). Hustá síť malých sídel je typická pro střední Čechy a zejména oblast Českomoravské vrchoviny, nejmenší obce jsou v Kraji Vysočina (v průměru 724 obyvatel; ve venkovských obcích zde žije průměrně cca 335 obyvatel).</w:t>
      </w:r>
    </w:p>
    <w:p w14:paraId="168DD94E" w14:textId="4EE76938" w:rsidR="00A14B9B" w:rsidRPr="00581FD4" w:rsidRDefault="00A14B9B" w:rsidP="008E057E">
      <w:pPr>
        <w:pStyle w:val="UZEIObr"/>
        <w:ind w:left="993" w:hanging="993"/>
        <w:rPr>
          <w:rStyle w:val="odkaz-style-wrapper"/>
        </w:rPr>
      </w:pPr>
      <w:bookmarkStart w:id="273" w:name="_Toc25919848"/>
      <w:bookmarkStart w:id="274" w:name="_Ref81729983"/>
      <w:bookmarkStart w:id="275" w:name="_Ref81777618"/>
      <w:bookmarkStart w:id="276" w:name="_Toc81815385"/>
      <w:bookmarkStart w:id="277" w:name="_Toc81817590"/>
      <w:r w:rsidRPr="00581FD4">
        <w:rPr>
          <w:rStyle w:val="odkaz-style-wrapper"/>
        </w:rPr>
        <w:t>Počet venkovských obcí a průměrná velikost venkovské obce v krajích ČR v roce 2020 (počet obyvatel)</w:t>
      </w:r>
      <w:bookmarkEnd w:id="273"/>
      <w:bookmarkEnd w:id="274"/>
      <w:bookmarkEnd w:id="275"/>
      <w:bookmarkEnd w:id="276"/>
      <w:bookmarkEnd w:id="277"/>
      <w:r w:rsidRPr="00581FD4">
        <w:rPr>
          <w:rStyle w:val="odkaz-style-wrapper"/>
        </w:rPr>
        <w:t xml:space="preserve"> </w:t>
      </w:r>
    </w:p>
    <w:p w14:paraId="5AD644CD" w14:textId="77777777" w:rsidR="00A14B9B" w:rsidRPr="002A0D4F" w:rsidRDefault="00A14B9B" w:rsidP="00A14B9B">
      <w:pPr>
        <w:rPr>
          <w:rFonts w:cs="Times New Roman"/>
          <w:szCs w:val="23"/>
          <w:lang w:val="cs-CZ"/>
        </w:rPr>
      </w:pPr>
      <w:r w:rsidRPr="002A0D4F">
        <w:rPr>
          <w:noProof/>
          <w:lang w:val="cs-CZ" w:eastAsia="cs-CZ"/>
        </w:rPr>
        <w:drawing>
          <wp:inline distT="0" distB="0" distL="0" distR="0" wp14:anchorId="08A6F887" wp14:editId="08991103">
            <wp:extent cx="5372100" cy="2667000"/>
            <wp:effectExtent l="0" t="0" r="0" b="0"/>
            <wp:docPr id="745324159" name="Picture 745324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5324159"/>
                    <pic:cNvPicPr/>
                  </pic:nvPicPr>
                  <pic:blipFill>
                    <a:blip r:embed="rId18">
                      <a:extLst>
                        <a:ext uri="{28A0092B-C50C-407E-A947-70E740481C1C}">
                          <a14:useLocalDpi xmlns:a14="http://schemas.microsoft.com/office/drawing/2010/main" val="0"/>
                        </a:ext>
                      </a:extLst>
                    </a:blip>
                    <a:stretch>
                      <a:fillRect/>
                    </a:stretch>
                  </pic:blipFill>
                  <pic:spPr>
                    <a:xfrm>
                      <a:off x="0" y="0"/>
                      <a:ext cx="5372100" cy="2667000"/>
                    </a:xfrm>
                    <a:prstGeom prst="rect">
                      <a:avLst/>
                    </a:prstGeom>
                  </pic:spPr>
                </pic:pic>
              </a:graphicData>
            </a:graphic>
          </wp:inline>
        </w:drawing>
      </w:r>
    </w:p>
    <w:p w14:paraId="691A408A" w14:textId="77777777" w:rsidR="00A14B9B" w:rsidRPr="002A0D4F" w:rsidRDefault="00A14B9B" w:rsidP="00A14B9B">
      <w:pPr>
        <w:rPr>
          <w:lang w:val="cs-CZ"/>
        </w:rPr>
      </w:pPr>
      <w:r w:rsidRPr="002A0D4F">
        <w:rPr>
          <w:noProof/>
          <w:lang w:val="cs-CZ" w:eastAsia="cs-CZ"/>
        </w:rPr>
        <w:lastRenderedPageBreak/>
        <w:drawing>
          <wp:inline distT="0" distB="0" distL="0" distR="0" wp14:anchorId="732E5BE1" wp14:editId="5487C4FE">
            <wp:extent cx="5543550" cy="2600325"/>
            <wp:effectExtent l="0" t="0" r="0" b="0"/>
            <wp:docPr id="298396338" name="Picture 1998248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8248300"/>
                    <pic:cNvPicPr/>
                  </pic:nvPicPr>
                  <pic:blipFill>
                    <a:blip r:embed="rId19">
                      <a:extLst>
                        <a:ext uri="{28A0092B-C50C-407E-A947-70E740481C1C}">
                          <a14:useLocalDpi xmlns:a14="http://schemas.microsoft.com/office/drawing/2010/main" val="0"/>
                        </a:ext>
                      </a:extLst>
                    </a:blip>
                    <a:stretch>
                      <a:fillRect/>
                    </a:stretch>
                  </pic:blipFill>
                  <pic:spPr>
                    <a:xfrm>
                      <a:off x="0" y="0"/>
                      <a:ext cx="5543550" cy="2600325"/>
                    </a:xfrm>
                    <a:prstGeom prst="rect">
                      <a:avLst/>
                    </a:prstGeom>
                  </pic:spPr>
                </pic:pic>
              </a:graphicData>
            </a:graphic>
          </wp:inline>
        </w:drawing>
      </w:r>
    </w:p>
    <w:p w14:paraId="2F2AE6B2" w14:textId="77777777" w:rsidR="00A14B9B" w:rsidRPr="002A0D4F" w:rsidRDefault="00A14B9B" w:rsidP="00581FD4">
      <w:pPr>
        <w:pStyle w:val="UZEIZdroj"/>
        <w:rPr>
          <w:rFonts w:asciiTheme="minorHAnsi" w:eastAsiaTheme="minorEastAsia" w:hAnsiTheme="minorHAnsi"/>
          <w:i w:val="0"/>
          <w:sz w:val="18"/>
          <w:szCs w:val="18"/>
        </w:rPr>
      </w:pPr>
      <w:r w:rsidRPr="002A0D4F">
        <w:t>Zdroj: Malý lexikon obcí ČR 2020, ČSÚ2021.  Kraje kromě hl. města Prahy.</w:t>
      </w:r>
    </w:p>
    <w:p w14:paraId="1BE0F81C" w14:textId="77777777" w:rsidR="00A14B9B" w:rsidRPr="002A0D4F" w:rsidRDefault="00A14B9B" w:rsidP="00A14B9B">
      <w:pPr>
        <w:rPr>
          <w:lang w:val="cs-CZ"/>
        </w:rPr>
      </w:pPr>
    </w:p>
    <w:p w14:paraId="209AFB8D" w14:textId="77777777" w:rsidR="00A14B9B" w:rsidRPr="002A0D4F" w:rsidRDefault="00A14B9B" w:rsidP="00A14B9B">
      <w:pPr>
        <w:rPr>
          <w:lang w:val="cs-CZ"/>
        </w:rPr>
      </w:pPr>
      <w:r w:rsidRPr="002A0D4F">
        <w:rPr>
          <w:noProof/>
          <w:lang w:val="cs-CZ" w:eastAsia="cs-CZ"/>
        </w:rPr>
        <w:drawing>
          <wp:inline distT="0" distB="0" distL="0" distR="0" wp14:anchorId="779D20A8" wp14:editId="7D0B3E30">
            <wp:extent cx="5553075" cy="2171700"/>
            <wp:effectExtent l="0" t="0" r="9525" b="0"/>
            <wp:docPr id="1737972150" name="Graf 1737972150">
              <a:extLst xmlns:a="http://schemas.openxmlformats.org/drawingml/2006/main">
                <a:ext uri="{FF2B5EF4-FFF2-40B4-BE49-F238E27FC236}">
                  <a16:creationId xmlns:a16="http://schemas.microsoft.com/office/drawing/2014/main" id="{93EAB728-098F-464C-BB26-A12C77D8463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14:paraId="49EFAD45" w14:textId="184837B3" w:rsidR="00A14B9B" w:rsidRPr="005B58F5" w:rsidRDefault="005B58F5" w:rsidP="005B58F5">
      <w:pPr>
        <w:pStyle w:val="UZEINormaln"/>
        <w:rPr>
          <w:rFonts w:eastAsiaTheme="minorEastAsia"/>
          <w:b/>
          <w:bCs/>
        </w:rPr>
      </w:pPr>
      <w:r w:rsidRPr="005B58F5">
        <w:rPr>
          <w:rFonts w:eastAsiaTheme="minorEastAsia"/>
          <w:b/>
          <w:bCs/>
        </w:rPr>
        <w:t>V</w:t>
      </w:r>
      <w:r w:rsidR="00A14B9B" w:rsidRPr="005B58F5">
        <w:rPr>
          <w:rFonts w:eastAsiaTheme="minorEastAsia"/>
          <w:b/>
          <w:bCs/>
        </w:rPr>
        <w:t xml:space="preserve">ývoj počtu obyvatel na venkově </w:t>
      </w:r>
    </w:p>
    <w:p w14:paraId="0AD71A3E" w14:textId="172F75D0" w:rsidR="00A14B9B" w:rsidRPr="005B58F5" w:rsidRDefault="00A14B9B" w:rsidP="005B58F5">
      <w:pPr>
        <w:pStyle w:val="UZEINormaln"/>
      </w:pPr>
      <w:r w:rsidRPr="005B58F5">
        <w:t xml:space="preserve">Od roku 2003 roste celkový počet obyvatel ČR (kladný přirozený přírůstek, stav však více ovlivňuje kladné saldo zahraničního stěhování), což se přirozeně projevuje i ve venkovských obcích. Počet obyvatel venkovských obcí v ČR celkem i ve všech krajích roste především vlivem imigrace z měst (od roku 2000 ubývá obyvatel měst, zahraniční imigrace se ve venkovském prostoru projevuje pouze omezeně, neboť většina cizinců směřuje do měst). </w:t>
      </w:r>
    </w:p>
    <w:p w14:paraId="4E2210AC" w14:textId="4882A29A" w:rsidR="00581FD4" w:rsidRPr="005B58F5" w:rsidRDefault="00A14B9B" w:rsidP="005B58F5">
      <w:pPr>
        <w:pStyle w:val="UZEINormaln"/>
      </w:pPr>
      <w:r w:rsidRPr="005B58F5">
        <w:t>I v období několika let s celkovým kladným přírůstkem obyvatelstva ČR relativně velký podíl obcí (zde bez ohledu na jejich populační velikost, hustotu zalidnění apod. - tj. i včetně měst) obyvatelstvo dlouhodobě ztrácí. Nejvíce se tak děje v převážně venkovských krajích,</w:t>
      </w:r>
      <w:r w:rsidR="00E9561C">
        <w:t xml:space="preserve"> </w:t>
      </w:r>
      <w:r w:rsidRPr="005B58F5">
        <w:t>byť i zde se ztráta obyvatel týká více měst. Ztráta obyvatelstva migrací (podle dat ČSÚ 2011-2019 se projevuje zejména v kraji Moravskoslezském, dále pak v Karlovarském, Olomouckém, Kraji Vysočina, Zlínském a Královéhradeckém</w:t>
      </w:r>
      <w:bookmarkStart w:id="278" w:name="_Toc25919849"/>
      <w:r w:rsidR="008D5135" w:rsidRPr="005B58F5">
        <w:t>.</w:t>
      </w:r>
    </w:p>
    <w:p w14:paraId="2ED6E671" w14:textId="77777777" w:rsidR="00990BBB" w:rsidRDefault="00990BBB">
      <w:pPr>
        <w:spacing w:after="160" w:line="259" w:lineRule="auto"/>
        <w:jc w:val="left"/>
        <w:rPr>
          <w:rFonts w:eastAsia="Times New Roman" w:cs="Arial"/>
          <w:b/>
          <w:noProof/>
          <w:sz w:val="20"/>
          <w:szCs w:val="20"/>
          <w:lang w:val="cs-CZ" w:eastAsia="cs-CZ"/>
        </w:rPr>
      </w:pPr>
      <w:r>
        <w:br w:type="page"/>
      </w:r>
    </w:p>
    <w:p w14:paraId="79167EC2" w14:textId="600B5C0A" w:rsidR="00A14B9B" w:rsidRPr="00990BBB" w:rsidRDefault="00A14B9B" w:rsidP="00FD70C1">
      <w:pPr>
        <w:pStyle w:val="UZEIObr"/>
        <w:ind w:left="993" w:hanging="1070"/>
      </w:pPr>
      <w:bookmarkStart w:id="279" w:name="_Toc81815386"/>
      <w:bookmarkStart w:id="280" w:name="_Toc81817591"/>
      <w:r w:rsidRPr="00990BBB">
        <w:lastRenderedPageBreak/>
        <w:t>Obce ČR dle celkového přírůstku obyvatelstva za období 2001-16 dle krajů</w:t>
      </w:r>
      <w:bookmarkEnd w:id="278"/>
      <w:bookmarkEnd w:id="279"/>
      <w:bookmarkEnd w:id="280"/>
    </w:p>
    <w:p w14:paraId="6F09C831" w14:textId="77777777" w:rsidR="00A14B9B" w:rsidRPr="002A0D4F" w:rsidRDefault="00A14B9B" w:rsidP="00A14B9B">
      <w:pPr>
        <w:pStyle w:val="Zkladntextodsazen2"/>
        <w:keepNext/>
        <w:ind w:firstLine="0"/>
      </w:pPr>
      <w:r w:rsidRPr="002A0D4F">
        <w:rPr>
          <w:noProof/>
        </w:rPr>
        <w:drawing>
          <wp:inline distT="0" distB="0" distL="0" distR="0" wp14:anchorId="6D69AAEC" wp14:editId="09CF2110">
            <wp:extent cx="5563240" cy="2420470"/>
            <wp:effectExtent l="0" t="0" r="18415" b="18415"/>
            <wp:docPr id="16" name="Graf 16">
              <a:extLst xmlns:a="http://schemas.openxmlformats.org/drawingml/2006/main">
                <a:ext uri="{FF2B5EF4-FFF2-40B4-BE49-F238E27FC236}">
                  <a16:creationId xmlns:a16="http://schemas.microsoft.com/office/drawing/2014/main" id="{89A43B25-7E2C-4C72-9BFB-DECEEA61094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14:paraId="6551F968" w14:textId="58F190CA" w:rsidR="00A14B9B" w:rsidRPr="002A0D4F" w:rsidRDefault="00A14B9B" w:rsidP="00990BBB">
      <w:pPr>
        <w:pStyle w:val="UZEIZdroj"/>
      </w:pPr>
      <w:r w:rsidRPr="002A0D4F">
        <w:t>Zdroj: Malý lexikon obcí ČR 2017, ČSÚ</w:t>
      </w:r>
    </w:p>
    <w:p w14:paraId="0AC4C428" w14:textId="2C21BE37" w:rsidR="00A14B9B" w:rsidRDefault="006779C7" w:rsidP="005F613F">
      <w:pPr>
        <w:pStyle w:val="UZEIObr"/>
      </w:pPr>
      <w:bookmarkStart w:id="281" w:name="_Toc81815387"/>
      <w:bookmarkStart w:id="282" w:name="_Toc81817592"/>
      <w:r w:rsidRPr="002A0D4F">
        <w:drawing>
          <wp:anchor distT="0" distB="0" distL="114300" distR="114300" simplePos="0" relativeHeight="251658240" behindDoc="0" locked="0" layoutInCell="1" allowOverlap="1" wp14:anchorId="6A342A11" wp14:editId="0141C21E">
            <wp:simplePos x="0" y="0"/>
            <wp:positionH relativeFrom="margin">
              <wp:align>left</wp:align>
            </wp:positionH>
            <wp:positionV relativeFrom="paragraph">
              <wp:posOffset>244475</wp:posOffset>
            </wp:positionV>
            <wp:extent cx="4968000" cy="2566800"/>
            <wp:effectExtent l="0" t="0" r="4445" b="5080"/>
            <wp:wrapTopAndBottom/>
            <wp:docPr id="1374033493" name="Picture 1374033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4033493"/>
                    <pic:cNvPicPr/>
                  </pic:nvPicPr>
                  <pic:blipFill>
                    <a:blip r:embed="rId22">
                      <a:extLst>
                        <a:ext uri="{28A0092B-C50C-407E-A947-70E740481C1C}">
                          <a14:useLocalDpi xmlns:a14="http://schemas.microsoft.com/office/drawing/2010/main" val="0"/>
                        </a:ext>
                      </a:extLst>
                    </a:blip>
                    <a:stretch>
                      <a:fillRect/>
                    </a:stretch>
                  </pic:blipFill>
                  <pic:spPr>
                    <a:xfrm>
                      <a:off x="0" y="0"/>
                      <a:ext cx="4968000" cy="2566800"/>
                    </a:xfrm>
                    <a:prstGeom prst="rect">
                      <a:avLst/>
                    </a:prstGeom>
                  </pic:spPr>
                </pic:pic>
              </a:graphicData>
            </a:graphic>
            <wp14:sizeRelH relativeFrom="margin">
              <wp14:pctWidth>0</wp14:pctWidth>
            </wp14:sizeRelH>
            <wp14:sizeRelV relativeFrom="margin">
              <wp14:pctHeight>0</wp14:pctHeight>
            </wp14:sizeRelV>
          </wp:anchor>
        </w:drawing>
      </w:r>
      <w:r w:rsidR="00A14B9B" w:rsidRPr="002A0D4F">
        <w:t>Počet přistěhovalých a vystěhovalých dle krajů ČR v období 2011-19</w:t>
      </w:r>
      <w:bookmarkEnd w:id="281"/>
      <w:bookmarkEnd w:id="282"/>
    </w:p>
    <w:p w14:paraId="39A5DBAB" w14:textId="279CB051" w:rsidR="00A14B9B" w:rsidRPr="002A0D4F" w:rsidRDefault="00A14B9B" w:rsidP="00FD70C1">
      <w:pPr>
        <w:pStyle w:val="UZEIObr"/>
        <w:ind w:left="993" w:hanging="1070"/>
      </w:pPr>
      <w:bookmarkStart w:id="283" w:name="_Toc81815388"/>
      <w:bookmarkStart w:id="284" w:name="_Toc81817593"/>
      <w:r w:rsidRPr="007F7A95">
        <w:t>Počet přistěhovalých a vystěhovalých ve venkovských obcích ČR dle krajů v období</w:t>
      </w:r>
      <w:r w:rsidRPr="002A0D4F">
        <w:t xml:space="preserve"> 2011-19.</w:t>
      </w:r>
      <w:bookmarkEnd w:id="283"/>
      <w:bookmarkEnd w:id="284"/>
    </w:p>
    <w:p w14:paraId="2AE8FE3F" w14:textId="4124EDA4" w:rsidR="00A14B9B" w:rsidRPr="002A0D4F" w:rsidRDefault="00004FB5" w:rsidP="00A14B9B">
      <w:pPr>
        <w:pStyle w:val="Zkladntextodsazen2"/>
        <w:spacing w:before="60" w:line="360" w:lineRule="atLeast"/>
        <w:ind w:firstLine="0"/>
        <w:rPr>
          <w:i w:val="0"/>
        </w:rPr>
      </w:pPr>
      <w:r w:rsidRPr="002A0D4F">
        <w:rPr>
          <w:noProof/>
        </w:rPr>
        <w:drawing>
          <wp:anchor distT="0" distB="0" distL="114300" distR="114300" simplePos="0" relativeHeight="251658241" behindDoc="1" locked="0" layoutInCell="1" allowOverlap="1" wp14:anchorId="7901E21B" wp14:editId="2E1F4BB0">
            <wp:simplePos x="0" y="0"/>
            <wp:positionH relativeFrom="margin">
              <wp:align>left</wp:align>
            </wp:positionH>
            <wp:positionV relativeFrom="paragraph">
              <wp:posOffset>152400</wp:posOffset>
            </wp:positionV>
            <wp:extent cx="4967605" cy="2355850"/>
            <wp:effectExtent l="0" t="0" r="4445" b="6350"/>
            <wp:wrapTight wrapText="bothSides">
              <wp:wrapPolygon edited="0">
                <wp:start x="0" y="0"/>
                <wp:lineTo x="0" y="21484"/>
                <wp:lineTo x="21536" y="21484"/>
                <wp:lineTo x="21536" y="0"/>
                <wp:lineTo x="0" y="0"/>
              </wp:wrapPolygon>
            </wp:wrapTight>
            <wp:docPr id="1284821695" name="Picture 1284821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4821695"/>
                    <pic:cNvPicPr/>
                  </pic:nvPicPr>
                  <pic:blipFill>
                    <a:blip r:embed="rId23">
                      <a:extLst>
                        <a:ext uri="{28A0092B-C50C-407E-A947-70E740481C1C}">
                          <a14:useLocalDpi xmlns:a14="http://schemas.microsoft.com/office/drawing/2010/main" val="0"/>
                        </a:ext>
                      </a:extLst>
                    </a:blip>
                    <a:stretch>
                      <a:fillRect/>
                    </a:stretch>
                  </pic:blipFill>
                  <pic:spPr>
                    <a:xfrm>
                      <a:off x="0" y="0"/>
                      <a:ext cx="4967605" cy="2355850"/>
                    </a:xfrm>
                    <a:prstGeom prst="rect">
                      <a:avLst/>
                    </a:prstGeom>
                  </pic:spPr>
                </pic:pic>
              </a:graphicData>
            </a:graphic>
            <wp14:sizeRelH relativeFrom="margin">
              <wp14:pctWidth>0</wp14:pctWidth>
            </wp14:sizeRelH>
            <wp14:sizeRelV relativeFrom="margin">
              <wp14:pctHeight>0</wp14:pctHeight>
            </wp14:sizeRelV>
          </wp:anchor>
        </w:drawing>
      </w:r>
    </w:p>
    <w:p w14:paraId="401A1CB8" w14:textId="77777777" w:rsidR="00004FB5" w:rsidRDefault="00004FB5" w:rsidP="00A14B9B">
      <w:pPr>
        <w:pStyle w:val="Zkladntextodsazen2"/>
        <w:spacing w:before="60" w:line="360" w:lineRule="atLeast"/>
        <w:ind w:firstLine="0"/>
        <w:rPr>
          <w:i w:val="0"/>
        </w:rPr>
      </w:pPr>
    </w:p>
    <w:p w14:paraId="7694940E" w14:textId="77777777" w:rsidR="00004FB5" w:rsidRDefault="00004FB5" w:rsidP="00A14B9B">
      <w:pPr>
        <w:pStyle w:val="Zkladntextodsazen2"/>
        <w:spacing w:before="60" w:line="360" w:lineRule="atLeast"/>
        <w:ind w:firstLine="0"/>
        <w:rPr>
          <w:i w:val="0"/>
        </w:rPr>
      </w:pPr>
    </w:p>
    <w:p w14:paraId="64F134BB" w14:textId="77777777" w:rsidR="00004FB5" w:rsidRDefault="00004FB5" w:rsidP="00A14B9B">
      <w:pPr>
        <w:pStyle w:val="Zkladntextodsazen2"/>
        <w:spacing w:before="60" w:line="360" w:lineRule="atLeast"/>
        <w:ind w:firstLine="0"/>
        <w:rPr>
          <w:i w:val="0"/>
        </w:rPr>
      </w:pPr>
    </w:p>
    <w:p w14:paraId="2F304312" w14:textId="77777777" w:rsidR="00004FB5" w:rsidRDefault="00004FB5" w:rsidP="00A14B9B">
      <w:pPr>
        <w:pStyle w:val="Zkladntextodsazen2"/>
        <w:spacing w:before="60" w:line="360" w:lineRule="atLeast"/>
        <w:ind w:firstLine="0"/>
        <w:rPr>
          <w:i w:val="0"/>
        </w:rPr>
      </w:pPr>
    </w:p>
    <w:p w14:paraId="6901BC20" w14:textId="77777777" w:rsidR="00004FB5" w:rsidRDefault="00004FB5" w:rsidP="00A14B9B">
      <w:pPr>
        <w:pStyle w:val="Zkladntextodsazen2"/>
        <w:spacing w:before="60" w:line="360" w:lineRule="atLeast"/>
        <w:ind w:firstLine="0"/>
        <w:rPr>
          <w:i w:val="0"/>
        </w:rPr>
      </w:pPr>
    </w:p>
    <w:p w14:paraId="0FE8B47B" w14:textId="77777777" w:rsidR="00004FB5" w:rsidRDefault="00004FB5" w:rsidP="00A14B9B">
      <w:pPr>
        <w:pStyle w:val="Zkladntextodsazen2"/>
        <w:spacing w:before="60" w:line="360" w:lineRule="atLeast"/>
        <w:ind w:firstLine="0"/>
        <w:rPr>
          <w:i w:val="0"/>
        </w:rPr>
      </w:pPr>
    </w:p>
    <w:p w14:paraId="2A5E2334" w14:textId="77777777" w:rsidR="00004FB5" w:rsidRDefault="00004FB5" w:rsidP="00A14B9B">
      <w:pPr>
        <w:pStyle w:val="Zkladntextodsazen2"/>
        <w:spacing w:before="60" w:line="360" w:lineRule="atLeast"/>
        <w:ind w:firstLine="0"/>
        <w:rPr>
          <w:i w:val="0"/>
        </w:rPr>
      </w:pPr>
    </w:p>
    <w:p w14:paraId="6C1E7F4F" w14:textId="77777777" w:rsidR="008D5135" w:rsidRDefault="008D5135">
      <w:pPr>
        <w:spacing w:after="160" w:line="259" w:lineRule="auto"/>
        <w:jc w:val="left"/>
        <w:rPr>
          <w:rFonts w:eastAsia="Times New Roman" w:cstheme="minorHAnsi"/>
          <w:szCs w:val="24"/>
          <w:lang w:val="cs-CZ" w:eastAsia="cs-CZ"/>
        </w:rPr>
      </w:pPr>
      <w:r>
        <w:br w:type="page"/>
      </w:r>
    </w:p>
    <w:p w14:paraId="476E8988" w14:textId="6D6081BD" w:rsidR="00A14B9B" w:rsidRPr="002A0D4F" w:rsidRDefault="00A14B9B" w:rsidP="008D5135">
      <w:pPr>
        <w:pStyle w:val="UZEINormaln"/>
        <w:rPr>
          <w:i/>
        </w:rPr>
      </w:pPr>
      <w:r w:rsidRPr="002A0D4F">
        <w:lastRenderedPageBreak/>
        <w:t>Následující mapa ČR ukazující změny počtu obyvatel v obcích dokládá značné relativní navýšení počtu obyvatel v obcích v příměstských zónách (kolem Prahy, Brna, Plzně, Českých Budějovic) a naopak výraznější pokles počtu obyvatel v oblastech s horší dostupností do větších center (severní a východní pohraničí, území tzv. vnitřních periferií podél hranic krajů).</w:t>
      </w:r>
    </w:p>
    <w:p w14:paraId="4EDBCB69" w14:textId="1EB706BC" w:rsidR="00A14B9B" w:rsidRPr="00004FB5" w:rsidRDefault="00A14B9B" w:rsidP="00FD70C1">
      <w:pPr>
        <w:pStyle w:val="UZEIObr"/>
        <w:ind w:left="1276" w:hanging="1276"/>
        <w:rPr>
          <w:rFonts w:eastAsiaTheme="minorEastAsia"/>
        </w:rPr>
      </w:pPr>
      <w:bookmarkStart w:id="285" w:name="_Toc525727621"/>
      <w:bookmarkStart w:id="286" w:name="_Toc525735908"/>
      <w:bookmarkStart w:id="287" w:name="_Toc25919850"/>
      <w:bookmarkStart w:id="288" w:name="_Toc81815389"/>
      <w:bookmarkStart w:id="289" w:name="_Toc81817594"/>
      <w:r w:rsidRPr="00004FB5">
        <w:rPr>
          <w:rFonts w:eastAsiaTheme="minorEastAsia"/>
        </w:rPr>
        <w:t>Změna počtu obyvatel v obcích mezi roky 2001 a 2016 (ČR)</w:t>
      </w:r>
      <w:bookmarkEnd w:id="285"/>
      <w:bookmarkEnd w:id="286"/>
      <w:bookmarkEnd w:id="287"/>
      <w:bookmarkEnd w:id="288"/>
      <w:bookmarkEnd w:id="289"/>
    </w:p>
    <w:p w14:paraId="61174BD7" w14:textId="77777777" w:rsidR="00A14B9B" w:rsidRPr="002A0D4F" w:rsidRDefault="00A14B9B" w:rsidP="00A14B9B">
      <w:pPr>
        <w:pStyle w:val="Zkladntextodsazen2"/>
        <w:keepNext/>
        <w:ind w:firstLine="0"/>
      </w:pPr>
      <w:r w:rsidRPr="002A0D4F">
        <w:rPr>
          <w:noProof/>
        </w:rPr>
        <w:drawing>
          <wp:inline distT="0" distB="0" distL="0" distR="0" wp14:anchorId="7DF34078" wp14:editId="77FD3892">
            <wp:extent cx="5775117" cy="3620770"/>
            <wp:effectExtent l="0" t="0" r="0" b="0"/>
            <wp:docPr id="17" name="Obrázek 17" descr="https://www.czso.cz/documents/10180/77242635/zmenyC2016_2001CR.png/6b63081d-4ede-4c25-b4ea-e6ea599f0ab5?t=1520255540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www.czso.cz/documents/10180/77242635/zmenyC2016_2001CR.png/6b63081d-4ede-4c25-b4ea-e6ea599f0ab5?t=1520255540402"/>
                    <pic:cNvPicPr>
                      <a:picLocks noChangeAspect="1" noChangeArrowheads="1"/>
                    </pic:cNvPicPr>
                  </pic:nvPicPr>
                  <pic:blipFill rotWithShape="1">
                    <a:blip r:embed="rId24" cstate="print">
                      <a:extLst>
                        <a:ext uri="{28A0092B-C50C-407E-A947-70E740481C1C}">
                          <a14:useLocalDpi xmlns:a14="http://schemas.microsoft.com/office/drawing/2010/main" val="0"/>
                        </a:ext>
                      </a:extLst>
                    </a:blip>
                    <a:srcRect t="11418"/>
                    <a:stretch/>
                  </pic:blipFill>
                  <pic:spPr bwMode="auto">
                    <a:xfrm>
                      <a:off x="0" y="0"/>
                      <a:ext cx="5780075" cy="3623878"/>
                    </a:xfrm>
                    <a:prstGeom prst="rect">
                      <a:avLst/>
                    </a:prstGeom>
                    <a:noFill/>
                    <a:ln>
                      <a:noFill/>
                    </a:ln>
                    <a:extLst>
                      <a:ext uri="{53640926-AAD7-44D8-BBD7-CCE9431645EC}">
                        <a14:shadowObscured xmlns:a14="http://schemas.microsoft.com/office/drawing/2010/main"/>
                      </a:ext>
                    </a:extLst>
                  </pic:spPr>
                </pic:pic>
              </a:graphicData>
            </a:graphic>
          </wp:inline>
        </w:drawing>
      </w:r>
    </w:p>
    <w:p w14:paraId="55C568FF" w14:textId="77777777" w:rsidR="00A14B9B" w:rsidRPr="005F613F" w:rsidRDefault="00A14B9B" w:rsidP="005F613F">
      <w:pPr>
        <w:pStyle w:val="UZEIZdroj"/>
      </w:pPr>
      <w:r w:rsidRPr="005F613F">
        <w:t>Zdroj: ČSÚ, 2018</w:t>
      </w:r>
    </w:p>
    <w:p w14:paraId="1E4E7E7E" w14:textId="77777777" w:rsidR="00B96250" w:rsidRPr="002A0D4F" w:rsidRDefault="00B96250" w:rsidP="005F613F">
      <w:pPr>
        <w:pStyle w:val="UZEIObr"/>
      </w:pPr>
      <w:bookmarkStart w:id="290" w:name="_Ref81777689"/>
      <w:bookmarkStart w:id="291" w:name="_Toc81815390"/>
      <w:bookmarkStart w:id="292" w:name="_Toc81817595"/>
      <w:r w:rsidRPr="002A0D4F">
        <w:t xml:space="preserve">Počet přistěhovalých a vystěhovalých </w:t>
      </w:r>
      <w:r w:rsidRPr="00B96250">
        <w:t>dle</w:t>
      </w:r>
      <w:r w:rsidRPr="002A0D4F">
        <w:t xml:space="preserve"> </w:t>
      </w:r>
      <w:r w:rsidRPr="005F613F">
        <w:t>velikostních</w:t>
      </w:r>
      <w:r w:rsidRPr="002A0D4F">
        <w:t xml:space="preserve"> kategorií obcí ČR v letech 2011-19</w:t>
      </w:r>
      <w:bookmarkEnd w:id="290"/>
      <w:bookmarkEnd w:id="291"/>
      <w:bookmarkEnd w:id="292"/>
    </w:p>
    <w:p w14:paraId="7643A61E" w14:textId="050F247E" w:rsidR="002D0542" w:rsidRDefault="00FB4FD7" w:rsidP="00A14B9B">
      <w:pPr>
        <w:pStyle w:val="Zkladntextodsazen2"/>
        <w:spacing w:after="240"/>
        <w:ind w:firstLine="0"/>
        <w:rPr>
          <w:i w:val="0"/>
          <w:szCs w:val="24"/>
        </w:rPr>
      </w:pPr>
      <w:r w:rsidRPr="002A0D4F">
        <w:rPr>
          <w:noProof/>
        </w:rPr>
        <w:drawing>
          <wp:inline distT="0" distB="0" distL="0" distR="0" wp14:anchorId="5A2A925C" wp14:editId="1FF690BB">
            <wp:extent cx="5731510" cy="2590800"/>
            <wp:effectExtent l="0" t="0" r="2540" b="0"/>
            <wp:docPr id="1862231747" name="Obrázek 1862231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862231747"/>
                    <pic:cNvPicPr/>
                  </pic:nvPicPr>
                  <pic:blipFill>
                    <a:blip r:embed="rId25">
                      <a:extLst>
                        <a:ext uri="{28A0092B-C50C-407E-A947-70E740481C1C}">
                          <a14:useLocalDpi xmlns:a14="http://schemas.microsoft.com/office/drawing/2010/main" val="0"/>
                        </a:ext>
                      </a:extLst>
                    </a:blip>
                    <a:stretch>
                      <a:fillRect/>
                    </a:stretch>
                  </pic:blipFill>
                  <pic:spPr>
                    <a:xfrm>
                      <a:off x="0" y="0"/>
                      <a:ext cx="5731510" cy="2590800"/>
                    </a:xfrm>
                    <a:prstGeom prst="rect">
                      <a:avLst/>
                    </a:prstGeom>
                  </pic:spPr>
                </pic:pic>
              </a:graphicData>
            </a:graphic>
          </wp:inline>
        </w:drawing>
      </w:r>
    </w:p>
    <w:p w14:paraId="20C253BA" w14:textId="1D64CD5D" w:rsidR="00A14B9B" w:rsidRPr="005F613F" w:rsidRDefault="00A14B9B" w:rsidP="005F613F">
      <w:pPr>
        <w:pStyle w:val="UZEIZdroj"/>
      </w:pPr>
      <w:r w:rsidRPr="005F613F">
        <w:t>Pozn. Vycházíme z rozložení obcí dle počtu obyvatel k 1.1.2020.</w:t>
      </w:r>
    </w:p>
    <w:p w14:paraId="5A12C176" w14:textId="77777777" w:rsidR="00A14B9B" w:rsidRPr="005F613F" w:rsidRDefault="00A14B9B" w:rsidP="005F613F">
      <w:pPr>
        <w:pStyle w:val="UZEIZdroj"/>
      </w:pPr>
      <w:r w:rsidRPr="005F613F">
        <w:t>Zdroj: Malý lexikon obcí ČR 2020, ČSÚ 2021.</w:t>
      </w:r>
    </w:p>
    <w:p w14:paraId="1C94C33B" w14:textId="30A044E9" w:rsidR="00A14B9B" w:rsidRPr="001344FD" w:rsidRDefault="004D40B0" w:rsidP="001344FD">
      <w:pPr>
        <w:pStyle w:val="UZEINormaln"/>
      </w:pPr>
      <w:r>
        <w:fldChar w:fldCharType="begin"/>
      </w:r>
      <w:r>
        <w:instrText xml:space="preserve"> REF _Ref81777689 \r \h </w:instrText>
      </w:r>
      <w:r>
        <w:fldChar w:fldCharType="separate"/>
      </w:r>
      <w:r>
        <w:t>Obrázek 9</w:t>
      </w:r>
      <w:r>
        <w:fldChar w:fldCharType="end"/>
      </w:r>
      <w:r w:rsidR="00A14B9B" w:rsidRPr="001344FD">
        <w:t xml:space="preserve"> ukazuj</w:t>
      </w:r>
      <w:r w:rsidR="001B4F95" w:rsidRPr="001344FD">
        <w:t>e</w:t>
      </w:r>
      <w:r w:rsidR="00A14B9B" w:rsidRPr="001344FD">
        <w:t>, že v posledních letech venkovské obce (především vlivem suburbanizace) v absolutním i relativním vyjádření populačně rostou více než města.</w:t>
      </w:r>
    </w:p>
    <w:p w14:paraId="684B41E8" w14:textId="29523396" w:rsidR="00A14B9B" w:rsidRPr="001344FD" w:rsidRDefault="00A14B9B" w:rsidP="001344FD">
      <w:pPr>
        <w:pStyle w:val="UZEINormaln"/>
      </w:pPr>
      <w:r w:rsidRPr="001344FD">
        <w:lastRenderedPageBreak/>
        <w:t xml:space="preserve">Poslední meziroční srovnání populačního vývoje ukazuje na pokračující růst počtu obyvatel ČR, oproti roku 2019 u nás přibylo celkem 44,1tis. obyvatel, přičemž kladný celkový přírůstek vykazovalo 57,9 % obcí, 36,7 % obyvatelstvo ztrácelo, nebo početně stagnovalo (5,4 %). </w:t>
      </w:r>
    </w:p>
    <w:p w14:paraId="001342B7" w14:textId="728D1457" w:rsidR="00A14B9B" w:rsidRPr="001344FD" w:rsidRDefault="00A14B9B" w:rsidP="001344FD">
      <w:pPr>
        <w:pStyle w:val="UZEINormaln"/>
      </w:pPr>
      <w:r w:rsidRPr="001344FD">
        <w:t>Podobně jako v loňském roce výrazný populační zisk zaznamenaly obce do 2 000 obyvatel (20,8 tis.), ve městech s 73% podílem na obyvatelstvu celkem přibylo 23,3 tis. obyvatel</w:t>
      </w:r>
      <w:hyperlink r:id="rId26" w:anchor="_ftn1" w:history="1">
        <w:r w:rsidRPr="001344FD">
          <w:rPr>
            <w:rStyle w:val="Hypertextovodkaz"/>
            <w:color w:val="auto"/>
            <w:u w:val="none"/>
          </w:rPr>
          <w:t>[1]</w:t>
        </w:r>
      </w:hyperlink>
      <w:r w:rsidRPr="001344FD">
        <w:t>. Relativní nárůst celkového počtu obyvatel venkovských obcí meziročně nepatrně poklesl na 0,7 %, přesto stále převyšoval 0,3% nárůst počtu obyvatel ve městech i celé ČR (0,4 %). Venkovské obce jako celek populačně rostly ve všech krajích ČR, vlivem suburbanizace však znatelně rychleji v krajích Středočeském (o 1,5 %) a Plzeňském (o 0,9</w:t>
      </w:r>
      <w:r w:rsidR="00424E61">
        <w:t xml:space="preserve"> </w:t>
      </w:r>
      <w:r w:rsidRPr="001344FD">
        <w:t>%), nejmenší a v rámci ČR podprůměrné meziroční nárůsty vykazovaly stejně jako v loňském roce venkovské obce na Zlínsku a Olomoucku a v Kraji Vysočina. Velikostní kategorií sídel, která obyvatelstvo meziročně ztratila, byla opět města od 10 do 100 tis. obyvatel, úbytek populace registrovalo 65 % z nich</w:t>
      </w:r>
      <w:r w:rsidRPr="004739C9">
        <w:t>.</w:t>
      </w:r>
      <w:r w:rsidR="001344FD" w:rsidRPr="004739C9">
        <w:rPr>
          <w:rStyle w:val="Znakapoznpodarou"/>
          <w:rFonts w:cstheme="minorHAnsi"/>
        </w:rPr>
        <w:footnoteReference w:id="13"/>
      </w:r>
      <w:r w:rsidR="004739C9">
        <w:t xml:space="preserve"> </w:t>
      </w:r>
      <w:r w:rsidRPr="001344FD">
        <w:t>Vycházíme z rozložení obcí v kategoriích dle populační velikosti k 1. 1. 2020, počet obyvatel v jednotlivých velikostních skupinách obcí srovnáváme se stavem obyvatelstva těchto obcí k 1. 1. 2019</w:t>
      </w:r>
      <w:r w:rsidR="001B4F95" w:rsidRPr="001344FD">
        <w:t>.</w:t>
      </w:r>
    </w:p>
    <w:p w14:paraId="7DF303C6" w14:textId="77777777" w:rsidR="00A14B9B" w:rsidRPr="004739C9" w:rsidRDefault="00A14B9B" w:rsidP="001344FD">
      <w:pPr>
        <w:pStyle w:val="UZEINormaln"/>
        <w:rPr>
          <w:rFonts w:eastAsia="Calibri"/>
          <w:b/>
          <w:bCs/>
        </w:rPr>
      </w:pPr>
      <w:r w:rsidRPr="004739C9">
        <w:rPr>
          <w:rFonts w:eastAsia="Calibri"/>
          <w:b/>
          <w:bCs/>
        </w:rPr>
        <w:t>Věková struktura obyvatel na venkově</w:t>
      </w:r>
    </w:p>
    <w:p w14:paraId="6EE4CF74" w14:textId="77777777" w:rsidR="00A14B9B" w:rsidRPr="001344FD" w:rsidRDefault="00A14B9B" w:rsidP="001344FD">
      <w:pPr>
        <w:pStyle w:val="UZEINormaln"/>
        <w:rPr>
          <w:rFonts w:eastAsiaTheme="minorEastAsia"/>
        </w:rPr>
      </w:pPr>
      <w:r w:rsidRPr="001344FD">
        <w:rPr>
          <w:rStyle w:val="Siln"/>
          <w:rFonts w:eastAsiaTheme="minorEastAsia"/>
          <w:b w:val="0"/>
          <w:bCs w:val="0"/>
        </w:rPr>
        <w:t xml:space="preserve">Od 80. let 20. století populace ČR demograficky stárne (zvyšuje se průměrný věk obyvatel, mění se zastoupení dětské a </w:t>
      </w:r>
      <w:proofErr w:type="spellStart"/>
      <w:r w:rsidRPr="001344FD">
        <w:rPr>
          <w:rStyle w:val="Siln"/>
          <w:rFonts w:eastAsiaTheme="minorEastAsia"/>
          <w:b w:val="0"/>
          <w:bCs w:val="0"/>
        </w:rPr>
        <w:t>postreprodukční</w:t>
      </w:r>
      <w:proofErr w:type="spellEnd"/>
      <w:r w:rsidRPr="001344FD">
        <w:rPr>
          <w:rStyle w:val="Siln"/>
          <w:rFonts w:eastAsiaTheme="minorEastAsia"/>
          <w:b w:val="0"/>
          <w:bCs w:val="0"/>
        </w:rPr>
        <w:t xml:space="preserve"> složky populace vlivem dlouhodobě velmi nízké porodnosti, plodnosti a zvyšování naděje na dožití), proces demografického stárnutí se zrychluje, populace ČR bude stárnout i v nadcházejících desetiletích a lze tak předpokládat úbytek podílu práceschopného obyvatelstva ve městech i na venkově. </w:t>
      </w:r>
      <w:r w:rsidRPr="001344FD">
        <w:rPr>
          <w:rFonts w:eastAsiaTheme="minorEastAsia"/>
        </w:rPr>
        <w:t xml:space="preserve">Od roku 2009 v populaci ČR ubývá obyvatelstvo ve věkové skupině 15-64 let (produktivní složka), v populaci přibývá ekonomicky neaktivních – především seniorů, jejichž podíl je od roku 2006 vyšší než zastoupení obyvatel v nejmladší věkové skupině 0-14 let. </w:t>
      </w:r>
    </w:p>
    <w:p w14:paraId="5AF786F5" w14:textId="1D88E227" w:rsidR="00A14B9B" w:rsidRPr="00D152FF" w:rsidRDefault="00A14B9B" w:rsidP="001344FD">
      <w:pPr>
        <w:pStyle w:val="UZEINormaln"/>
        <w:rPr>
          <w:rStyle w:val="Siln"/>
          <w:rFonts w:eastAsiaTheme="minorEastAsia"/>
          <w:b w:val="0"/>
          <w:szCs w:val="23"/>
          <w:highlight w:val="yellow"/>
        </w:rPr>
      </w:pPr>
      <w:r w:rsidRPr="001344FD">
        <w:rPr>
          <w:rStyle w:val="Siln"/>
          <w:rFonts w:eastAsiaTheme="minorEastAsia"/>
          <w:b w:val="0"/>
          <w:bCs w:val="0"/>
        </w:rPr>
        <w:t>Z hlediska věkové struktury obyvatelstva a její případných změn se mezi venkovskými obcemi do 2000 obyvatel a městy výrazné odlišnosti neprojevují. Stárnutí populace se projevuje ve městech i na venkově poklesem zastoupení obyvatel v produktivním věku (15-64 let) na obyvatelstvu (v meziročním srovnání let 2020 a 2019 na 64,5 % na venkově a 63,9 % ve městech) a nárůstem podílu obyvatel nad 65 let (18,9 % na venkově a 20,3</w:t>
      </w:r>
      <w:r w:rsidR="00141769">
        <w:rPr>
          <w:rStyle w:val="Siln"/>
          <w:rFonts w:eastAsiaTheme="minorEastAsia"/>
          <w:b w:val="0"/>
          <w:bCs w:val="0"/>
        </w:rPr>
        <w:t xml:space="preserve"> </w:t>
      </w:r>
      <w:r w:rsidRPr="001344FD">
        <w:rPr>
          <w:rStyle w:val="Siln"/>
          <w:rFonts w:eastAsiaTheme="minorEastAsia"/>
          <w:b w:val="0"/>
          <w:bCs w:val="0"/>
        </w:rPr>
        <w:t>% ve městech) i pomalejším nárůstem podílu dětí do 15 let (16,6</w:t>
      </w:r>
      <w:r w:rsidR="00141769">
        <w:rPr>
          <w:rStyle w:val="Siln"/>
          <w:rFonts w:eastAsiaTheme="minorEastAsia"/>
          <w:b w:val="0"/>
          <w:bCs w:val="0"/>
        </w:rPr>
        <w:t xml:space="preserve"> </w:t>
      </w:r>
      <w:r w:rsidRPr="001344FD">
        <w:rPr>
          <w:rStyle w:val="Siln"/>
          <w:rFonts w:eastAsiaTheme="minorEastAsia"/>
          <w:b w:val="0"/>
          <w:bCs w:val="0"/>
        </w:rPr>
        <w:t>% na venkově a 15,8</w:t>
      </w:r>
      <w:r w:rsidR="009E7A53">
        <w:rPr>
          <w:rStyle w:val="Siln"/>
          <w:rFonts w:eastAsiaTheme="minorEastAsia"/>
          <w:b w:val="0"/>
          <w:bCs w:val="0"/>
        </w:rPr>
        <w:t xml:space="preserve"> </w:t>
      </w:r>
      <w:r w:rsidRPr="001344FD">
        <w:rPr>
          <w:rStyle w:val="Siln"/>
          <w:rFonts w:eastAsiaTheme="minorEastAsia"/>
          <w:b w:val="0"/>
          <w:bCs w:val="0"/>
        </w:rPr>
        <w:t>% ve městech)</w:t>
      </w:r>
    </w:p>
    <w:p w14:paraId="65013B8B" w14:textId="2758A5CC" w:rsidR="00A14B9B" w:rsidRPr="00D152FF" w:rsidRDefault="00A14B9B" w:rsidP="001344FD">
      <w:pPr>
        <w:pStyle w:val="UZEINormaln"/>
        <w:rPr>
          <w:rStyle w:val="Siln"/>
          <w:rFonts w:eastAsiaTheme="minorEastAsia"/>
          <w:b w:val="0"/>
        </w:rPr>
      </w:pPr>
      <w:r w:rsidRPr="001344FD">
        <w:t>Dlouhodobě rostoucí index stáří, tedy počet obyvatel nad 65 let věku na sto mladších 15 let, se</w:t>
      </w:r>
      <w:r w:rsidR="004D40B0">
        <w:t xml:space="preserve"> </w:t>
      </w:r>
      <w:r w:rsidRPr="001344FD">
        <w:t xml:space="preserve">v roce 2020 dále navýšil na 124,6 (113,5 na venkově oproti 129,0 ve městech). </w:t>
      </w:r>
      <w:r w:rsidRPr="001344FD">
        <w:rPr>
          <w:rStyle w:val="Siln"/>
          <w:rFonts w:eastAsiaTheme="minorEastAsia"/>
          <w:b w:val="0"/>
          <w:bCs w:val="0"/>
        </w:rPr>
        <w:t>I když ve městech (a to v ČR i v jednotlivých krajích) je rozdíl mezi zastoupením dětské a postproduktivní složky obyvatelstva méně příznivý (vlivem zejména vyšší plodnosti žen na venkově, migrací z měst – stěhují se často mladší obyvatelé s dětmi – a dále vyšší úmrtnosti na venkově), současně platí, že u venkovských obcí s klesající velikostní kategorií obce v populaci klesá podíl dětí a znatelně narůstá podíl seniorů. Na 100 obyvatel mladších 15 let tak v nejmenších obcích (do 99 obyvatel) průměrně připadá</w:t>
      </w:r>
      <w:r w:rsidR="009E7A53">
        <w:rPr>
          <w:rStyle w:val="Siln"/>
          <w:rFonts w:eastAsiaTheme="minorEastAsia"/>
          <w:b w:val="0"/>
          <w:bCs w:val="0"/>
        </w:rPr>
        <w:t xml:space="preserve"> </w:t>
      </w:r>
      <w:r w:rsidRPr="001344FD">
        <w:rPr>
          <w:rStyle w:val="Siln"/>
          <w:rFonts w:eastAsiaTheme="minorEastAsia"/>
          <w:b w:val="0"/>
          <w:bCs w:val="0"/>
        </w:rPr>
        <w:t xml:space="preserve">cca 153 seniorů. Naopak venkovské obce nad 1000 obyvatel mají podíl seniorské a </w:t>
      </w:r>
      <w:proofErr w:type="spellStart"/>
      <w:r w:rsidRPr="001344FD">
        <w:rPr>
          <w:rStyle w:val="Siln"/>
          <w:rFonts w:eastAsiaTheme="minorEastAsia"/>
          <w:b w:val="0"/>
          <w:bCs w:val="0"/>
        </w:rPr>
        <w:t>předreproduktivní</w:t>
      </w:r>
      <w:proofErr w:type="spellEnd"/>
      <w:r w:rsidRPr="001344FD">
        <w:rPr>
          <w:rStyle w:val="Siln"/>
          <w:rFonts w:eastAsiaTheme="minorEastAsia"/>
          <w:b w:val="0"/>
          <w:bCs w:val="0"/>
        </w:rPr>
        <w:t xml:space="preserve"> složky populace nejpříznivější (viz </w:t>
      </w:r>
      <w:r w:rsidR="004D40B0">
        <w:rPr>
          <w:rStyle w:val="Siln"/>
          <w:rFonts w:eastAsiaTheme="minorEastAsia"/>
          <w:b w:val="0"/>
          <w:bCs w:val="0"/>
        </w:rPr>
        <w:fldChar w:fldCharType="begin"/>
      </w:r>
      <w:r w:rsidR="004D40B0">
        <w:rPr>
          <w:rStyle w:val="Siln"/>
          <w:rFonts w:eastAsiaTheme="minorEastAsia"/>
          <w:b w:val="0"/>
          <w:bCs w:val="0"/>
        </w:rPr>
        <w:instrText xml:space="preserve"> REF _Ref81777716 \r \h </w:instrText>
      </w:r>
      <w:r w:rsidR="004D40B0">
        <w:rPr>
          <w:rStyle w:val="Siln"/>
          <w:rFonts w:eastAsiaTheme="minorEastAsia"/>
          <w:b w:val="0"/>
          <w:bCs w:val="0"/>
        </w:rPr>
      </w:r>
      <w:r w:rsidR="004D40B0">
        <w:rPr>
          <w:rStyle w:val="Siln"/>
          <w:rFonts w:eastAsiaTheme="minorEastAsia"/>
          <w:b w:val="0"/>
          <w:bCs w:val="0"/>
        </w:rPr>
        <w:fldChar w:fldCharType="separate"/>
      </w:r>
      <w:r w:rsidR="004D40B0">
        <w:rPr>
          <w:rStyle w:val="Siln"/>
          <w:rFonts w:eastAsiaTheme="minorEastAsia"/>
          <w:b w:val="0"/>
          <w:bCs w:val="0"/>
        </w:rPr>
        <w:t>Obrázek 10</w:t>
      </w:r>
      <w:r w:rsidR="004D40B0">
        <w:rPr>
          <w:rStyle w:val="Siln"/>
          <w:rFonts w:eastAsiaTheme="minorEastAsia"/>
          <w:b w:val="0"/>
          <w:bCs w:val="0"/>
        </w:rPr>
        <w:fldChar w:fldCharType="end"/>
      </w:r>
      <w:r w:rsidRPr="001344FD">
        <w:rPr>
          <w:rStyle w:val="Siln"/>
          <w:rFonts w:eastAsiaTheme="minorEastAsia"/>
          <w:b w:val="0"/>
          <w:bCs w:val="0"/>
        </w:rPr>
        <w:t>).</w:t>
      </w:r>
    </w:p>
    <w:p w14:paraId="23B285F6" w14:textId="77777777" w:rsidR="00FD70C1" w:rsidRPr="001344FD" w:rsidRDefault="00FD70C1" w:rsidP="001344FD">
      <w:pPr>
        <w:pStyle w:val="UZEINormaln"/>
        <w:rPr>
          <w:rStyle w:val="Siln"/>
          <w:rFonts w:eastAsiaTheme="minorEastAsia"/>
          <w:b w:val="0"/>
          <w:bCs w:val="0"/>
        </w:rPr>
      </w:pPr>
    </w:p>
    <w:p w14:paraId="665CE7F7" w14:textId="77777777" w:rsidR="00FD70C1" w:rsidRPr="001344FD" w:rsidRDefault="00FD70C1" w:rsidP="001344FD">
      <w:pPr>
        <w:pStyle w:val="UZEINormaln"/>
        <w:rPr>
          <w:rStyle w:val="Siln"/>
          <w:rFonts w:eastAsiaTheme="minorEastAsia"/>
          <w:b w:val="0"/>
          <w:bCs w:val="0"/>
        </w:rPr>
      </w:pPr>
    </w:p>
    <w:p w14:paraId="2CE71E3C" w14:textId="77777777" w:rsidR="00FD70C1" w:rsidRPr="001344FD" w:rsidRDefault="00FD70C1" w:rsidP="001344FD">
      <w:pPr>
        <w:pStyle w:val="UZEINormaln"/>
        <w:rPr>
          <w:rStyle w:val="Siln"/>
          <w:rFonts w:eastAsiaTheme="minorEastAsia"/>
          <w:b w:val="0"/>
          <w:bCs w:val="0"/>
        </w:rPr>
      </w:pPr>
    </w:p>
    <w:p w14:paraId="7B563BD4" w14:textId="4A238707" w:rsidR="00A14B9B" w:rsidRPr="004739C9" w:rsidRDefault="00A14B9B" w:rsidP="009E7A53">
      <w:pPr>
        <w:pStyle w:val="UZEIObr"/>
        <w:ind w:left="0" w:firstLine="0"/>
        <w:rPr>
          <w:rFonts w:eastAsiaTheme="minorEastAsia"/>
        </w:rPr>
      </w:pPr>
      <w:bookmarkStart w:id="293" w:name="_Ref81777716"/>
      <w:bookmarkStart w:id="294" w:name="_Toc81815391"/>
      <w:bookmarkStart w:id="295" w:name="_Toc81817596"/>
      <w:bookmarkStart w:id="296" w:name="_Toc525727623"/>
      <w:bookmarkStart w:id="297" w:name="_Toc525735910"/>
      <w:bookmarkStart w:id="298" w:name="_Toc25919852"/>
      <w:r w:rsidRPr="004739C9">
        <w:rPr>
          <w:rFonts w:eastAsiaTheme="minorEastAsia"/>
        </w:rPr>
        <w:lastRenderedPageBreak/>
        <w:t>Věková struktura populace (%) a index stáří ve velikostních skupinách obcí ČR v roce 2020</w:t>
      </w:r>
      <w:bookmarkEnd w:id="293"/>
      <w:bookmarkEnd w:id="294"/>
      <w:bookmarkEnd w:id="295"/>
    </w:p>
    <w:p w14:paraId="36422948" w14:textId="77777777" w:rsidR="00A14B9B" w:rsidRPr="002A0D4F" w:rsidRDefault="00A14B9B" w:rsidP="00A14B9B">
      <w:pPr>
        <w:rPr>
          <w:rFonts w:eastAsia="Times New Roman" w:cs="Times New Roman"/>
          <w:szCs w:val="23"/>
          <w:lang w:val="cs-CZ"/>
        </w:rPr>
      </w:pPr>
      <w:r w:rsidRPr="002A0D4F">
        <w:rPr>
          <w:noProof/>
          <w:lang w:val="cs-CZ" w:eastAsia="cs-CZ"/>
        </w:rPr>
        <w:drawing>
          <wp:inline distT="0" distB="0" distL="0" distR="0" wp14:anchorId="502C2DBC" wp14:editId="073CFF87">
            <wp:extent cx="4603640" cy="2771775"/>
            <wp:effectExtent l="0" t="0" r="6985" b="0"/>
            <wp:docPr id="2066888091" name="Picture 2066888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6888091"/>
                    <pic:cNvPicPr/>
                  </pic:nvPicPr>
                  <pic:blipFill>
                    <a:blip r:embed="rId27">
                      <a:extLst>
                        <a:ext uri="{28A0092B-C50C-407E-A947-70E740481C1C}">
                          <a14:useLocalDpi xmlns:a14="http://schemas.microsoft.com/office/drawing/2010/main" val="0"/>
                        </a:ext>
                      </a:extLst>
                    </a:blip>
                    <a:stretch>
                      <a:fillRect/>
                    </a:stretch>
                  </pic:blipFill>
                  <pic:spPr>
                    <a:xfrm>
                      <a:off x="0" y="0"/>
                      <a:ext cx="4641049" cy="2794298"/>
                    </a:xfrm>
                    <a:prstGeom prst="rect">
                      <a:avLst/>
                    </a:prstGeom>
                  </pic:spPr>
                </pic:pic>
              </a:graphicData>
            </a:graphic>
          </wp:inline>
        </w:drawing>
      </w:r>
    </w:p>
    <w:p w14:paraId="79FF60AC" w14:textId="77777777" w:rsidR="00A14B9B" w:rsidRPr="002A0D4F" w:rsidRDefault="00A14B9B" w:rsidP="00A14B9B">
      <w:pPr>
        <w:keepNext/>
        <w:rPr>
          <w:lang w:val="cs-CZ"/>
        </w:rPr>
      </w:pPr>
      <w:r w:rsidRPr="002A0D4F">
        <w:rPr>
          <w:noProof/>
          <w:lang w:val="cs-CZ" w:eastAsia="cs-CZ"/>
        </w:rPr>
        <w:drawing>
          <wp:inline distT="0" distB="0" distL="0" distR="0" wp14:anchorId="357D3417" wp14:editId="4EB4C68A">
            <wp:extent cx="4600575" cy="2140335"/>
            <wp:effectExtent l="0" t="0" r="0" b="0"/>
            <wp:docPr id="160422041" name="Picture 828579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8579224"/>
                    <pic:cNvPicPr/>
                  </pic:nvPicPr>
                  <pic:blipFill>
                    <a:blip r:embed="rId28">
                      <a:extLst>
                        <a:ext uri="{28A0092B-C50C-407E-A947-70E740481C1C}">
                          <a14:useLocalDpi xmlns:a14="http://schemas.microsoft.com/office/drawing/2010/main" val="0"/>
                        </a:ext>
                      </a:extLst>
                    </a:blip>
                    <a:stretch>
                      <a:fillRect/>
                    </a:stretch>
                  </pic:blipFill>
                  <pic:spPr>
                    <a:xfrm>
                      <a:off x="0" y="0"/>
                      <a:ext cx="4622572" cy="2150569"/>
                    </a:xfrm>
                    <a:prstGeom prst="rect">
                      <a:avLst/>
                    </a:prstGeom>
                  </pic:spPr>
                </pic:pic>
              </a:graphicData>
            </a:graphic>
          </wp:inline>
        </w:drawing>
      </w:r>
    </w:p>
    <w:bookmarkEnd w:id="296"/>
    <w:bookmarkEnd w:id="297"/>
    <w:p w14:paraId="552CACFB" w14:textId="77777777" w:rsidR="00A14B9B" w:rsidRPr="002A0D4F" w:rsidRDefault="00A14B9B" w:rsidP="00A14B9B">
      <w:pPr>
        <w:pStyle w:val="Titulek"/>
        <w:spacing w:after="0"/>
      </w:pPr>
      <w:r w:rsidRPr="002A0D4F">
        <w:rPr>
          <w:noProof/>
          <w:lang w:eastAsia="cs-CZ"/>
        </w:rPr>
        <w:drawing>
          <wp:inline distT="0" distB="0" distL="0" distR="0" wp14:anchorId="15EE405B" wp14:editId="33899784">
            <wp:extent cx="4591050" cy="2552700"/>
            <wp:effectExtent l="0" t="0" r="0" b="0"/>
            <wp:docPr id="1737972151" name="Graf 1737972151">
              <a:extLst xmlns:a="http://schemas.openxmlformats.org/drawingml/2006/main">
                <a:ext uri="{FF2B5EF4-FFF2-40B4-BE49-F238E27FC236}">
                  <a16:creationId xmlns:a16="http://schemas.microsoft.com/office/drawing/2014/main" id="{CDD42DE3-5AB0-496A-86A2-4A07A8D8446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bookmarkEnd w:id="298"/>
    </w:p>
    <w:p w14:paraId="2DF4F4D3" w14:textId="77777777" w:rsidR="00A14B9B" w:rsidRPr="004739C9" w:rsidRDefault="00A14B9B" w:rsidP="004739C9">
      <w:pPr>
        <w:pStyle w:val="UZEIZdroj"/>
      </w:pPr>
      <w:r w:rsidRPr="004739C9">
        <w:t>Zdroj: Malý lexikon obcí ČR 2019, ČSÚ 2020.</w:t>
      </w:r>
    </w:p>
    <w:p w14:paraId="109EC586" w14:textId="77777777" w:rsidR="009E7A53" w:rsidRDefault="009E7A53">
      <w:pPr>
        <w:spacing w:after="160" w:line="259" w:lineRule="auto"/>
        <w:jc w:val="left"/>
        <w:rPr>
          <w:rFonts w:eastAsiaTheme="minorEastAsia" w:cstheme="minorHAnsi"/>
          <w:szCs w:val="24"/>
          <w:lang w:val="cs-CZ" w:eastAsia="cs-CZ"/>
        </w:rPr>
      </w:pPr>
      <w:r>
        <w:rPr>
          <w:rFonts w:eastAsiaTheme="minorEastAsia"/>
        </w:rPr>
        <w:br w:type="page"/>
      </w:r>
    </w:p>
    <w:p w14:paraId="2960FBC0" w14:textId="25859480" w:rsidR="00A14B9B" w:rsidRPr="002A0D4F" w:rsidRDefault="00A14B9B" w:rsidP="00D152FF">
      <w:pPr>
        <w:pStyle w:val="UZEINormaln"/>
        <w:rPr>
          <w:rFonts w:eastAsiaTheme="minorEastAsia"/>
        </w:rPr>
      </w:pPr>
      <w:r w:rsidRPr="002A0D4F">
        <w:rPr>
          <w:rFonts w:eastAsiaTheme="minorEastAsia"/>
        </w:rPr>
        <w:lastRenderedPageBreak/>
        <w:t xml:space="preserve">I když mezikrajské rozdíly v indexu stáří nejsou příliš výrazné (výjimkou je zejména vlivem suburbanizace mladší populace Středočeského kraje), v rámci ČR nadprůměrné (tj. z hlediska budoucího rozvoje </w:t>
      </w:r>
      <w:r w:rsidRPr="002A0D4F">
        <w:rPr>
          <w:rFonts w:eastAsiaTheme="minorEastAsia"/>
          <w:color w:val="000000" w:themeColor="text1"/>
        </w:rPr>
        <w:t>území méně příznivé) hodnoty dosahuje ukazatel v obcích a městech v převážně venkovských krajích (</w:t>
      </w:r>
      <w:r w:rsidR="004F7BA0">
        <w:rPr>
          <w:rFonts w:eastAsiaTheme="minorEastAsia"/>
          <w:color w:val="000000" w:themeColor="text1"/>
        </w:rPr>
        <w:fldChar w:fldCharType="begin"/>
      </w:r>
      <w:r w:rsidR="004F7BA0">
        <w:rPr>
          <w:rFonts w:eastAsiaTheme="minorEastAsia"/>
          <w:color w:val="000000" w:themeColor="text1"/>
        </w:rPr>
        <w:instrText xml:space="preserve"> REF _Ref81777790 \r \h </w:instrText>
      </w:r>
      <w:r w:rsidR="004F7BA0">
        <w:rPr>
          <w:rFonts w:eastAsiaTheme="minorEastAsia"/>
          <w:color w:val="000000" w:themeColor="text1"/>
        </w:rPr>
      </w:r>
      <w:r w:rsidR="004F7BA0">
        <w:rPr>
          <w:rFonts w:eastAsiaTheme="minorEastAsia"/>
          <w:color w:val="000000" w:themeColor="text1"/>
        </w:rPr>
        <w:fldChar w:fldCharType="separate"/>
      </w:r>
      <w:r w:rsidR="004F7BA0">
        <w:rPr>
          <w:rFonts w:eastAsiaTheme="minorEastAsia"/>
          <w:color w:val="000000" w:themeColor="text1"/>
        </w:rPr>
        <w:t>Obrázek 11</w:t>
      </w:r>
      <w:r w:rsidR="004F7BA0">
        <w:rPr>
          <w:rFonts w:eastAsiaTheme="minorEastAsia"/>
          <w:color w:val="000000" w:themeColor="text1"/>
        </w:rPr>
        <w:fldChar w:fldCharType="end"/>
      </w:r>
      <w:r w:rsidRPr="002A0D4F">
        <w:rPr>
          <w:rFonts w:eastAsiaTheme="minorEastAsia"/>
          <w:color w:val="000000" w:themeColor="text1"/>
        </w:rPr>
        <w:t>). Vyšší hodnoty indexu stáří mají ve všech krajích města (</w:t>
      </w:r>
      <w:r w:rsidR="004F7BA0">
        <w:rPr>
          <w:rFonts w:eastAsiaTheme="minorEastAsia"/>
          <w:color w:val="000000" w:themeColor="text1"/>
        </w:rPr>
        <w:fldChar w:fldCharType="begin"/>
      </w:r>
      <w:r w:rsidR="004F7BA0">
        <w:rPr>
          <w:rFonts w:eastAsiaTheme="minorEastAsia"/>
          <w:color w:val="000000" w:themeColor="text1"/>
        </w:rPr>
        <w:instrText xml:space="preserve"> REF _Ref81777801 \r \h </w:instrText>
      </w:r>
      <w:r w:rsidR="004F7BA0">
        <w:rPr>
          <w:rFonts w:eastAsiaTheme="minorEastAsia"/>
          <w:color w:val="000000" w:themeColor="text1"/>
        </w:rPr>
      </w:r>
      <w:r w:rsidR="004F7BA0">
        <w:rPr>
          <w:rFonts w:eastAsiaTheme="minorEastAsia"/>
          <w:color w:val="000000" w:themeColor="text1"/>
        </w:rPr>
        <w:fldChar w:fldCharType="separate"/>
      </w:r>
      <w:r w:rsidR="004F7BA0">
        <w:rPr>
          <w:rFonts w:eastAsiaTheme="minorEastAsia"/>
          <w:color w:val="000000" w:themeColor="text1"/>
        </w:rPr>
        <w:t>Obrázek 12</w:t>
      </w:r>
      <w:r w:rsidR="004F7BA0">
        <w:rPr>
          <w:rFonts w:eastAsiaTheme="minorEastAsia"/>
          <w:color w:val="000000" w:themeColor="text1"/>
        </w:rPr>
        <w:fldChar w:fldCharType="end"/>
      </w:r>
      <w:r w:rsidRPr="002A0D4F">
        <w:rPr>
          <w:rFonts w:eastAsiaTheme="minorEastAsia"/>
          <w:color w:val="000000" w:themeColor="text1"/>
        </w:rPr>
        <w:t>), ve venkovských obcích dosahuje tento ukazatel nejméně příznivých hodnot zejména v krajích Plzeňském, Olomou</w:t>
      </w:r>
      <w:r w:rsidR="00540204">
        <w:rPr>
          <w:rFonts w:eastAsiaTheme="minorEastAsia"/>
          <w:color w:val="000000" w:themeColor="text1"/>
        </w:rPr>
        <w:t>c</w:t>
      </w:r>
      <w:r w:rsidRPr="002A0D4F">
        <w:rPr>
          <w:rFonts w:eastAsiaTheme="minorEastAsia"/>
          <w:color w:val="000000" w:themeColor="text1"/>
        </w:rPr>
        <w:t>kém a kraji Vysočina (přes 120)</w:t>
      </w:r>
      <w:r w:rsidRPr="002A0D4F">
        <w:rPr>
          <w:rFonts w:eastAsiaTheme="minorEastAsia"/>
        </w:rPr>
        <w:t xml:space="preserve">, ale ani v jejich případě se počet seniorů na sto obyvatel do 15 let výrazně neodlišuje od průměru ČR 124,6 v r. 2020). </w:t>
      </w:r>
    </w:p>
    <w:p w14:paraId="7EEC2F95" w14:textId="5D85F42D" w:rsidR="00A14B9B" w:rsidRPr="00540204" w:rsidRDefault="00A14B9B" w:rsidP="004D5E99">
      <w:pPr>
        <w:pStyle w:val="UZEIObr"/>
        <w:ind w:left="1276" w:hanging="1211"/>
        <w:rPr>
          <w:rFonts w:eastAsiaTheme="minorEastAsia"/>
        </w:rPr>
      </w:pPr>
      <w:bookmarkStart w:id="299" w:name="_Ref81777790"/>
      <w:bookmarkStart w:id="300" w:name="_Toc81815392"/>
      <w:bookmarkStart w:id="301" w:name="_Toc81817597"/>
      <w:bookmarkStart w:id="302" w:name="_Toc525727624"/>
      <w:bookmarkStart w:id="303" w:name="_Toc525735911"/>
      <w:bookmarkStart w:id="304" w:name="_Toc25919853"/>
      <w:r w:rsidRPr="00540204">
        <w:rPr>
          <w:rFonts w:eastAsiaTheme="minorEastAsia"/>
        </w:rPr>
        <w:t>Věková struktura populace (%) a index stáří v krajích ČR v roce 2020</w:t>
      </w:r>
      <w:bookmarkEnd w:id="299"/>
      <w:bookmarkEnd w:id="300"/>
      <w:bookmarkEnd w:id="301"/>
    </w:p>
    <w:p w14:paraId="49439F63" w14:textId="66E8356E" w:rsidR="00A14B9B" w:rsidRPr="004D5E99" w:rsidRDefault="00A14B9B" w:rsidP="004D5E99">
      <w:pPr>
        <w:pStyle w:val="UZEIZdroj"/>
      </w:pPr>
      <w:r w:rsidRPr="002A0D4F">
        <w:rPr>
          <w:noProof/>
          <w:lang w:eastAsia="cs-CZ"/>
        </w:rPr>
        <w:drawing>
          <wp:inline distT="0" distB="0" distL="0" distR="0" wp14:anchorId="3C2DFBC4" wp14:editId="4B20680B">
            <wp:extent cx="5753098" cy="3276600"/>
            <wp:effectExtent l="0" t="0" r="0" b="0"/>
            <wp:docPr id="1760599214" name="Picture 1760599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0599214"/>
                    <pic:cNvPicPr/>
                  </pic:nvPicPr>
                  <pic:blipFill>
                    <a:blip r:embed="rId30">
                      <a:extLst>
                        <a:ext uri="{28A0092B-C50C-407E-A947-70E740481C1C}">
                          <a14:useLocalDpi xmlns:a14="http://schemas.microsoft.com/office/drawing/2010/main" val="0"/>
                        </a:ext>
                      </a:extLst>
                    </a:blip>
                    <a:stretch>
                      <a:fillRect/>
                    </a:stretch>
                  </pic:blipFill>
                  <pic:spPr>
                    <a:xfrm>
                      <a:off x="0" y="0"/>
                      <a:ext cx="5753098" cy="3276600"/>
                    </a:xfrm>
                    <a:prstGeom prst="rect">
                      <a:avLst/>
                    </a:prstGeom>
                  </pic:spPr>
                </pic:pic>
              </a:graphicData>
            </a:graphic>
          </wp:inline>
        </w:drawing>
      </w:r>
      <w:bookmarkEnd w:id="302"/>
      <w:bookmarkEnd w:id="303"/>
      <w:bookmarkEnd w:id="304"/>
      <w:r w:rsidRPr="002A0D4F">
        <w:t>Zdroj: Malý lexikon obcí ČR 2020, ČSÚ 2020.</w:t>
      </w:r>
    </w:p>
    <w:p w14:paraId="14409423" w14:textId="77777777" w:rsidR="009E7A53" w:rsidRDefault="009E7A53">
      <w:pPr>
        <w:spacing w:after="160" w:line="259" w:lineRule="auto"/>
        <w:jc w:val="left"/>
        <w:rPr>
          <w:rFonts w:eastAsiaTheme="minorEastAsia" w:cs="Arial"/>
          <w:b/>
          <w:noProof/>
          <w:sz w:val="20"/>
          <w:szCs w:val="20"/>
          <w:lang w:val="cs-CZ" w:eastAsia="cs-CZ"/>
        </w:rPr>
      </w:pPr>
      <w:bookmarkStart w:id="305" w:name="_Toc25919854"/>
      <w:bookmarkStart w:id="306" w:name="_Toc525727625"/>
      <w:bookmarkStart w:id="307" w:name="_Toc525735912"/>
      <w:r>
        <w:rPr>
          <w:rFonts w:eastAsiaTheme="minorEastAsia"/>
        </w:rPr>
        <w:br w:type="page"/>
      </w:r>
    </w:p>
    <w:p w14:paraId="42468769" w14:textId="360C630C" w:rsidR="00A14B9B" w:rsidRPr="00540204" w:rsidRDefault="00A14B9B" w:rsidP="004D5E99">
      <w:pPr>
        <w:pStyle w:val="UZEIObr"/>
        <w:ind w:left="1276" w:hanging="1276"/>
        <w:rPr>
          <w:rFonts w:eastAsiaTheme="minorEastAsia"/>
        </w:rPr>
      </w:pPr>
      <w:r w:rsidRPr="00540204">
        <w:rPr>
          <w:rFonts w:eastAsiaTheme="minorEastAsia"/>
        </w:rPr>
        <w:lastRenderedPageBreak/>
        <w:t xml:space="preserve"> </w:t>
      </w:r>
      <w:bookmarkStart w:id="308" w:name="_Ref81777801"/>
      <w:bookmarkStart w:id="309" w:name="_Toc81815393"/>
      <w:bookmarkStart w:id="310" w:name="_Toc81817598"/>
      <w:r w:rsidRPr="00540204">
        <w:rPr>
          <w:rFonts w:eastAsiaTheme="minorEastAsia"/>
        </w:rPr>
        <w:t>Index stáří ve venkovských obcích a městech dle krajů ČR v roce 2020</w:t>
      </w:r>
      <w:bookmarkEnd w:id="305"/>
      <w:bookmarkEnd w:id="306"/>
      <w:bookmarkEnd w:id="307"/>
      <w:bookmarkEnd w:id="308"/>
      <w:bookmarkEnd w:id="309"/>
      <w:bookmarkEnd w:id="310"/>
    </w:p>
    <w:p w14:paraId="26C596F2" w14:textId="77777777" w:rsidR="00A14B9B" w:rsidRPr="002A0D4F" w:rsidRDefault="00A14B9B" w:rsidP="00A14B9B">
      <w:pPr>
        <w:rPr>
          <w:rFonts w:eastAsia="Times New Roman" w:cs="Times New Roman"/>
          <w:szCs w:val="23"/>
          <w:lang w:val="cs-CZ"/>
        </w:rPr>
      </w:pPr>
      <w:r w:rsidRPr="002A0D4F">
        <w:rPr>
          <w:noProof/>
          <w:lang w:val="cs-CZ" w:eastAsia="cs-CZ"/>
        </w:rPr>
        <w:drawing>
          <wp:inline distT="0" distB="0" distL="0" distR="0" wp14:anchorId="35443FAB" wp14:editId="0408167C">
            <wp:extent cx="6067425" cy="2250171"/>
            <wp:effectExtent l="0" t="0" r="0" b="0"/>
            <wp:docPr id="243721512" name="Obrázek 243721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43721512"/>
                    <pic:cNvPicPr/>
                  </pic:nvPicPr>
                  <pic:blipFill>
                    <a:blip r:embed="rId31">
                      <a:extLst>
                        <a:ext uri="{28A0092B-C50C-407E-A947-70E740481C1C}">
                          <a14:useLocalDpi xmlns:a14="http://schemas.microsoft.com/office/drawing/2010/main" val="0"/>
                        </a:ext>
                      </a:extLst>
                    </a:blip>
                    <a:stretch>
                      <a:fillRect/>
                    </a:stretch>
                  </pic:blipFill>
                  <pic:spPr>
                    <a:xfrm>
                      <a:off x="0" y="0"/>
                      <a:ext cx="6076678" cy="2253603"/>
                    </a:xfrm>
                    <a:prstGeom prst="rect">
                      <a:avLst/>
                    </a:prstGeom>
                  </pic:spPr>
                </pic:pic>
              </a:graphicData>
            </a:graphic>
          </wp:inline>
        </w:drawing>
      </w:r>
    </w:p>
    <w:p w14:paraId="053C868D" w14:textId="77777777" w:rsidR="00A14B9B" w:rsidRPr="002A0D4F" w:rsidRDefault="00A14B9B" w:rsidP="00A14B9B">
      <w:pPr>
        <w:rPr>
          <w:rFonts w:eastAsiaTheme="minorEastAsia"/>
          <w:i/>
          <w:iCs/>
          <w:lang w:val="cs-CZ"/>
        </w:rPr>
      </w:pPr>
      <w:r w:rsidRPr="002A0D4F">
        <w:rPr>
          <w:noProof/>
          <w:lang w:val="cs-CZ" w:eastAsia="cs-CZ"/>
        </w:rPr>
        <w:drawing>
          <wp:inline distT="0" distB="0" distL="0" distR="0" wp14:anchorId="6428DBD0" wp14:editId="0E85ACAE">
            <wp:extent cx="6067425" cy="2743200"/>
            <wp:effectExtent l="0" t="0" r="9525" b="0"/>
            <wp:docPr id="19" name="Graf 19">
              <a:extLst xmlns:a="http://schemas.openxmlformats.org/drawingml/2006/main">
                <a:ext uri="{FF2B5EF4-FFF2-40B4-BE49-F238E27FC236}">
                  <a16:creationId xmlns:a16="http://schemas.microsoft.com/office/drawing/2014/main" id="{7A62B515-2111-49F2-A45B-F52321038F6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14:paraId="4390455A" w14:textId="77777777" w:rsidR="00A14B9B" w:rsidRPr="002A0D4F" w:rsidRDefault="00A14B9B" w:rsidP="00540204">
      <w:pPr>
        <w:pStyle w:val="UZEIZdroj"/>
      </w:pPr>
      <w:r w:rsidRPr="002A0D4F">
        <w:rPr>
          <w:noProof/>
          <w:lang w:eastAsia="cs-CZ"/>
        </w:rPr>
        <w:drawing>
          <wp:inline distT="0" distB="0" distL="0" distR="0" wp14:anchorId="393E5B30" wp14:editId="72FDF638">
            <wp:extent cx="6057900" cy="2390775"/>
            <wp:effectExtent l="0" t="0" r="0" b="9525"/>
            <wp:docPr id="1737972155" name="Graf 1737972155">
              <a:extLst xmlns:a="http://schemas.openxmlformats.org/drawingml/2006/main">
                <a:ext uri="{FF2B5EF4-FFF2-40B4-BE49-F238E27FC236}">
                  <a16:creationId xmlns:a16="http://schemas.microsoft.com/office/drawing/2014/main" id="{7A62B515-2111-49F2-A45B-F52321038F6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r w:rsidRPr="005D59D7">
        <w:t>Zdroj: Malý lexikon obcí ČR 2020, ČSÚ 2021.</w:t>
      </w:r>
    </w:p>
    <w:p w14:paraId="10C16524" w14:textId="77777777" w:rsidR="00A14B9B" w:rsidRPr="00B818F0" w:rsidRDefault="00A14B9B" w:rsidP="005D59D7">
      <w:pPr>
        <w:pStyle w:val="UZEINormaln"/>
        <w:rPr>
          <w:rFonts w:eastAsiaTheme="minorEastAsia"/>
          <w:b/>
          <w:bCs/>
        </w:rPr>
      </w:pPr>
      <w:r w:rsidRPr="00B818F0">
        <w:rPr>
          <w:rFonts w:eastAsiaTheme="minorEastAsia"/>
          <w:b/>
          <w:bCs/>
        </w:rPr>
        <w:t>Vzdělanostní struktura obyvatel na venkově</w:t>
      </w:r>
    </w:p>
    <w:p w14:paraId="6651C894" w14:textId="0C7B9BA8" w:rsidR="00A14B9B" w:rsidRPr="005D59D7" w:rsidRDefault="00A14B9B" w:rsidP="005D59D7">
      <w:pPr>
        <w:pStyle w:val="UZEINormaln"/>
      </w:pPr>
      <w:r w:rsidRPr="005D59D7">
        <w:rPr>
          <w:rFonts w:eastAsiaTheme="minorEastAsia"/>
        </w:rPr>
        <w:t>Údaje o vzdělanostní struktuře uspořádané na základě velikostních skupin obcí zcela jednoznačně ukazují na převahu nižších stupňů vzdělání ve venkovských obcích ve srovnání s městy.</w:t>
      </w:r>
      <w:r w:rsidRPr="005D59D7">
        <w:t xml:space="preserve"> Mezi podstatné vlivy patří zemědělský charakter venkova a méně příhodná věková </w:t>
      </w:r>
      <w:r w:rsidRPr="005D59D7">
        <w:lastRenderedPageBreak/>
        <w:t>skladba v malých obcích se silným zastoupením osob starších 60, resp. 65 let. Podíly osob s nejnižším vzděláním s rostoucí velikostní skupinou obcí klesají.</w:t>
      </w:r>
    </w:p>
    <w:p w14:paraId="6A88BFF0" w14:textId="6E3F465F" w:rsidR="00A14B9B" w:rsidRPr="002A0D4F" w:rsidRDefault="00A14B9B" w:rsidP="00A910DD">
      <w:pPr>
        <w:pStyle w:val="UZEIObr"/>
        <w:ind w:left="1134" w:hanging="1134"/>
        <w:rPr>
          <w:rFonts w:eastAsiaTheme="minorEastAsia"/>
        </w:rPr>
      </w:pPr>
      <w:bookmarkStart w:id="311" w:name="_Toc525727626"/>
      <w:bookmarkStart w:id="312" w:name="_Toc525735913"/>
      <w:bookmarkStart w:id="313" w:name="_Toc25919855"/>
      <w:bookmarkStart w:id="314" w:name="_Toc81815394"/>
      <w:bookmarkStart w:id="315" w:name="_Toc81817599"/>
      <w:r w:rsidRPr="002A0D4F">
        <w:rPr>
          <w:rFonts w:eastAsiaTheme="minorEastAsia"/>
        </w:rPr>
        <w:t>Vzdělanostní struktura obyvatel 15 + ve velikostních kategoriích obcí ČR v roce 2011</w:t>
      </w:r>
      <w:bookmarkEnd w:id="311"/>
      <w:bookmarkEnd w:id="312"/>
      <w:bookmarkEnd w:id="313"/>
      <w:bookmarkEnd w:id="314"/>
      <w:bookmarkEnd w:id="315"/>
      <w:r w:rsidRPr="002A0D4F">
        <w:rPr>
          <w:rFonts w:eastAsiaTheme="minorEastAsia"/>
        </w:rPr>
        <w:t xml:space="preserve"> </w:t>
      </w:r>
    </w:p>
    <w:p w14:paraId="1B3842CA" w14:textId="77777777" w:rsidR="00A14B9B" w:rsidRPr="002A0D4F" w:rsidRDefault="00A14B9B" w:rsidP="00A14B9B">
      <w:pPr>
        <w:keepNext/>
        <w:rPr>
          <w:lang w:val="cs-CZ"/>
        </w:rPr>
      </w:pPr>
      <w:r w:rsidRPr="002A0D4F">
        <w:rPr>
          <w:noProof/>
          <w:lang w:val="cs-CZ" w:eastAsia="cs-CZ"/>
        </w:rPr>
        <w:drawing>
          <wp:inline distT="0" distB="0" distL="0" distR="0" wp14:anchorId="4C341B4F" wp14:editId="06087B59">
            <wp:extent cx="5743575" cy="2543175"/>
            <wp:effectExtent l="0" t="0" r="9525" b="9525"/>
            <wp:docPr id="6" name="Graf 6">
              <a:extLst xmlns:a="http://schemas.openxmlformats.org/drawingml/2006/main">
                <a:ext uri="{FF2B5EF4-FFF2-40B4-BE49-F238E27FC236}">
                  <a16:creationId xmlns:a16="http://schemas.microsoft.com/office/drawing/2014/main" id="{FA5BAC2C-EAE8-4681-9C88-64C53CDB211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14:paraId="586708BD" w14:textId="77777777" w:rsidR="00A14B9B" w:rsidRPr="002A0D4F" w:rsidRDefault="00A14B9B" w:rsidP="00540204">
      <w:pPr>
        <w:pStyle w:val="UZEIZdroj"/>
      </w:pPr>
      <w:r w:rsidRPr="002A0D4F">
        <w:t>Zdroj: ČSÚ, SLDB 2011.</w:t>
      </w:r>
    </w:p>
    <w:p w14:paraId="03C70DD6" w14:textId="003F72BD" w:rsidR="00A14B9B" w:rsidRPr="005D59D7" w:rsidRDefault="00A14B9B" w:rsidP="005D59D7">
      <w:pPr>
        <w:pStyle w:val="UZEINormaln"/>
      </w:pPr>
      <w:r w:rsidRPr="005D59D7">
        <w:t xml:space="preserve">I když se dle </w:t>
      </w:r>
      <w:r w:rsidR="00B818F0">
        <w:fldChar w:fldCharType="begin"/>
      </w:r>
      <w:r w:rsidR="00B818F0">
        <w:instrText xml:space="preserve"> REF _Ref81777830 \r \h </w:instrText>
      </w:r>
      <w:r w:rsidR="00B818F0">
        <w:fldChar w:fldCharType="separate"/>
      </w:r>
      <w:r w:rsidR="00B818F0">
        <w:t>Obrázek 14</w:t>
      </w:r>
      <w:r w:rsidR="00B818F0">
        <w:fldChar w:fldCharType="end"/>
      </w:r>
      <w:r w:rsidR="00B818F0">
        <w:t xml:space="preserve"> </w:t>
      </w:r>
      <w:r w:rsidRPr="005D59D7">
        <w:t xml:space="preserve">ukazujícího vývoj vzdělanostní struktury mezi posledními dvěma cenzy celková vzdělanost obyvatel venkova zlepšuje – ve srovnání s městy na venkově dokonce relativně více klesl podíl osob se základním vzděláním a více narostl podíl osob s úplným středním vzděláním (s maturitou), vzdělanostní struktura obyvatel venkova v roce 2011 byla stále horší než ve městech v roce 2001. Relativně mírnějším tempem na venkově přibývá také vysokoškolsky vzdělaných. </w:t>
      </w:r>
    </w:p>
    <w:p w14:paraId="066A6FB0" w14:textId="749E8C66" w:rsidR="00A14B9B" w:rsidRPr="002A0D4F" w:rsidRDefault="00A14B9B" w:rsidP="00BB7657">
      <w:pPr>
        <w:pStyle w:val="UZEIObr"/>
        <w:ind w:left="0" w:firstLine="0"/>
        <w:rPr>
          <w:rFonts w:eastAsiaTheme="majorEastAsia"/>
        </w:rPr>
      </w:pPr>
      <w:bookmarkStart w:id="316" w:name="_Toc525727627"/>
      <w:bookmarkStart w:id="317" w:name="_Toc525735914"/>
      <w:bookmarkStart w:id="318" w:name="_Toc25919856"/>
      <w:r w:rsidRPr="002A0D4F">
        <w:rPr>
          <w:rFonts w:eastAsiaTheme="majorEastAsia"/>
        </w:rPr>
        <w:t xml:space="preserve"> </w:t>
      </w:r>
      <w:bookmarkStart w:id="319" w:name="_Ref81777830"/>
      <w:bookmarkStart w:id="320" w:name="_Toc81815395"/>
      <w:bookmarkStart w:id="321" w:name="_Toc81817600"/>
      <w:r w:rsidRPr="002A0D4F">
        <w:rPr>
          <w:rFonts w:eastAsiaTheme="majorEastAsia"/>
        </w:rPr>
        <w:t>Vzdělanostní struktura obyvatel 15 + ve venkovských obcích a městech ČR v letech 2001, 2011</w:t>
      </w:r>
      <w:bookmarkEnd w:id="316"/>
      <w:bookmarkEnd w:id="317"/>
      <w:r w:rsidRPr="002A0D4F">
        <w:rPr>
          <w:rFonts w:eastAsiaTheme="majorEastAsia"/>
        </w:rPr>
        <w:t xml:space="preserve"> (%)</w:t>
      </w:r>
      <w:bookmarkEnd w:id="318"/>
      <w:bookmarkEnd w:id="319"/>
      <w:bookmarkEnd w:id="320"/>
      <w:bookmarkEnd w:id="321"/>
    </w:p>
    <w:p w14:paraId="3C4B551B" w14:textId="77777777" w:rsidR="00A14B9B" w:rsidRPr="002A0D4F" w:rsidRDefault="00A14B9B" w:rsidP="00A14B9B">
      <w:pPr>
        <w:keepNext/>
        <w:rPr>
          <w:lang w:val="cs-CZ"/>
        </w:rPr>
      </w:pPr>
      <w:r w:rsidRPr="002A0D4F">
        <w:rPr>
          <w:noProof/>
          <w:lang w:val="cs-CZ" w:eastAsia="cs-CZ"/>
        </w:rPr>
        <w:drawing>
          <wp:inline distT="0" distB="0" distL="0" distR="0" wp14:anchorId="0E70AA0D" wp14:editId="1338685A">
            <wp:extent cx="4143375" cy="3596244"/>
            <wp:effectExtent l="0" t="0" r="0" b="4445"/>
            <wp:docPr id="903529564"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35">
                      <a:extLst>
                        <a:ext uri="{28A0092B-C50C-407E-A947-70E740481C1C}">
                          <a14:useLocalDpi xmlns:a14="http://schemas.microsoft.com/office/drawing/2010/main" val="0"/>
                        </a:ext>
                      </a:extLst>
                    </a:blip>
                    <a:stretch>
                      <a:fillRect/>
                    </a:stretch>
                  </pic:blipFill>
                  <pic:spPr>
                    <a:xfrm>
                      <a:off x="0" y="0"/>
                      <a:ext cx="4143375" cy="3596244"/>
                    </a:xfrm>
                    <a:prstGeom prst="rect">
                      <a:avLst/>
                    </a:prstGeom>
                  </pic:spPr>
                </pic:pic>
              </a:graphicData>
            </a:graphic>
          </wp:inline>
        </w:drawing>
      </w:r>
    </w:p>
    <w:p w14:paraId="310CC00E" w14:textId="77777777" w:rsidR="00A14B9B" w:rsidRPr="002A0D4F" w:rsidRDefault="00A14B9B" w:rsidP="00540204">
      <w:pPr>
        <w:pStyle w:val="UZEIZdroj"/>
      </w:pPr>
      <w:r w:rsidRPr="002A0D4F">
        <w:t>Zdroj: SLDB 2001,2011.</w:t>
      </w:r>
    </w:p>
    <w:p w14:paraId="5130AB5B" w14:textId="6EB76966" w:rsidR="00A14B9B" w:rsidRPr="002A0D4F" w:rsidRDefault="00A14B9B" w:rsidP="00540204">
      <w:pPr>
        <w:pStyle w:val="UZEINormaln"/>
        <w:rPr>
          <w:b/>
        </w:rPr>
      </w:pPr>
      <w:r w:rsidRPr="00540204">
        <w:rPr>
          <w:b/>
        </w:rPr>
        <w:lastRenderedPageBreak/>
        <w:t>Aspekt vnitřní periferie</w:t>
      </w:r>
    </w:p>
    <w:p w14:paraId="532AACD5" w14:textId="77777777" w:rsidR="00A14B9B" w:rsidRPr="002A0D4F" w:rsidRDefault="00A14B9B" w:rsidP="00540204">
      <w:pPr>
        <w:pStyle w:val="UZEINormaln"/>
      </w:pPr>
      <w:r w:rsidRPr="002A0D4F">
        <w:t xml:space="preserve">Podle Musila a Müllera (2008) je negativní demografický vývoj specifických oblastí (vnitřních periferií) spojen se ztrátou regionálních příležitostí a následně s ekonomickými a sociálními problémy, včetně úpadku infrastruktury (tzv. kumulativní příčiny </w:t>
      </w:r>
      <w:proofErr w:type="spellStart"/>
      <w:r w:rsidRPr="002A0D4F">
        <w:t>periferizace</w:t>
      </w:r>
      <w:proofErr w:type="spellEnd"/>
      <w:r w:rsidRPr="002A0D4F">
        <w:t xml:space="preserve">). Bernard a Šimon (2017) argumentují, že </w:t>
      </w:r>
      <w:proofErr w:type="spellStart"/>
      <w:r w:rsidRPr="002A0D4F">
        <w:t>periferizace</w:t>
      </w:r>
      <w:proofErr w:type="spellEnd"/>
      <w:r w:rsidRPr="002A0D4F">
        <w:t xml:space="preserve"> probíhá v několika vzájemně oddělených dimenzích (nezaměstnanost a vyloučení, typ kvalifikace a životní úroveň, věk, obtížná dostupnost), které vytvářejí specifické, prostorově ne zcela překrývající se periferní oblasti. Vnitřní periferie jsou podle tohoto novějšího výzkumu charakteristické velkou vzdáleností od krajských měst, vytváří se tedy zejména uvnitř ČR na hranicích krajů a jejich hlavní charakteristikou je především vysoký věk místních obyvatel a obtížnější dostupností některých služeb. Vyšší míra nezaměstnanosti, sociálního vyloučení, nižší kvalifikace a životní úroveň (s čímž se pojí i absence střední třídy), ale také obtížná dostupnost služeb jsou charakteristiky periferií, které jsou Bernardem a Šimonem (2017) lokalizovány především při státních hranicích ČR, jejich výskyt je ale patrný i na hranicích jednotlivých krajů.</w:t>
      </w:r>
    </w:p>
    <w:p w14:paraId="27353B00" w14:textId="77777777" w:rsidR="00A14B9B" w:rsidRPr="002A0D4F" w:rsidRDefault="00A14B9B" w:rsidP="00540204">
      <w:pPr>
        <w:pStyle w:val="UZEINormaln"/>
        <w:rPr>
          <w:b/>
        </w:rPr>
      </w:pPr>
      <w:r w:rsidRPr="002A0D4F">
        <w:rPr>
          <w:b/>
        </w:rPr>
        <w:t>Vývoj zemědělského půdního fondu</w:t>
      </w:r>
    </w:p>
    <w:p w14:paraId="40253DC0" w14:textId="704E8249" w:rsidR="00A14B9B" w:rsidRPr="002A0D4F" w:rsidRDefault="00A14B9B" w:rsidP="00540204">
      <w:pPr>
        <w:pStyle w:val="UZEINormaln"/>
      </w:pPr>
      <w:r w:rsidRPr="002A0D4F">
        <w:t>Zemědělský půdní fond (ZPF) tvoří zemědělská půda klasifikovaná v rámci katastru nemovitostí jako druh pozemku orná půda, chmelnice, vinice, zahrady, ovocné sady a trvalé travní porosty. Byly využity statistické údaje Českého úřadu zeměměřického a katastrálního (ČÚZK) a sestaveny časové řady vývoje výměr ZPF a ostatních druhů pozemků evidovaných v katastru nemovitostí od roku 2004 do roku 2018 (</w:t>
      </w:r>
      <w:r w:rsidR="00D92C4D">
        <w:fldChar w:fldCharType="begin"/>
      </w:r>
      <w:r w:rsidR="00D92C4D">
        <w:instrText xml:space="preserve"> REF _Ref81777867 \r \h </w:instrText>
      </w:r>
      <w:r w:rsidR="00D92C4D">
        <w:fldChar w:fldCharType="separate"/>
      </w:r>
      <w:r w:rsidR="00D92C4D">
        <w:t>Tabulka 3</w:t>
      </w:r>
      <w:r w:rsidR="00D92C4D">
        <w:fldChar w:fldCharType="end"/>
      </w:r>
      <w:r w:rsidRPr="002A0D4F">
        <w:t xml:space="preserve">). </w:t>
      </w:r>
    </w:p>
    <w:p w14:paraId="6FBEC4EA" w14:textId="0FB0EB62" w:rsidR="00A14B9B" w:rsidRPr="00540204" w:rsidRDefault="00A14B9B" w:rsidP="00BB7657">
      <w:pPr>
        <w:pStyle w:val="UZEITaB"/>
        <w:ind w:left="0" w:firstLine="0"/>
      </w:pPr>
      <w:bookmarkStart w:id="322" w:name="_Toc25919997"/>
      <w:bookmarkStart w:id="323" w:name="_Hlk532552101"/>
      <w:r w:rsidRPr="00540204">
        <w:t xml:space="preserve"> </w:t>
      </w:r>
      <w:bookmarkStart w:id="324" w:name="_Toc81757324"/>
      <w:bookmarkStart w:id="325" w:name="_Ref81777867"/>
      <w:bookmarkStart w:id="326" w:name="_Toc81815320"/>
      <w:bookmarkStart w:id="327" w:name="_Toc81816998"/>
      <w:bookmarkStart w:id="328" w:name="_Toc81817511"/>
      <w:r w:rsidRPr="00540204">
        <w:t>Vývoj výměr zemědělského půdního fondu a ostatních kultur od roku 2004 do současnosti (ha)</w:t>
      </w:r>
      <w:bookmarkEnd w:id="322"/>
      <w:bookmarkEnd w:id="324"/>
      <w:bookmarkEnd w:id="325"/>
      <w:bookmarkEnd w:id="326"/>
      <w:bookmarkEnd w:id="327"/>
      <w:bookmarkEnd w:id="328"/>
    </w:p>
    <w:tbl>
      <w:tblPr>
        <w:tblW w:w="7460" w:type="dxa"/>
        <w:tblCellMar>
          <w:left w:w="70" w:type="dxa"/>
          <w:right w:w="70" w:type="dxa"/>
        </w:tblCellMar>
        <w:tblLook w:val="04A0" w:firstRow="1" w:lastRow="0" w:firstColumn="1" w:lastColumn="0" w:noHBand="0" w:noVBand="1"/>
      </w:tblPr>
      <w:tblGrid>
        <w:gridCol w:w="960"/>
        <w:gridCol w:w="1300"/>
        <w:gridCol w:w="1300"/>
        <w:gridCol w:w="1300"/>
        <w:gridCol w:w="1300"/>
        <w:gridCol w:w="1300"/>
      </w:tblGrid>
      <w:tr w:rsidR="00A14B9B" w:rsidRPr="000D63DA" w14:paraId="49636477" w14:textId="77777777" w:rsidTr="00DB1D1D">
        <w:trPr>
          <w:trHeight w:val="1005"/>
        </w:trPr>
        <w:tc>
          <w:tcPr>
            <w:tcW w:w="960"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049540DE" w14:textId="77777777" w:rsidR="00A14B9B" w:rsidRPr="000D63DA" w:rsidRDefault="00A14B9B" w:rsidP="00DB1D1D">
            <w:pPr>
              <w:keepNext/>
              <w:widowControl w:val="0"/>
              <w:jc w:val="center"/>
              <w:rPr>
                <w:rFonts w:cs="Times New Roman"/>
                <w:b/>
                <w:bCs/>
                <w:color w:val="000000"/>
                <w:sz w:val="22"/>
                <w:lang w:val="cs-CZ"/>
              </w:rPr>
            </w:pPr>
            <w:r w:rsidRPr="000D63DA">
              <w:rPr>
                <w:rFonts w:cs="Times New Roman"/>
                <w:b/>
                <w:bCs/>
                <w:color w:val="000000"/>
                <w:sz w:val="22"/>
                <w:lang w:val="cs-CZ"/>
              </w:rPr>
              <w:t>Rok</w:t>
            </w:r>
          </w:p>
        </w:tc>
        <w:tc>
          <w:tcPr>
            <w:tcW w:w="1300" w:type="dxa"/>
            <w:tcBorders>
              <w:top w:val="single" w:sz="4" w:space="0" w:color="auto"/>
              <w:left w:val="nil"/>
              <w:bottom w:val="single" w:sz="4" w:space="0" w:color="auto"/>
              <w:right w:val="single" w:sz="4" w:space="0" w:color="auto"/>
            </w:tcBorders>
            <w:shd w:val="clear" w:color="auto" w:fill="F2F2F2" w:themeFill="background1" w:themeFillShade="F2"/>
            <w:vAlign w:val="center"/>
            <w:hideMark/>
          </w:tcPr>
          <w:p w14:paraId="6CE641DD" w14:textId="77777777" w:rsidR="00A14B9B" w:rsidRPr="000D63DA" w:rsidRDefault="00A14B9B" w:rsidP="00DB1D1D">
            <w:pPr>
              <w:keepNext/>
              <w:widowControl w:val="0"/>
              <w:jc w:val="center"/>
              <w:rPr>
                <w:rFonts w:cs="Times New Roman"/>
                <w:b/>
                <w:bCs/>
                <w:color w:val="000000"/>
                <w:sz w:val="22"/>
                <w:lang w:val="cs-CZ"/>
              </w:rPr>
            </w:pPr>
            <w:r w:rsidRPr="000D63DA">
              <w:rPr>
                <w:rFonts w:cs="Times New Roman"/>
                <w:b/>
                <w:bCs/>
                <w:color w:val="000000"/>
                <w:sz w:val="22"/>
                <w:lang w:val="cs-CZ"/>
              </w:rPr>
              <w:t>Zemědělský půdní fond</w:t>
            </w:r>
          </w:p>
        </w:tc>
        <w:tc>
          <w:tcPr>
            <w:tcW w:w="1300" w:type="dxa"/>
            <w:tcBorders>
              <w:top w:val="single" w:sz="4" w:space="0" w:color="auto"/>
              <w:left w:val="nil"/>
              <w:bottom w:val="single" w:sz="4" w:space="0" w:color="auto"/>
              <w:right w:val="single" w:sz="4" w:space="0" w:color="auto"/>
            </w:tcBorders>
            <w:shd w:val="clear" w:color="auto" w:fill="F2F2F2" w:themeFill="background1" w:themeFillShade="F2"/>
            <w:vAlign w:val="center"/>
            <w:hideMark/>
          </w:tcPr>
          <w:p w14:paraId="5879A47C" w14:textId="77777777" w:rsidR="00A14B9B" w:rsidRPr="000D63DA" w:rsidRDefault="00A14B9B" w:rsidP="00DB1D1D">
            <w:pPr>
              <w:keepNext/>
              <w:widowControl w:val="0"/>
              <w:jc w:val="center"/>
              <w:rPr>
                <w:rFonts w:cs="Times New Roman"/>
                <w:b/>
                <w:bCs/>
                <w:color w:val="000000"/>
                <w:sz w:val="22"/>
                <w:lang w:val="cs-CZ"/>
              </w:rPr>
            </w:pPr>
            <w:r w:rsidRPr="000D63DA">
              <w:rPr>
                <w:rFonts w:cs="Times New Roman"/>
                <w:b/>
                <w:bCs/>
                <w:color w:val="000000"/>
                <w:sz w:val="22"/>
                <w:lang w:val="cs-CZ"/>
              </w:rPr>
              <w:t>Lesní pozemky</w:t>
            </w:r>
          </w:p>
        </w:tc>
        <w:tc>
          <w:tcPr>
            <w:tcW w:w="1300" w:type="dxa"/>
            <w:tcBorders>
              <w:top w:val="single" w:sz="4" w:space="0" w:color="auto"/>
              <w:left w:val="nil"/>
              <w:bottom w:val="single" w:sz="4" w:space="0" w:color="auto"/>
              <w:right w:val="single" w:sz="4" w:space="0" w:color="auto"/>
            </w:tcBorders>
            <w:shd w:val="clear" w:color="auto" w:fill="F2F2F2" w:themeFill="background1" w:themeFillShade="F2"/>
            <w:vAlign w:val="center"/>
            <w:hideMark/>
          </w:tcPr>
          <w:p w14:paraId="4DA803C9" w14:textId="77777777" w:rsidR="00A14B9B" w:rsidRPr="000D63DA" w:rsidRDefault="00A14B9B" w:rsidP="00DB1D1D">
            <w:pPr>
              <w:keepNext/>
              <w:widowControl w:val="0"/>
              <w:jc w:val="center"/>
              <w:rPr>
                <w:rFonts w:cs="Times New Roman"/>
                <w:b/>
                <w:bCs/>
                <w:color w:val="000000"/>
                <w:sz w:val="22"/>
                <w:lang w:val="cs-CZ"/>
              </w:rPr>
            </w:pPr>
            <w:r w:rsidRPr="000D63DA">
              <w:rPr>
                <w:rFonts w:cs="Times New Roman"/>
                <w:b/>
                <w:bCs/>
                <w:color w:val="000000"/>
                <w:sz w:val="22"/>
                <w:lang w:val="cs-CZ"/>
              </w:rPr>
              <w:t>Vodní plochy</w:t>
            </w:r>
          </w:p>
        </w:tc>
        <w:tc>
          <w:tcPr>
            <w:tcW w:w="1300" w:type="dxa"/>
            <w:tcBorders>
              <w:top w:val="single" w:sz="4" w:space="0" w:color="auto"/>
              <w:left w:val="nil"/>
              <w:bottom w:val="single" w:sz="4" w:space="0" w:color="auto"/>
              <w:right w:val="single" w:sz="4" w:space="0" w:color="auto"/>
            </w:tcBorders>
            <w:shd w:val="clear" w:color="auto" w:fill="F2F2F2" w:themeFill="background1" w:themeFillShade="F2"/>
            <w:vAlign w:val="center"/>
            <w:hideMark/>
          </w:tcPr>
          <w:p w14:paraId="41A60E96" w14:textId="77777777" w:rsidR="00A14B9B" w:rsidRPr="000D63DA" w:rsidRDefault="00A14B9B" w:rsidP="00DB1D1D">
            <w:pPr>
              <w:keepNext/>
              <w:widowControl w:val="0"/>
              <w:jc w:val="center"/>
              <w:rPr>
                <w:rFonts w:cs="Times New Roman"/>
                <w:b/>
                <w:bCs/>
                <w:color w:val="000000"/>
                <w:sz w:val="22"/>
                <w:lang w:val="cs-CZ"/>
              </w:rPr>
            </w:pPr>
            <w:r w:rsidRPr="000D63DA">
              <w:rPr>
                <w:rFonts w:cs="Times New Roman"/>
                <w:b/>
                <w:bCs/>
                <w:color w:val="000000"/>
                <w:sz w:val="22"/>
                <w:lang w:val="cs-CZ"/>
              </w:rPr>
              <w:t>Zastavěné plochy a nádvoří</w:t>
            </w:r>
          </w:p>
        </w:tc>
        <w:tc>
          <w:tcPr>
            <w:tcW w:w="1300" w:type="dxa"/>
            <w:tcBorders>
              <w:top w:val="single" w:sz="4" w:space="0" w:color="auto"/>
              <w:left w:val="nil"/>
              <w:bottom w:val="single" w:sz="4" w:space="0" w:color="auto"/>
              <w:right w:val="single" w:sz="4" w:space="0" w:color="auto"/>
            </w:tcBorders>
            <w:shd w:val="clear" w:color="auto" w:fill="F2F2F2" w:themeFill="background1" w:themeFillShade="F2"/>
            <w:vAlign w:val="center"/>
            <w:hideMark/>
          </w:tcPr>
          <w:p w14:paraId="1A8A5ECB" w14:textId="77777777" w:rsidR="00A14B9B" w:rsidRPr="000D63DA" w:rsidRDefault="00A14B9B" w:rsidP="00DB1D1D">
            <w:pPr>
              <w:keepNext/>
              <w:widowControl w:val="0"/>
              <w:jc w:val="center"/>
              <w:rPr>
                <w:rFonts w:cs="Times New Roman"/>
                <w:b/>
                <w:bCs/>
                <w:color w:val="000000"/>
                <w:sz w:val="22"/>
                <w:lang w:val="cs-CZ"/>
              </w:rPr>
            </w:pPr>
            <w:r w:rsidRPr="000D63DA">
              <w:rPr>
                <w:rFonts w:cs="Times New Roman"/>
                <w:b/>
                <w:bCs/>
                <w:color w:val="000000"/>
                <w:sz w:val="22"/>
                <w:lang w:val="cs-CZ"/>
              </w:rPr>
              <w:t>Ostatní plochy</w:t>
            </w:r>
          </w:p>
        </w:tc>
      </w:tr>
      <w:tr w:rsidR="00A14B9B" w:rsidRPr="000D63DA" w14:paraId="037A1F05" w14:textId="77777777" w:rsidTr="00DB1D1D">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05121774" w14:textId="77777777" w:rsidR="00A14B9B" w:rsidRPr="000D63DA" w:rsidRDefault="00A14B9B" w:rsidP="00DB1D1D">
            <w:pPr>
              <w:keepNext/>
              <w:widowControl w:val="0"/>
              <w:rPr>
                <w:rFonts w:cs="Times New Roman"/>
                <w:color w:val="000000"/>
                <w:sz w:val="22"/>
                <w:lang w:val="cs-CZ"/>
              </w:rPr>
            </w:pPr>
            <w:r w:rsidRPr="000D63DA">
              <w:rPr>
                <w:rFonts w:cs="Times New Roman"/>
                <w:color w:val="000000"/>
                <w:sz w:val="22"/>
                <w:lang w:val="cs-CZ"/>
              </w:rPr>
              <w:t>2004</w:t>
            </w:r>
          </w:p>
        </w:tc>
        <w:tc>
          <w:tcPr>
            <w:tcW w:w="1300" w:type="dxa"/>
            <w:tcBorders>
              <w:top w:val="nil"/>
              <w:left w:val="nil"/>
              <w:bottom w:val="single" w:sz="4" w:space="0" w:color="auto"/>
              <w:right w:val="single" w:sz="4" w:space="0" w:color="auto"/>
            </w:tcBorders>
            <w:shd w:val="clear" w:color="auto" w:fill="auto"/>
            <w:noWrap/>
            <w:vAlign w:val="bottom"/>
            <w:hideMark/>
          </w:tcPr>
          <w:p w14:paraId="221A7809" w14:textId="77777777" w:rsidR="00A14B9B" w:rsidRPr="000D63DA" w:rsidRDefault="00A14B9B" w:rsidP="00DB1D1D">
            <w:pPr>
              <w:keepNext/>
              <w:widowControl w:val="0"/>
              <w:jc w:val="right"/>
              <w:rPr>
                <w:rFonts w:cs="Times New Roman"/>
                <w:color w:val="000000"/>
                <w:sz w:val="22"/>
                <w:lang w:val="cs-CZ"/>
              </w:rPr>
            </w:pPr>
            <w:r w:rsidRPr="000D63DA">
              <w:rPr>
                <w:rFonts w:cs="Times New Roman"/>
                <w:color w:val="000000"/>
                <w:sz w:val="22"/>
                <w:lang w:val="cs-CZ"/>
              </w:rPr>
              <w:t>4 269 218</w:t>
            </w:r>
          </w:p>
        </w:tc>
        <w:tc>
          <w:tcPr>
            <w:tcW w:w="1300" w:type="dxa"/>
            <w:tcBorders>
              <w:top w:val="nil"/>
              <w:left w:val="nil"/>
              <w:bottom w:val="single" w:sz="4" w:space="0" w:color="auto"/>
              <w:right w:val="single" w:sz="4" w:space="0" w:color="auto"/>
            </w:tcBorders>
            <w:shd w:val="clear" w:color="auto" w:fill="auto"/>
            <w:noWrap/>
            <w:vAlign w:val="bottom"/>
            <w:hideMark/>
          </w:tcPr>
          <w:p w14:paraId="6C7BC244" w14:textId="77777777" w:rsidR="00A14B9B" w:rsidRPr="000D63DA" w:rsidRDefault="00A14B9B" w:rsidP="00DB1D1D">
            <w:pPr>
              <w:keepNext/>
              <w:widowControl w:val="0"/>
              <w:jc w:val="right"/>
              <w:rPr>
                <w:rFonts w:cs="Times New Roman"/>
                <w:color w:val="000000"/>
                <w:sz w:val="22"/>
                <w:lang w:val="cs-CZ"/>
              </w:rPr>
            </w:pPr>
            <w:r w:rsidRPr="000D63DA">
              <w:rPr>
                <w:rFonts w:cs="Times New Roman"/>
                <w:color w:val="000000"/>
                <w:sz w:val="22"/>
                <w:lang w:val="cs-CZ"/>
              </w:rPr>
              <w:t>2 644 168</w:t>
            </w:r>
          </w:p>
        </w:tc>
        <w:tc>
          <w:tcPr>
            <w:tcW w:w="1300" w:type="dxa"/>
            <w:tcBorders>
              <w:top w:val="nil"/>
              <w:left w:val="nil"/>
              <w:bottom w:val="single" w:sz="4" w:space="0" w:color="auto"/>
              <w:right w:val="single" w:sz="4" w:space="0" w:color="auto"/>
            </w:tcBorders>
            <w:shd w:val="clear" w:color="auto" w:fill="auto"/>
            <w:noWrap/>
            <w:vAlign w:val="bottom"/>
            <w:hideMark/>
          </w:tcPr>
          <w:p w14:paraId="62D8921A" w14:textId="77777777" w:rsidR="00A14B9B" w:rsidRPr="000D63DA" w:rsidRDefault="00A14B9B" w:rsidP="00DB1D1D">
            <w:pPr>
              <w:keepNext/>
              <w:widowControl w:val="0"/>
              <w:jc w:val="right"/>
              <w:rPr>
                <w:rFonts w:cs="Times New Roman"/>
                <w:color w:val="000000"/>
                <w:sz w:val="22"/>
                <w:lang w:val="cs-CZ"/>
              </w:rPr>
            </w:pPr>
            <w:r w:rsidRPr="000D63DA">
              <w:rPr>
                <w:rFonts w:cs="Times New Roman"/>
                <w:color w:val="000000"/>
                <w:sz w:val="22"/>
                <w:lang w:val="cs-CZ"/>
              </w:rPr>
              <w:t>160 149</w:t>
            </w:r>
          </w:p>
        </w:tc>
        <w:tc>
          <w:tcPr>
            <w:tcW w:w="1300" w:type="dxa"/>
            <w:tcBorders>
              <w:top w:val="nil"/>
              <w:left w:val="nil"/>
              <w:bottom w:val="single" w:sz="4" w:space="0" w:color="auto"/>
              <w:right w:val="single" w:sz="4" w:space="0" w:color="auto"/>
            </w:tcBorders>
            <w:shd w:val="clear" w:color="auto" w:fill="auto"/>
            <w:noWrap/>
            <w:vAlign w:val="bottom"/>
            <w:hideMark/>
          </w:tcPr>
          <w:p w14:paraId="2969E2C3" w14:textId="77777777" w:rsidR="00A14B9B" w:rsidRPr="000D63DA" w:rsidRDefault="00A14B9B" w:rsidP="00DB1D1D">
            <w:pPr>
              <w:keepNext/>
              <w:widowControl w:val="0"/>
              <w:jc w:val="right"/>
              <w:rPr>
                <w:rFonts w:cs="Times New Roman"/>
                <w:color w:val="000000"/>
                <w:sz w:val="22"/>
                <w:lang w:val="cs-CZ"/>
              </w:rPr>
            </w:pPr>
            <w:r w:rsidRPr="000D63DA">
              <w:rPr>
                <w:rFonts w:cs="Times New Roman"/>
                <w:color w:val="000000"/>
                <w:sz w:val="22"/>
                <w:lang w:val="cs-CZ"/>
              </w:rPr>
              <w:t>130 610</w:t>
            </w:r>
          </w:p>
        </w:tc>
        <w:tc>
          <w:tcPr>
            <w:tcW w:w="1300" w:type="dxa"/>
            <w:tcBorders>
              <w:top w:val="nil"/>
              <w:left w:val="nil"/>
              <w:bottom w:val="single" w:sz="4" w:space="0" w:color="auto"/>
              <w:right w:val="single" w:sz="4" w:space="0" w:color="auto"/>
            </w:tcBorders>
            <w:shd w:val="clear" w:color="auto" w:fill="auto"/>
            <w:noWrap/>
            <w:vAlign w:val="bottom"/>
            <w:hideMark/>
          </w:tcPr>
          <w:p w14:paraId="5E2D1B38" w14:textId="77777777" w:rsidR="00A14B9B" w:rsidRPr="000D63DA" w:rsidRDefault="00A14B9B" w:rsidP="00DB1D1D">
            <w:pPr>
              <w:keepNext/>
              <w:widowControl w:val="0"/>
              <w:jc w:val="right"/>
              <w:rPr>
                <w:rFonts w:cs="Times New Roman"/>
                <w:color w:val="000000"/>
                <w:sz w:val="22"/>
                <w:lang w:val="cs-CZ"/>
              </w:rPr>
            </w:pPr>
            <w:r w:rsidRPr="000D63DA">
              <w:rPr>
                <w:rFonts w:cs="Times New Roman"/>
                <w:color w:val="000000"/>
                <w:sz w:val="22"/>
                <w:lang w:val="cs-CZ"/>
              </w:rPr>
              <w:t>682 535</w:t>
            </w:r>
          </w:p>
        </w:tc>
      </w:tr>
      <w:tr w:rsidR="00A14B9B" w:rsidRPr="000D63DA" w14:paraId="3E04AE88" w14:textId="77777777" w:rsidTr="00DB1D1D">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7F04B6F7" w14:textId="77777777" w:rsidR="00A14B9B" w:rsidRPr="000D63DA" w:rsidRDefault="00A14B9B" w:rsidP="00DB1D1D">
            <w:pPr>
              <w:keepNext/>
              <w:widowControl w:val="0"/>
              <w:rPr>
                <w:rFonts w:cs="Times New Roman"/>
                <w:color w:val="000000"/>
                <w:sz w:val="22"/>
                <w:lang w:val="cs-CZ"/>
              </w:rPr>
            </w:pPr>
            <w:r w:rsidRPr="000D63DA">
              <w:rPr>
                <w:rFonts w:cs="Times New Roman"/>
                <w:color w:val="000000"/>
                <w:sz w:val="22"/>
                <w:lang w:val="cs-CZ"/>
              </w:rPr>
              <w:t>2005</w:t>
            </w:r>
          </w:p>
        </w:tc>
        <w:tc>
          <w:tcPr>
            <w:tcW w:w="1300" w:type="dxa"/>
            <w:tcBorders>
              <w:top w:val="nil"/>
              <w:left w:val="nil"/>
              <w:bottom w:val="single" w:sz="4" w:space="0" w:color="auto"/>
              <w:right w:val="single" w:sz="4" w:space="0" w:color="auto"/>
            </w:tcBorders>
            <w:shd w:val="clear" w:color="auto" w:fill="auto"/>
            <w:noWrap/>
            <w:vAlign w:val="bottom"/>
            <w:hideMark/>
          </w:tcPr>
          <w:p w14:paraId="72EC0BC0" w14:textId="77777777" w:rsidR="00A14B9B" w:rsidRPr="000D63DA" w:rsidRDefault="00A14B9B" w:rsidP="00DB1D1D">
            <w:pPr>
              <w:keepNext/>
              <w:widowControl w:val="0"/>
              <w:jc w:val="right"/>
              <w:rPr>
                <w:rFonts w:cs="Times New Roman"/>
                <w:color w:val="000000"/>
                <w:sz w:val="22"/>
                <w:lang w:val="cs-CZ"/>
              </w:rPr>
            </w:pPr>
            <w:r w:rsidRPr="000D63DA">
              <w:rPr>
                <w:rFonts w:cs="Times New Roman"/>
                <w:color w:val="000000"/>
                <w:sz w:val="22"/>
                <w:lang w:val="cs-CZ"/>
              </w:rPr>
              <w:t>4 264 573</w:t>
            </w:r>
          </w:p>
        </w:tc>
        <w:tc>
          <w:tcPr>
            <w:tcW w:w="1300" w:type="dxa"/>
            <w:tcBorders>
              <w:top w:val="nil"/>
              <w:left w:val="nil"/>
              <w:bottom w:val="single" w:sz="4" w:space="0" w:color="auto"/>
              <w:right w:val="single" w:sz="4" w:space="0" w:color="auto"/>
            </w:tcBorders>
            <w:shd w:val="clear" w:color="auto" w:fill="auto"/>
            <w:noWrap/>
            <w:vAlign w:val="bottom"/>
            <w:hideMark/>
          </w:tcPr>
          <w:p w14:paraId="648BC5D9" w14:textId="77777777" w:rsidR="00A14B9B" w:rsidRPr="000D63DA" w:rsidRDefault="00A14B9B" w:rsidP="00DB1D1D">
            <w:pPr>
              <w:keepNext/>
              <w:widowControl w:val="0"/>
              <w:jc w:val="right"/>
              <w:rPr>
                <w:rFonts w:cs="Times New Roman"/>
                <w:color w:val="000000"/>
                <w:sz w:val="22"/>
                <w:lang w:val="cs-CZ"/>
              </w:rPr>
            </w:pPr>
            <w:r w:rsidRPr="000D63DA">
              <w:rPr>
                <w:rFonts w:cs="Times New Roman"/>
                <w:color w:val="000000"/>
                <w:sz w:val="22"/>
                <w:lang w:val="cs-CZ"/>
              </w:rPr>
              <w:t>2 645 737</w:t>
            </w:r>
          </w:p>
        </w:tc>
        <w:tc>
          <w:tcPr>
            <w:tcW w:w="1300" w:type="dxa"/>
            <w:tcBorders>
              <w:top w:val="nil"/>
              <w:left w:val="nil"/>
              <w:bottom w:val="single" w:sz="4" w:space="0" w:color="auto"/>
              <w:right w:val="single" w:sz="4" w:space="0" w:color="auto"/>
            </w:tcBorders>
            <w:shd w:val="clear" w:color="auto" w:fill="auto"/>
            <w:noWrap/>
            <w:vAlign w:val="bottom"/>
            <w:hideMark/>
          </w:tcPr>
          <w:p w14:paraId="613214D5" w14:textId="77777777" w:rsidR="00A14B9B" w:rsidRPr="000D63DA" w:rsidRDefault="00A14B9B" w:rsidP="00DB1D1D">
            <w:pPr>
              <w:keepNext/>
              <w:widowControl w:val="0"/>
              <w:jc w:val="right"/>
              <w:rPr>
                <w:rFonts w:cs="Times New Roman"/>
                <w:color w:val="000000"/>
                <w:sz w:val="22"/>
                <w:lang w:val="cs-CZ"/>
              </w:rPr>
            </w:pPr>
            <w:r w:rsidRPr="000D63DA">
              <w:rPr>
                <w:rFonts w:cs="Times New Roman"/>
                <w:color w:val="000000"/>
                <w:sz w:val="22"/>
                <w:lang w:val="cs-CZ"/>
              </w:rPr>
              <w:t>160 501</w:t>
            </w:r>
          </w:p>
        </w:tc>
        <w:tc>
          <w:tcPr>
            <w:tcW w:w="1300" w:type="dxa"/>
            <w:tcBorders>
              <w:top w:val="nil"/>
              <w:left w:val="nil"/>
              <w:bottom w:val="single" w:sz="4" w:space="0" w:color="auto"/>
              <w:right w:val="single" w:sz="4" w:space="0" w:color="auto"/>
            </w:tcBorders>
            <w:shd w:val="clear" w:color="auto" w:fill="auto"/>
            <w:noWrap/>
            <w:vAlign w:val="bottom"/>
            <w:hideMark/>
          </w:tcPr>
          <w:p w14:paraId="59562B02" w14:textId="77777777" w:rsidR="00A14B9B" w:rsidRPr="000D63DA" w:rsidRDefault="00A14B9B" w:rsidP="00DB1D1D">
            <w:pPr>
              <w:keepNext/>
              <w:widowControl w:val="0"/>
              <w:jc w:val="right"/>
              <w:rPr>
                <w:rFonts w:cs="Times New Roman"/>
                <w:color w:val="000000"/>
                <w:sz w:val="22"/>
                <w:lang w:val="cs-CZ"/>
              </w:rPr>
            </w:pPr>
            <w:r w:rsidRPr="000D63DA">
              <w:rPr>
                <w:rFonts w:cs="Times New Roman"/>
                <w:color w:val="000000"/>
                <w:sz w:val="22"/>
                <w:lang w:val="cs-CZ"/>
              </w:rPr>
              <w:t>130 307</w:t>
            </w:r>
          </w:p>
        </w:tc>
        <w:tc>
          <w:tcPr>
            <w:tcW w:w="1300" w:type="dxa"/>
            <w:tcBorders>
              <w:top w:val="nil"/>
              <w:left w:val="nil"/>
              <w:bottom w:val="single" w:sz="4" w:space="0" w:color="auto"/>
              <w:right w:val="single" w:sz="4" w:space="0" w:color="auto"/>
            </w:tcBorders>
            <w:shd w:val="clear" w:color="auto" w:fill="auto"/>
            <w:noWrap/>
            <w:vAlign w:val="bottom"/>
            <w:hideMark/>
          </w:tcPr>
          <w:p w14:paraId="59BCE0B0" w14:textId="77777777" w:rsidR="00A14B9B" w:rsidRPr="000D63DA" w:rsidRDefault="00A14B9B" w:rsidP="00DB1D1D">
            <w:pPr>
              <w:keepNext/>
              <w:widowControl w:val="0"/>
              <w:jc w:val="right"/>
              <w:rPr>
                <w:rFonts w:cs="Times New Roman"/>
                <w:color w:val="000000"/>
                <w:sz w:val="22"/>
                <w:lang w:val="cs-CZ"/>
              </w:rPr>
            </w:pPr>
            <w:r w:rsidRPr="000D63DA">
              <w:rPr>
                <w:rFonts w:cs="Times New Roman"/>
                <w:color w:val="000000"/>
                <w:sz w:val="22"/>
                <w:lang w:val="cs-CZ"/>
              </w:rPr>
              <w:t>685 720</w:t>
            </w:r>
          </w:p>
        </w:tc>
      </w:tr>
      <w:tr w:rsidR="00A14B9B" w:rsidRPr="000D63DA" w14:paraId="563B4F6E" w14:textId="77777777" w:rsidTr="00DB1D1D">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54A87524" w14:textId="77777777" w:rsidR="00A14B9B" w:rsidRPr="000D63DA" w:rsidRDefault="00A14B9B" w:rsidP="00DB1D1D">
            <w:pPr>
              <w:keepNext/>
              <w:widowControl w:val="0"/>
              <w:rPr>
                <w:rFonts w:cs="Times New Roman"/>
                <w:color w:val="000000"/>
                <w:sz w:val="22"/>
                <w:lang w:val="cs-CZ"/>
              </w:rPr>
            </w:pPr>
            <w:r w:rsidRPr="000D63DA">
              <w:rPr>
                <w:rFonts w:cs="Times New Roman"/>
                <w:color w:val="000000"/>
                <w:sz w:val="22"/>
                <w:lang w:val="cs-CZ"/>
              </w:rPr>
              <w:t>2006</w:t>
            </w:r>
          </w:p>
        </w:tc>
        <w:tc>
          <w:tcPr>
            <w:tcW w:w="1300" w:type="dxa"/>
            <w:tcBorders>
              <w:top w:val="nil"/>
              <w:left w:val="nil"/>
              <w:bottom w:val="single" w:sz="4" w:space="0" w:color="auto"/>
              <w:right w:val="single" w:sz="4" w:space="0" w:color="auto"/>
            </w:tcBorders>
            <w:shd w:val="clear" w:color="auto" w:fill="auto"/>
            <w:noWrap/>
            <w:vAlign w:val="bottom"/>
            <w:hideMark/>
          </w:tcPr>
          <w:p w14:paraId="5DA2C8D5" w14:textId="77777777" w:rsidR="00A14B9B" w:rsidRPr="000D63DA" w:rsidRDefault="00A14B9B" w:rsidP="00DB1D1D">
            <w:pPr>
              <w:keepNext/>
              <w:widowControl w:val="0"/>
              <w:jc w:val="right"/>
              <w:rPr>
                <w:rFonts w:cs="Times New Roman"/>
                <w:color w:val="000000"/>
                <w:sz w:val="22"/>
                <w:lang w:val="cs-CZ"/>
              </w:rPr>
            </w:pPr>
            <w:r w:rsidRPr="000D63DA">
              <w:rPr>
                <w:rFonts w:cs="Times New Roman"/>
                <w:color w:val="000000"/>
                <w:sz w:val="22"/>
                <w:lang w:val="cs-CZ"/>
              </w:rPr>
              <w:t>4 259 480</w:t>
            </w:r>
          </w:p>
        </w:tc>
        <w:tc>
          <w:tcPr>
            <w:tcW w:w="1300" w:type="dxa"/>
            <w:tcBorders>
              <w:top w:val="nil"/>
              <w:left w:val="nil"/>
              <w:bottom w:val="single" w:sz="4" w:space="0" w:color="auto"/>
              <w:right w:val="single" w:sz="4" w:space="0" w:color="auto"/>
            </w:tcBorders>
            <w:shd w:val="clear" w:color="auto" w:fill="auto"/>
            <w:noWrap/>
            <w:vAlign w:val="bottom"/>
            <w:hideMark/>
          </w:tcPr>
          <w:p w14:paraId="48FF7CA7" w14:textId="77777777" w:rsidR="00A14B9B" w:rsidRPr="000D63DA" w:rsidRDefault="00A14B9B" w:rsidP="00DB1D1D">
            <w:pPr>
              <w:keepNext/>
              <w:widowControl w:val="0"/>
              <w:jc w:val="right"/>
              <w:rPr>
                <w:rFonts w:cs="Times New Roman"/>
                <w:color w:val="000000"/>
                <w:sz w:val="22"/>
                <w:lang w:val="cs-CZ"/>
              </w:rPr>
            </w:pPr>
            <w:r w:rsidRPr="000D63DA">
              <w:rPr>
                <w:rFonts w:cs="Times New Roman"/>
                <w:color w:val="000000"/>
                <w:sz w:val="22"/>
                <w:lang w:val="cs-CZ"/>
              </w:rPr>
              <w:t>2 647 416</w:t>
            </w:r>
          </w:p>
        </w:tc>
        <w:tc>
          <w:tcPr>
            <w:tcW w:w="1300" w:type="dxa"/>
            <w:tcBorders>
              <w:top w:val="nil"/>
              <w:left w:val="nil"/>
              <w:bottom w:val="single" w:sz="4" w:space="0" w:color="auto"/>
              <w:right w:val="single" w:sz="4" w:space="0" w:color="auto"/>
            </w:tcBorders>
            <w:shd w:val="clear" w:color="auto" w:fill="auto"/>
            <w:noWrap/>
            <w:vAlign w:val="bottom"/>
            <w:hideMark/>
          </w:tcPr>
          <w:p w14:paraId="0C5DF461" w14:textId="77777777" w:rsidR="00A14B9B" w:rsidRPr="000D63DA" w:rsidRDefault="00A14B9B" w:rsidP="00DB1D1D">
            <w:pPr>
              <w:keepNext/>
              <w:widowControl w:val="0"/>
              <w:jc w:val="right"/>
              <w:rPr>
                <w:rFonts w:cs="Times New Roman"/>
                <w:color w:val="000000"/>
                <w:sz w:val="22"/>
                <w:lang w:val="cs-CZ"/>
              </w:rPr>
            </w:pPr>
            <w:r w:rsidRPr="000D63DA">
              <w:rPr>
                <w:rFonts w:cs="Times New Roman"/>
                <w:color w:val="000000"/>
                <w:sz w:val="22"/>
                <w:lang w:val="cs-CZ"/>
              </w:rPr>
              <w:t>160 939</w:t>
            </w:r>
          </w:p>
        </w:tc>
        <w:tc>
          <w:tcPr>
            <w:tcW w:w="1300" w:type="dxa"/>
            <w:tcBorders>
              <w:top w:val="nil"/>
              <w:left w:val="nil"/>
              <w:bottom w:val="single" w:sz="4" w:space="0" w:color="auto"/>
              <w:right w:val="single" w:sz="4" w:space="0" w:color="auto"/>
            </w:tcBorders>
            <w:shd w:val="clear" w:color="auto" w:fill="auto"/>
            <w:noWrap/>
            <w:vAlign w:val="bottom"/>
            <w:hideMark/>
          </w:tcPr>
          <w:p w14:paraId="0B74DB53" w14:textId="77777777" w:rsidR="00A14B9B" w:rsidRPr="000D63DA" w:rsidRDefault="00A14B9B" w:rsidP="00DB1D1D">
            <w:pPr>
              <w:keepNext/>
              <w:widowControl w:val="0"/>
              <w:jc w:val="right"/>
              <w:rPr>
                <w:rFonts w:cs="Times New Roman"/>
                <w:color w:val="000000"/>
                <w:sz w:val="22"/>
                <w:lang w:val="cs-CZ"/>
              </w:rPr>
            </w:pPr>
            <w:r w:rsidRPr="000D63DA">
              <w:rPr>
                <w:rFonts w:cs="Times New Roman"/>
                <w:color w:val="000000"/>
                <w:sz w:val="22"/>
                <w:lang w:val="cs-CZ"/>
              </w:rPr>
              <w:t>130 078</w:t>
            </w:r>
          </w:p>
        </w:tc>
        <w:tc>
          <w:tcPr>
            <w:tcW w:w="1300" w:type="dxa"/>
            <w:tcBorders>
              <w:top w:val="nil"/>
              <w:left w:val="nil"/>
              <w:bottom w:val="single" w:sz="4" w:space="0" w:color="auto"/>
              <w:right w:val="single" w:sz="4" w:space="0" w:color="auto"/>
            </w:tcBorders>
            <w:shd w:val="clear" w:color="auto" w:fill="auto"/>
            <w:noWrap/>
            <w:vAlign w:val="bottom"/>
            <w:hideMark/>
          </w:tcPr>
          <w:p w14:paraId="1D0EA777" w14:textId="77777777" w:rsidR="00A14B9B" w:rsidRPr="000D63DA" w:rsidRDefault="00A14B9B" w:rsidP="00DB1D1D">
            <w:pPr>
              <w:keepNext/>
              <w:widowControl w:val="0"/>
              <w:jc w:val="right"/>
              <w:rPr>
                <w:rFonts w:cs="Times New Roman"/>
                <w:color w:val="000000"/>
                <w:sz w:val="22"/>
                <w:lang w:val="cs-CZ"/>
              </w:rPr>
            </w:pPr>
            <w:r w:rsidRPr="000D63DA">
              <w:rPr>
                <w:rFonts w:cs="Times New Roman"/>
                <w:color w:val="000000"/>
                <w:sz w:val="22"/>
                <w:lang w:val="cs-CZ"/>
              </w:rPr>
              <w:t>688 800</w:t>
            </w:r>
          </w:p>
        </w:tc>
      </w:tr>
      <w:tr w:rsidR="00A14B9B" w:rsidRPr="000D63DA" w14:paraId="05E833CE" w14:textId="77777777" w:rsidTr="00DB1D1D">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3C630893" w14:textId="77777777" w:rsidR="00A14B9B" w:rsidRPr="000D63DA" w:rsidRDefault="00A14B9B" w:rsidP="00DB1D1D">
            <w:pPr>
              <w:keepNext/>
              <w:widowControl w:val="0"/>
              <w:rPr>
                <w:rFonts w:cs="Times New Roman"/>
                <w:color w:val="000000"/>
                <w:sz w:val="22"/>
                <w:lang w:val="cs-CZ"/>
              </w:rPr>
            </w:pPr>
            <w:r w:rsidRPr="000D63DA">
              <w:rPr>
                <w:rFonts w:cs="Times New Roman"/>
                <w:color w:val="000000"/>
                <w:sz w:val="22"/>
                <w:lang w:val="cs-CZ"/>
              </w:rPr>
              <w:t>2007</w:t>
            </w:r>
          </w:p>
        </w:tc>
        <w:tc>
          <w:tcPr>
            <w:tcW w:w="1300" w:type="dxa"/>
            <w:tcBorders>
              <w:top w:val="nil"/>
              <w:left w:val="nil"/>
              <w:bottom w:val="single" w:sz="4" w:space="0" w:color="auto"/>
              <w:right w:val="single" w:sz="4" w:space="0" w:color="auto"/>
            </w:tcBorders>
            <w:shd w:val="clear" w:color="auto" w:fill="auto"/>
            <w:noWrap/>
            <w:vAlign w:val="bottom"/>
            <w:hideMark/>
          </w:tcPr>
          <w:p w14:paraId="3E4CD288" w14:textId="77777777" w:rsidR="00A14B9B" w:rsidRPr="000D63DA" w:rsidRDefault="00A14B9B" w:rsidP="00DB1D1D">
            <w:pPr>
              <w:keepNext/>
              <w:widowControl w:val="0"/>
              <w:jc w:val="right"/>
              <w:rPr>
                <w:rFonts w:cs="Times New Roman"/>
                <w:color w:val="000000"/>
                <w:sz w:val="22"/>
                <w:lang w:val="cs-CZ"/>
              </w:rPr>
            </w:pPr>
            <w:r w:rsidRPr="000D63DA">
              <w:rPr>
                <w:rFonts w:cs="Times New Roman"/>
                <w:color w:val="000000"/>
                <w:sz w:val="22"/>
                <w:lang w:val="cs-CZ"/>
              </w:rPr>
              <w:t>4 254 403</w:t>
            </w:r>
          </w:p>
        </w:tc>
        <w:tc>
          <w:tcPr>
            <w:tcW w:w="1300" w:type="dxa"/>
            <w:tcBorders>
              <w:top w:val="nil"/>
              <w:left w:val="nil"/>
              <w:bottom w:val="single" w:sz="4" w:space="0" w:color="auto"/>
              <w:right w:val="single" w:sz="4" w:space="0" w:color="auto"/>
            </w:tcBorders>
            <w:shd w:val="clear" w:color="auto" w:fill="auto"/>
            <w:noWrap/>
            <w:vAlign w:val="bottom"/>
            <w:hideMark/>
          </w:tcPr>
          <w:p w14:paraId="24359129" w14:textId="77777777" w:rsidR="00A14B9B" w:rsidRPr="000D63DA" w:rsidRDefault="00A14B9B" w:rsidP="00DB1D1D">
            <w:pPr>
              <w:keepNext/>
              <w:widowControl w:val="0"/>
              <w:jc w:val="right"/>
              <w:rPr>
                <w:rFonts w:cs="Times New Roman"/>
                <w:color w:val="000000"/>
                <w:sz w:val="22"/>
                <w:lang w:val="cs-CZ"/>
              </w:rPr>
            </w:pPr>
            <w:r w:rsidRPr="000D63DA">
              <w:rPr>
                <w:rFonts w:cs="Times New Roman"/>
                <w:color w:val="000000"/>
                <w:sz w:val="22"/>
                <w:lang w:val="cs-CZ"/>
              </w:rPr>
              <w:t>2 649 147</w:t>
            </w:r>
          </w:p>
        </w:tc>
        <w:tc>
          <w:tcPr>
            <w:tcW w:w="1300" w:type="dxa"/>
            <w:tcBorders>
              <w:top w:val="nil"/>
              <w:left w:val="nil"/>
              <w:bottom w:val="single" w:sz="4" w:space="0" w:color="auto"/>
              <w:right w:val="single" w:sz="4" w:space="0" w:color="auto"/>
            </w:tcBorders>
            <w:shd w:val="clear" w:color="auto" w:fill="auto"/>
            <w:noWrap/>
            <w:vAlign w:val="bottom"/>
            <w:hideMark/>
          </w:tcPr>
          <w:p w14:paraId="360E9EFF" w14:textId="77777777" w:rsidR="00A14B9B" w:rsidRPr="000D63DA" w:rsidRDefault="00A14B9B" w:rsidP="00DB1D1D">
            <w:pPr>
              <w:keepNext/>
              <w:widowControl w:val="0"/>
              <w:jc w:val="right"/>
              <w:rPr>
                <w:rFonts w:cs="Times New Roman"/>
                <w:color w:val="000000"/>
                <w:sz w:val="22"/>
                <w:lang w:val="cs-CZ"/>
              </w:rPr>
            </w:pPr>
            <w:r w:rsidRPr="000D63DA">
              <w:rPr>
                <w:rFonts w:cs="Times New Roman"/>
                <w:color w:val="000000"/>
                <w:sz w:val="22"/>
                <w:lang w:val="cs-CZ"/>
              </w:rPr>
              <w:t>161 421</w:t>
            </w:r>
          </w:p>
        </w:tc>
        <w:tc>
          <w:tcPr>
            <w:tcW w:w="1300" w:type="dxa"/>
            <w:tcBorders>
              <w:top w:val="nil"/>
              <w:left w:val="nil"/>
              <w:bottom w:val="single" w:sz="4" w:space="0" w:color="auto"/>
              <w:right w:val="single" w:sz="4" w:space="0" w:color="auto"/>
            </w:tcBorders>
            <w:shd w:val="clear" w:color="auto" w:fill="auto"/>
            <w:noWrap/>
            <w:vAlign w:val="bottom"/>
            <w:hideMark/>
          </w:tcPr>
          <w:p w14:paraId="69F672F4" w14:textId="77777777" w:rsidR="00A14B9B" w:rsidRPr="000D63DA" w:rsidRDefault="00A14B9B" w:rsidP="00DB1D1D">
            <w:pPr>
              <w:keepNext/>
              <w:widowControl w:val="0"/>
              <w:jc w:val="right"/>
              <w:rPr>
                <w:rFonts w:cs="Times New Roman"/>
                <w:color w:val="000000"/>
                <w:sz w:val="22"/>
                <w:lang w:val="cs-CZ"/>
              </w:rPr>
            </w:pPr>
            <w:r w:rsidRPr="000D63DA">
              <w:rPr>
                <w:rFonts w:cs="Times New Roman"/>
                <w:color w:val="000000"/>
                <w:sz w:val="22"/>
                <w:lang w:val="cs-CZ"/>
              </w:rPr>
              <w:t>130 194</w:t>
            </w:r>
          </w:p>
        </w:tc>
        <w:tc>
          <w:tcPr>
            <w:tcW w:w="1300" w:type="dxa"/>
            <w:tcBorders>
              <w:top w:val="nil"/>
              <w:left w:val="nil"/>
              <w:bottom w:val="single" w:sz="4" w:space="0" w:color="auto"/>
              <w:right w:val="single" w:sz="4" w:space="0" w:color="auto"/>
            </w:tcBorders>
            <w:shd w:val="clear" w:color="auto" w:fill="auto"/>
            <w:noWrap/>
            <w:vAlign w:val="bottom"/>
            <w:hideMark/>
          </w:tcPr>
          <w:p w14:paraId="2EA4DE12" w14:textId="77777777" w:rsidR="00A14B9B" w:rsidRPr="000D63DA" w:rsidRDefault="00A14B9B" w:rsidP="00DB1D1D">
            <w:pPr>
              <w:keepNext/>
              <w:widowControl w:val="0"/>
              <w:jc w:val="right"/>
              <w:rPr>
                <w:rFonts w:cs="Times New Roman"/>
                <w:color w:val="000000"/>
                <w:sz w:val="22"/>
                <w:lang w:val="cs-CZ"/>
              </w:rPr>
            </w:pPr>
            <w:r w:rsidRPr="000D63DA">
              <w:rPr>
                <w:rFonts w:cs="Times New Roman"/>
                <w:color w:val="000000"/>
                <w:sz w:val="22"/>
                <w:lang w:val="cs-CZ"/>
              </w:rPr>
              <w:t>691 534</w:t>
            </w:r>
          </w:p>
        </w:tc>
      </w:tr>
      <w:tr w:rsidR="00A14B9B" w:rsidRPr="000D63DA" w14:paraId="4934F3C6" w14:textId="77777777" w:rsidTr="00DB1D1D">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38182274" w14:textId="77777777" w:rsidR="00A14B9B" w:rsidRPr="000D63DA" w:rsidRDefault="00A14B9B" w:rsidP="00DB1D1D">
            <w:pPr>
              <w:keepNext/>
              <w:widowControl w:val="0"/>
              <w:rPr>
                <w:rFonts w:cs="Times New Roman"/>
                <w:color w:val="000000"/>
                <w:sz w:val="22"/>
                <w:lang w:val="cs-CZ"/>
              </w:rPr>
            </w:pPr>
            <w:r w:rsidRPr="000D63DA">
              <w:rPr>
                <w:rFonts w:cs="Times New Roman"/>
                <w:color w:val="000000"/>
                <w:sz w:val="22"/>
                <w:lang w:val="cs-CZ"/>
              </w:rPr>
              <w:t>2008</w:t>
            </w:r>
          </w:p>
        </w:tc>
        <w:tc>
          <w:tcPr>
            <w:tcW w:w="1300" w:type="dxa"/>
            <w:tcBorders>
              <w:top w:val="nil"/>
              <w:left w:val="nil"/>
              <w:bottom w:val="single" w:sz="4" w:space="0" w:color="auto"/>
              <w:right w:val="single" w:sz="4" w:space="0" w:color="auto"/>
            </w:tcBorders>
            <w:shd w:val="clear" w:color="auto" w:fill="auto"/>
            <w:noWrap/>
            <w:vAlign w:val="bottom"/>
            <w:hideMark/>
          </w:tcPr>
          <w:p w14:paraId="10EE93F6" w14:textId="77777777" w:rsidR="00A14B9B" w:rsidRPr="000D63DA" w:rsidRDefault="00A14B9B" w:rsidP="00DB1D1D">
            <w:pPr>
              <w:keepNext/>
              <w:widowControl w:val="0"/>
              <w:jc w:val="right"/>
              <w:rPr>
                <w:rFonts w:cs="Times New Roman"/>
                <w:color w:val="000000"/>
                <w:sz w:val="22"/>
                <w:lang w:val="cs-CZ"/>
              </w:rPr>
            </w:pPr>
            <w:r w:rsidRPr="000D63DA">
              <w:rPr>
                <w:rFonts w:cs="Times New Roman"/>
                <w:color w:val="000000"/>
                <w:sz w:val="22"/>
                <w:lang w:val="cs-CZ"/>
              </w:rPr>
              <w:t>4 249 177</w:t>
            </w:r>
          </w:p>
        </w:tc>
        <w:tc>
          <w:tcPr>
            <w:tcW w:w="1300" w:type="dxa"/>
            <w:tcBorders>
              <w:top w:val="nil"/>
              <w:left w:val="nil"/>
              <w:bottom w:val="single" w:sz="4" w:space="0" w:color="auto"/>
              <w:right w:val="single" w:sz="4" w:space="0" w:color="auto"/>
            </w:tcBorders>
            <w:shd w:val="clear" w:color="auto" w:fill="auto"/>
            <w:noWrap/>
            <w:vAlign w:val="bottom"/>
            <w:hideMark/>
          </w:tcPr>
          <w:p w14:paraId="2BAEF359" w14:textId="77777777" w:rsidR="00A14B9B" w:rsidRPr="000D63DA" w:rsidRDefault="00A14B9B" w:rsidP="00DB1D1D">
            <w:pPr>
              <w:keepNext/>
              <w:widowControl w:val="0"/>
              <w:jc w:val="right"/>
              <w:rPr>
                <w:rFonts w:cs="Times New Roman"/>
                <w:color w:val="000000"/>
                <w:sz w:val="22"/>
                <w:lang w:val="cs-CZ"/>
              </w:rPr>
            </w:pPr>
            <w:r w:rsidRPr="000D63DA">
              <w:rPr>
                <w:rFonts w:cs="Times New Roman"/>
                <w:color w:val="000000"/>
                <w:sz w:val="22"/>
                <w:lang w:val="cs-CZ"/>
              </w:rPr>
              <w:t>2 651 209</w:t>
            </w:r>
          </w:p>
        </w:tc>
        <w:tc>
          <w:tcPr>
            <w:tcW w:w="1300" w:type="dxa"/>
            <w:tcBorders>
              <w:top w:val="nil"/>
              <w:left w:val="nil"/>
              <w:bottom w:val="single" w:sz="4" w:space="0" w:color="auto"/>
              <w:right w:val="single" w:sz="4" w:space="0" w:color="auto"/>
            </w:tcBorders>
            <w:shd w:val="clear" w:color="auto" w:fill="auto"/>
            <w:noWrap/>
            <w:vAlign w:val="bottom"/>
            <w:hideMark/>
          </w:tcPr>
          <w:p w14:paraId="71BA72E6" w14:textId="77777777" w:rsidR="00A14B9B" w:rsidRPr="000D63DA" w:rsidRDefault="00A14B9B" w:rsidP="00DB1D1D">
            <w:pPr>
              <w:keepNext/>
              <w:widowControl w:val="0"/>
              <w:jc w:val="right"/>
              <w:rPr>
                <w:rFonts w:cs="Times New Roman"/>
                <w:color w:val="000000"/>
                <w:sz w:val="22"/>
                <w:lang w:val="cs-CZ"/>
              </w:rPr>
            </w:pPr>
            <w:r w:rsidRPr="000D63DA">
              <w:rPr>
                <w:rFonts w:cs="Times New Roman"/>
                <w:color w:val="000000"/>
                <w:sz w:val="22"/>
                <w:lang w:val="cs-CZ"/>
              </w:rPr>
              <w:t>162 122</w:t>
            </w:r>
          </w:p>
        </w:tc>
        <w:tc>
          <w:tcPr>
            <w:tcW w:w="1300" w:type="dxa"/>
            <w:tcBorders>
              <w:top w:val="nil"/>
              <w:left w:val="nil"/>
              <w:bottom w:val="single" w:sz="4" w:space="0" w:color="auto"/>
              <w:right w:val="single" w:sz="4" w:space="0" w:color="auto"/>
            </w:tcBorders>
            <w:shd w:val="clear" w:color="auto" w:fill="auto"/>
            <w:noWrap/>
            <w:vAlign w:val="bottom"/>
            <w:hideMark/>
          </w:tcPr>
          <w:p w14:paraId="18D6CC08" w14:textId="77777777" w:rsidR="00A14B9B" w:rsidRPr="000D63DA" w:rsidRDefault="00A14B9B" w:rsidP="00DB1D1D">
            <w:pPr>
              <w:keepNext/>
              <w:widowControl w:val="0"/>
              <w:jc w:val="right"/>
              <w:rPr>
                <w:rFonts w:cs="Times New Roman"/>
                <w:color w:val="000000"/>
                <w:sz w:val="22"/>
                <w:lang w:val="cs-CZ"/>
              </w:rPr>
            </w:pPr>
            <w:r w:rsidRPr="000D63DA">
              <w:rPr>
                <w:rFonts w:cs="Times New Roman"/>
                <w:color w:val="000000"/>
                <w:sz w:val="22"/>
                <w:lang w:val="cs-CZ"/>
              </w:rPr>
              <w:t>130 574</w:t>
            </w:r>
          </w:p>
        </w:tc>
        <w:tc>
          <w:tcPr>
            <w:tcW w:w="1300" w:type="dxa"/>
            <w:tcBorders>
              <w:top w:val="nil"/>
              <w:left w:val="nil"/>
              <w:bottom w:val="single" w:sz="4" w:space="0" w:color="auto"/>
              <w:right w:val="single" w:sz="4" w:space="0" w:color="auto"/>
            </w:tcBorders>
            <w:shd w:val="clear" w:color="auto" w:fill="auto"/>
            <w:noWrap/>
            <w:vAlign w:val="bottom"/>
            <w:hideMark/>
          </w:tcPr>
          <w:p w14:paraId="035E06BB" w14:textId="77777777" w:rsidR="00A14B9B" w:rsidRPr="000D63DA" w:rsidRDefault="00A14B9B" w:rsidP="00DB1D1D">
            <w:pPr>
              <w:keepNext/>
              <w:widowControl w:val="0"/>
              <w:jc w:val="right"/>
              <w:rPr>
                <w:rFonts w:cs="Times New Roman"/>
                <w:color w:val="000000"/>
                <w:sz w:val="22"/>
                <w:lang w:val="cs-CZ"/>
              </w:rPr>
            </w:pPr>
            <w:r w:rsidRPr="000D63DA">
              <w:rPr>
                <w:rFonts w:cs="Times New Roman"/>
                <w:color w:val="000000"/>
                <w:sz w:val="22"/>
                <w:lang w:val="cs-CZ"/>
              </w:rPr>
              <w:t>693 584</w:t>
            </w:r>
          </w:p>
        </w:tc>
      </w:tr>
      <w:tr w:rsidR="00A14B9B" w:rsidRPr="000D63DA" w14:paraId="154DE434" w14:textId="77777777" w:rsidTr="00DB1D1D">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0F78C37B" w14:textId="77777777" w:rsidR="00A14B9B" w:rsidRPr="000D63DA" w:rsidRDefault="00A14B9B" w:rsidP="00DB1D1D">
            <w:pPr>
              <w:keepNext/>
              <w:widowControl w:val="0"/>
              <w:rPr>
                <w:rFonts w:cs="Times New Roman"/>
                <w:color w:val="000000"/>
                <w:sz w:val="22"/>
                <w:lang w:val="cs-CZ"/>
              </w:rPr>
            </w:pPr>
            <w:r w:rsidRPr="000D63DA">
              <w:rPr>
                <w:rFonts w:cs="Times New Roman"/>
                <w:color w:val="000000"/>
                <w:sz w:val="22"/>
                <w:lang w:val="cs-CZ"/>
              </w:rPr>
              <w:t>2009</w:t>
            </w:r>
          </w:p>
        </w:tc>
        <w:tc>
          <w:tcPr>
            <w:tcW w:w="1300" w:type="dxa"/>
            <w:tcBorders>
              <w:top w:val="nil"/>
              <w:left w:val="nil"/>
              <w:bottom w:val="single" w:sz="4" w:space="0" w:color="auto"/>
              <w:right w:val="single" w:sz="4" w:space="0" w:color="auto"/>
            </w:tcBorders>
            <w:shd w:val="clear" w:color="auto" w:fill="auto"/>
            <w:noWrap/>
            <w:vAlign w:val="bottom"/>
            <w:hideMark/>
          </w:tcPr>
          <w:p w14:paraId="26F00347" w14:textId="77777777" w:rsidR="00A14B9B" w:rsidRPr="000D63DA" w:rsidRDefault="00A14B9B" w:rsidP="00DB1D1D">
            <w:pPr>
              <w:keepNext/>
              <w:widowControl w:val="0"/>
              <w:jc w:val="right"/>
              <w:rPr>
                <w:rFonts w:cs="Times New Roman"/>
                <w:color w:val="000000"/>
                <w:sz w:val="22"/>
                <w:lang w:val="cs-CZ"/>
              </w:rPr>
            </w:pPr>
            <w:r w:rsidRPr="000D63DA">
              <w:rPr>
                <w:rFonts w:cs="Times New Roman"/>
                <w:color w:val="000000"/>
                <w:sz w:val="22"/>
                <w:lang w:val="cs-CZ"/>
              </w:rPr>
              <w:t>4 244 081</w:t>
            </w:r>
          </w:p>
        </w:tc>
        <w:tc>
          <w:tcPr>
            <w:tcW w:w="1300" w:type="dxa"/>
            <w:tcBorders>
              <w:top w:val="nil"/>
              <w:left w:val="nil"/>
              <w:bottom w:val="single" w:sz="4" w:space="0" w:color="auto"/>
              <w:right w:val="single" w:sz="4" w:space="0" w:color="auto"/>
            </w:tcBorders>
            <w:shd w:val="clear" w:color="auto" w:fill="auto"/>
            <w:noWrap/>
            <w:vAlign w:val="bottom"/>
            <w:hideMark/>
          </w:tcPr>
          <w:p w14:paraId="60BA7A1B" w14:textId="77777777" w:rsidR="00A14B9B" w:rsidRPr="000D63DA" w:rsidRDefault="00A14B9B" w:rsidP="00DB1D1D">
            <w:pPr>
              <w:keepNext/>
              <w:widowControl w:val="0"/>
              <w:jc w:val="right"/>
              <w:rPr>
                <w:rFonts w:cs="Times New Roman"/>
                <w:color w:val="000000"/>
                <w:sz w:val="22"/>
                <w:lang w:val="cs-CZ"/>
              </w:rPr>
            </w:pPr>
            <w:r w:rsidRPr="000D63DA">
              <w:rPr>
                <w:rFonts w:cs="Times New Roman"/>
                <w:color w:val="000000"/>
                <w:sz w:val="22"/>
                <w:lang w:val="cs-CZ"/>
              </w:rPr>
              <w:t>2 653 033</w:t>
            </w:r>
          </w:p>
        </w:tc>
        <w:tc>
          <w:tcPr>
            <w:tcW w:w="1300" w:type="dxa"/>
            <w:tcBorders>
              <w:top w:val="nil"/>
              <w:left w:val="nil"/>
              <w:bottom w:val="single" w:sz="4" w:space="0" w:color="auto"/>
              <w:right w:val="single" w:sz="4" w:space="0" w:color="auto"/>
            </w:tcBorders>
            <w:shd w:val="clear" w:color="auto" w:fill="auto"/>
            <w:noWrap/>
            <w:vAlign w:val="bottom"/>
            <w:hideMark/>
          </w:tcPr>
          <w:p w14:paraId="6CEB4A4D" w14:textId="77777777" w:rsidR="00A14B9B" w:rsidRPr="000D63DA" w:rsidRDefault="00A14B9B" w:rsidP="00DB1D1D">
            <w:pPr>
              <w:keepNext/>
              <w:widowControl w:val="0"/>
              <w:jc w:val="right"/>
              <w:rPr>
                <w:rFonts w:cs="Times New Roman"/>
                <w:color w:val="000000"/>
                <w:sz w:val="22"/>
                <w:lang w:val="cs-CZ"/>
              </w:rPr>
            </w:pPr>
            <w:r w:rsidRPr="000D63DA">
              <w:rPr>
                <w:rFonts w:cs="Times New Roman"/>
                <w:color w:val="000000"/>
                <w:sz w:val="22"/>
                <w:lang w:val="cs-CZ"/>
              </w:rPr>
              <w:t>162 500</w:t>
            </w:r>
          </w:p>
        </w:tc>
        <w:tc>
          <w:tcPr>
            <w:tcW w:w="1300" w:type="dxa"/>
            <w:tcBorders>
              <w:top w:val="nil"/>
              <w:left w:val="nil"/>
              <w:bottom w:val="single" w:sz="4" w:space="0" w:color="auto"/>
              <w:right w:val="single" w:sz="4" w:space="0" w:color="auto"/>
            </w:tcBorders>
            <w:shd w:val="clear" w:color="auto" w:fill="auto"/>
            <w:noWrap/>
            <w:vAlign w:val="bottom"/>
            <w:hideMark/>
          </w:tcPr>
          <w:p w14:paraId="198E6CC7" w14:textId="77777777" w:rsidR="00A14B9B" w:rsidRPr="000D63DA" w:rsidRDefault="00A14B9B" w:rsidP="00DB1D1D">
            <w:pPr>
              <w:keepNext/>
              <w:widowControl w:val="0"/>
              <w:jc w:val="right"/>
              <w:rPr>
                <w:rFonts w:cs="Times New Roman"/>
                <w:color w:val="000000"/>
                <w:sz w:val="22"/>
                <w:lang w:val="cs-CZ"/>
              </w:rPr>
            </w:pPr>
            <w:r w:rsidRPr="000D63DA">
              <w:rPr>
                <w:rFonts w:cs="Times New Roman"/>
                <w:color w:val="000000"/>
                <w:sz w:val="22"/>
                <w:lang w:val="cs-CZ"/>
              </w:rPr>
              <w:t>130 933</w:t>
            </w:r>
          </w:p>
        </w:tc>
        <w:tc>
          <w:tcPr>
            <w:tcW w:w="1300" w:type="dxa"/>
            <w:tcBorders>
              <w:top w:val="nil"/>
              <w:left w:val="nil"/>
              <w:bottom w:val="single" w:sz="4" w:space="0" w:color="auto"/>
              <w:right w:val="single" w:sz="4" w:space="0" w:color="auto"/>
            </w:tcBorders>
            <w:shd w:val="clear" w:color="auto" w:fill="auto"/>
            <w:noWrap/>
            <w:vAlign w:val="bottom"/>
            <w:hideMark/>
          </w:tcPr>
          <w:p w14:paraId="07EFCB10" w14:textId="77777777" w:rsidR="00A14B9B" w:rsidRPr="000D63DA" w:rsidRDefault="00A14B9B" w:rsidP="00DB1D1D">
            <w:pPr>
              <w:keepNext/>
              <w:widowControl w:val="0"/>
              <w:jc w:val="right"/>
              <w:rPr>
                <w:rFonts w:cs="Times New Roman"/>
                <w:color w:val="000000"/>
                <w:sz w:val="22"/>
                <w:lang w:val="cs-CZ"/>
              </w:rPr>
            </w:pPr>
            <w:r w:rsidRPr="000D63DA">
              <w:rPr>
                <w:rFonts w:cs="Times New Roman"/>
                <w:color w:val="000000"/>
                <w:sz w:val="22"/>
                <w:lang w:val="cs-CZ"/>
              </w:rPr>
              <w:t>695 965</w:t>
            </w:r>
          </w:p>
        </w:tc>
      </w:tr>
      <w:tr w:rsidR="00A14B9B" w:rsidRPr="000D63DA" w14:paraId="3CCE2840" w14:textId="77777777" w:rsidTr="00DB1D1D">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68386BFD" w14:textId="77777777" w:rsidR="00A14B9B" w:rsidRPr="000D63DA" w:rsidRDefault="00A14B9B" w:rsidP="00DB1D1D">
            <w:pPr>
              <w:keepNext/>
              <w:widowControl w:val="0"/>
              <w:rPr>
                <w:rFonts w:cs="Times New Roman"/>
                <w:color w:val="000000"/>
                <w:sz w:val="22"/>
                <w:lang w:val="cs-CZ"/>
              </w:rPr>
            </w:pPr>
            <w:r w:rsidRPr="000D63DA">
              <w:rPr>
                <w:rFonts w:cs="Times New Roman"/>
                <w:color w:val="000000"/>
                <w:sz w:val="22"/>
                <w:lang w:val="cs-CZ"/>
              </w:rPr>
              <w:t>2010</w:t>
            </w:r>
          </w:p>
        </w:tc>
        <w:tc>
          <w:tcPr>
            <w:tcW w:w="1300" w:type="dxa"/>
            <w:tcBorders>
              <w:top w:val="nil"/>
              <w:left w:val="nil"/>
              <w:bottom w:val="single" w:sz="4" w:space="0" w:color="auto"/>
              <w:right w:val="single" w:sz="4" w:space="0" w:color="auto"/>
            </w:tcBorders>
            <w:shd w:val="clear" w:color="auto" w:fill="auto"/>
            <w:noWrap/>
            <w:vAlign w:val="bottom"/>
            <w:hideMark/>
          </w:tcPr>
          <w:p w14:paraId="5793C597" w14:textId="77777777" w:rsidR="00A14B9B" w:rsidRPr="000D63DA" w:rsidRDefault="00A14B9B" w:rsidP="00DB1D1D">
            <w:pPr>
              <w:keepNext/>
              <w:widowControl w:val="0"/>
              <w:jc w:val="right"/>
              <w:rPr>
                <w:rFonts w:cs="Times New Roman"/>
                <w:color w:val="000000"/>
                <w:sz w:val="22"/>
                <w:lang w:val="cs-CZ"/>
              </w:rPr>
            </w:pPr>
            <w:r w:rsidRPr="000D63DA">
              <w:rPr>
                <w:rFonts w:cs="Times New Roman"/>
                <w:color w:val="000000"/>
                <w:sz w:val="22"/>
                <w:lang w:val="cs-CZ"/>
              </w:rPr>
              <w:t>4 238 975</w:t>
            </w:r>
          </w:p>
        </w:tc>
        <w:tc>
          <w:tcPr>
            <w:tcW w:w="1300" w:type="dxa"/>
            <w:tcBorders>
              <w:top w:val="nil"/>
              <w:left w:val="nil"/>
              <w:bottom w:val="single" w:sz="4" w:space="0" w:color="auto"/>
              <w:right w:val="single" w:sz="4" w:space="0" w:color="auto"/>
            </w:tcBorders>
            <w:shd w:val="clear" w:color="auto" w:fill="auto"/>
            <w:noWrap/>
            <w:vAlign w:val="bottom"/>
            <w:hideMark/>
          </w:tcPr>
          <w:p w14:paraId="5B101549" w14:textId="77777777" w:rsidR="00A14B9B" w:rsidRPr="000D63DA" w:rsidRDefault="00A14B9B" w:rsidP="00DB1D1D">
            <w:pPr>
              <w:keepNext/>
              <w:widowControl w:val="0"/>
              <w:jc w:val="right"/>
              <w:rPr>
                <w:rFonts w:cs="Times New Roman"/>
                <w:color w:val="000000"/>
                <w:sz w:val="22"/>
                <w:lang w:val="cs-CZ"/>
              </w:rPr>
            </w:pPr>
            <w:r w:rsidRPr="000D63DA">
              <w:rPr>
                <w:rFonts w:cs="Times New Roman"/>
                <w:color w:val="000000"/>
                <w:sz w:val="22"/>
                <w:lang w:val="cs-CZ"/>
              </w:rPr>
              <w:t>2 655 212</w:t>
            </w:r>
          </w:p>
        </w:tc>
        <w:tc>
          <w:tcPr>
            <w:tcW w:w="1300" w:type="dxa"/>
            <w:tcBorders>
              <w:top w:val="nil"/>
              <w:left w:val="nil"/>
              <w:bottom w:val="single" w:sz="4" w:space="0" w:color="auto"/>
              <w:right w:val="single" w:sz="4" w:space="0" w:color="auto"/>
            </w:tcBorders>
            <w:shd w:val="clear" w:color="auto" w:fill="auto"/>
            <w:noWrap/>
            <w:vAlign w:val="bottom"/>
            <w:hideMark/>
          </w:tcPr>
          <w:p w14:paraId="130D6CC9" w14:textId="77777777" w:rsidR="00A14B9B" w:rsidRPr="000D63DA" w:rsidRDefault="00A14B9B" w:rsidP="00DB1D1D">
            <w:pPr>
              <w:keepNext/>
              <w:widowControl w:val="0"/>
              <w:jc w:val="right"/>
              <w:rPr>
                <w:rFonts w:cs="Times New Roman"/>
                <w:color w:val="000000"/>
                <w:sz w:val="22"/>
                <w:lang w:val="cs-CZ"/>
              </w:rPr>
            </w:pPr>
            <w:r w:rsidRPr="000D63DA">
              <w:rPr>
                <w:rFonts w:cs="Times New Roman"/>
                <w:color w:val="000000"/>
                <w:sz w:val="22"/>
                <w:lang w:val="cs-CZ"/>
              </w:rPr>
              <w:t>162 787</w:t>
            </w:r>
          </w:p>
        </w:tc>
        <w:tc>
          <w:tcPr>
            <w:tcW w:w="1300" w:type="dxa"/>
            <w:tcBorders>
              <w:top w:val="nil"/>
              <w:left w:val="nil"/>
              <w:bottom w:val="single" w:sz="4" w:space="0" w:color="auto"/>
              <w:right w:val="single" w:sz="4" w:space="0" w:color="auto"/>
            </w:tcBorders>
            <w:shd w:val="clear" w:color="auto" w:fill="auto"/>
            <w:noWrap/>
            <w:vAlign w:val="bottom"/>
            <w:hideMark/>
          </w:tcPr>
          <w:p w14:paraId="051317A4" w14:textId="77777777" w:rsidR="00A14B9B" w:rsidRPr="000D63DA" w:rsidRDefault="00A14B9B" w:rsidP="00DB1D1D">
            <w:pPr>
              <w:keepNext/>
              <w:widowControl w:val="0"/>
              <w:jc w:val="right"/>
              <w:rPr>
                <w:rFonts w:cs="Times New Roman"/>
                <w:color w:val="000000"/>
                <w:sz w:val="22"/>
                <w:lang w:val="cs-CZ"/>
              </w:rPr>
            </w:pPr>
            <w:r w:rsidRPr="000D63DA">
              <w:rPr>
                <w:rFonts w:cs="Times New Roman"/>
                <w:color w:val="000000"/>
                <w:sz w:val="22"/>
                <w:lang w:val="cs-CZ"/>
              </w:rPr>
              <w:t>131 127</w:t>
            </w:r>
          </w:p>
        </w:tc>
        <w:tc>
          <w:tcPr>
            <w:tcW w:w="1300" w:type="dxa"/>
            <w:tcBorders>
              <w:top w:val="nil"/>
              <w:left w:val="nil"/>
              <w:bottom w:val="single" w:sz="4" w:space="0" w:color="auto"/>
              <w:right w:val="single" w:sz="4" w:space="0" w:color="auto"/>
            </w:tcBorders>
            <w:shd w:val="clear" w:color="auto" w:fill="auto"/>
            <w:noWrap/>
            <w:vAlign w:val="bottom"/>
            <w:hideMark/>
          </w:tcPr>
          <w:p w14:paraId="487EA008" w14:textId="77777777" w:rsidR="00A14B9B" w:rsidRPr="000D63DA" w:rsidRDefault="00A14B9B" w:rsidP="00DB1D1D">
            <w:pPr>
              <w:keepNext/>
              <w:widowControl w:val="0"/>
              <w:jc w:val="right"/>
              <w:rPr>
                <w:rFonts w:cs="Times New Roman"/>
                <w:color w:val="000000"/>
                <w:sz w:val="22"/>
                <w:lang w:val="cs-CZ"/>
              </w:rPr>
            </w:pPr>
            <w:r w:rsidRPr="000D63DA">
              <w:rPr>
                <w:rFonts w:cs="Times New Roman"/>
                <w:color w:val="000000"/>
                <w:sz w:val="22"/>
                <w:lang w:val="cs-CZ"/>
              </w:rPr>
              <w:t>698 391</w:t>
            </w:r>
          </w:p>
        </w:tc>
      </w:tr>
      <w:tr w:rsidR="00A14B9B" w:rsidRPr="000D63DA" w14:paraId="557C42B0" w14:textId="77777777" w:rsidTr="00DB1D1D">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4BEAF4D1" w14:textId="77777777" w:rsidR="00A14B9B" w:rsidRPr="000D63DA" w:rsidRDefault="00A14B9B" w:rsidP="00DB1D1D">
            <w:pPr>
              <w:keepNext/>
              <w:widowControl w:val="0"/>
              <w:rPr>
                <w:rFonts w:cs="Times New Roman"/>
                <w:color w:val="000000"/>
                <w:sz w:val="22"/>
                <w:lang w:val="cs-CZ"/>
              </w:rPr>
            </w:pPr>
            <w:r w:rsidRPr="000D63DA">
              <w:rPr>
                <w:rFonts w:cs="Times New Roman"/>
                <w:color w:val="000000"/>
                <w:sz w:val="22"/>
                <w:lang w:val="cs-CZ"/>
              </w:rPr>
              <w:t>2011</w:t>
            </w:r>
          </w:p>
        </w:tc>
        <w:tc>
          <w:tcPr>
            <w:tcW w:w="1300" w:type="dxa"/>
            <w:tcBorders>
              <w:top w:val="nil"/>
              <w:left w:val="nil"/>
              <w:bottom w:val="single" w:sz="4" w:space="0" w:color="auto"/>
              <w:right w:val="single" w:sz="4" w:space="0" w:color="auto"/>
            </w:tcBorders>
            <w:shd w:val="clear" w:color="auto" w:fill="auto"/>
            <w:noWrap/>
            <w:vAlign w:val="bottom"/>
            <w:hideMark/>
          </w:tcPr>
          <w:p w14:paraId="0FBEE067" w14:textId="77777777" w:rsidR="00A14B9B" w:rsidRPr="000D63DA" w:rsidRDefault="00A14B9B" w:rsidP="00DB1D1D">
            <w:pPr>
              <w:keepNext/>
              <w:widowControl w:val="0"/>
              <w:jc w:val="right"/>
              <w:rPr>
                <w:rFonts w:cs="Times New Roman"/>
                <w:color w:val="000000"/>
                <w:sz w:val="22"/>
                <w:lang w:val="cs-CZ"/>
              </w:rPr>
            </w:pPr>
            <w:r w:rsidRPr="000D63DA">
              <w:rPr>
                <w:rFonts w:cs="Times New Roman"/>
                <w:color w:val="000000"/>
                <w:sz w:val="22"/>
                <w:lang w:val="cs-CZ"/>
              </w:rPr>
              <w:t>4 233 501</w:t>
            </w:r>
          </w:p>
        </w:tc>
        <w:tc>
          <w:tcPr>
            <w:tcW w:w="1300" w:type="dxa"/>
            <w:tcBorders>
              <w:top w:val="nil"/>
              <w:left w:val="nil"/>
              <w:bottom w:val="single" w:sz="4" w:space="0" w:color="auto"/>
              <w:right w:val="single" w:sz="4" w:space="0" w:color="auto"/>
            </w:tcBorders>
            <w:shd w:val="clear" w:color="auto" w:fill="auto"/>
            <w:noWrap/>
            <w:vAlign w:val="bottom"/>
            <w:hideMark/>
          </w:tcPr>
          <w:p w14:paraId="28B3872B" w14:textId="77777777" w:rsidR="00A14B9B" w:rsidRPr="000D63DA" w:rsidRDefault="00A14B9B" w:rsidP="00DB1D1D">
            <w:pPr>
              <w:keepNext/>
              <w:widowControl w:val="0"/>
              <w:jc w:val="right"/>
              <w:rPr>
                <w:rFonts w:cs="Times New Roman"/>
                <w:color w:val="000000"/>
                <w:sz w:val="22"/>
                <w:lang w:val="cs-CZ"/>
              </w:rPr>
            </w:pPr>
            <w:r w:rsidRPr="000D63DA">
              <w:rPr>
                <w:rFonts w:cs="Times New Roman"/>
                <w:color w:val="000000"/>
                <w:sz w:val="22"/>
                <w:lang w:val="cs-CZ"/>
              </w:rPr>
              <w:t>2 657 376</w:t>
            </w:r>
          </w:p>
        </w:tc>
        <w:tc>
          <w:tcPr>
            <w:tcW w:w="1300" w:type="dxa"/>
            <w:tcBorders>
              <w:top w:val="nil"/>
              <w:left w:val="nil"/>
              <w:bottom w:val="single" w:sz="4" w:space="0" w:color="auto"/>
              <w:right w:val="single" w:sz="4" w:space="0" w:color="auto"/>
            </w:tcBorders>
            <w:shd w:val="clear" w:color="auto" w:fill="auto"/>
            <w:noWrap/>
            <w:vAlign w:val="bottom"/>
            <w:hideMark/>
          </w:tcPr>
          <w:p w14:paraId="0A55357F" w14:textId="77777777" w:rsidR="00A14B9B" w:rsidRPr="000D63DA" w:rsidRDefault="00A14B9B" w:rsidP="00DB1D1D">
            <w:pPr>
              <w:keepNext/>
              <w:widowControl w:val="0"/>
              <w:jc w:val="right"/>
              <w:rPr>
                <w:rFonts w:cs="Times New Roman"/>
                <w:color w:val="000000"/>
                <w:sz w:val="22"/>
                <w:lang w:val="cs-CZ"/>
              </w:rPr>
            </w:pPr>
            <w:r w:rsidRPr="000D63DA">
              <w:rPr>
                <w:rFonts w:cs="Times New Roman"/>
                <w:color w:val="000000"/>
                <w:sz w:val="22"/>
                <w:lang w:val="cs-CZ"/>
              </w:rPr>
              <w:t>163 144</w:t>
            </w:r>
          </w:p>
        </w:tc>
        <w:tc>
          <w:tcPr>
            <w:tcW w:w="1300" w:type="dxa"/>
            <w:tcBorders>
              <w:top w:val="nil"/>
              <w:left w:val="nil"/>
              <w:bottom w:val="single" w:sz="4" w:space="0" w:color="auto"/>
              <w:right w:val="single" w:sz="4" w:space="0" w:color="auto"/>
            </w:tcBorders>
            <w:shd w:val="clear" w:color="auto" w:fill="auto"/>
            <w:noWrap/>
            <w:vAlign w:val="bottom"/>
            <w:hideMark/>
          </w:tcPr>
          <w:p w14:paraId="01F1F772" w14:textId="77777777" w:rsidR="00A14B9B" w:rsidRPr="000D63DA" w:rsidRDefault="00A14B9B" w:rsidP="00DB1D1D">
            <w:pPr>
              <w:keepNext/>
              <w:widowControl w:val="0"/>
              <w:jc w:val="right"/>
              <w:rPr>
                <w:rFonts w:cs="Times New Roman"/>
                <w:color w:val="000000"/>
                <w:sz w:val="22"/>
                <w:lang w:val="cs-CZ"/>
              </w:rPr>
            </w:pPr>
            <w:r w:rsidRPr="000D63DA">
              <w:rPr>
                <w:rFonts w:cs="Times New Roman"/>
                <w:color w:val="000000"/>
                <w:sz w:val="22"/>
                <w:lang w:val="cs-CZ"/>
              </w:rPr>
              <w:t>131 366</w:t>
            </w:r>
          </w:p>
        </w:tc>
        <w:tc>
          <w:tcPr>
            <w:tcW w:w="1300" w:type="dxa"/>
            <w:tcBorders>
              <w:top w:val="nil"/>
              <w:left w:val="nil"/>
              <w:bottom w:val="single" w:sz="4" w:space="0" w:color="auto"/>
              <w:right w:val="single" w:sz="4" w:space="0" w:color="auto"/>
            </w:tcBorders>
            <w:shd w:val="clear" w:color="auto" w:fill="auto"/>
            <w:noWrap/>
            <w:vAlign w:val="bottom"/>
            <w:hideMark/>
          </w:tcPr>
          <w:p w14:paraId="3AAE8DA2" w14:textId="77777777" w:rsidR="00A14B9B" w:rsidRPr="000D63DA" w:rsidRDefault="00A14B9B" w:rsidP="00DB1D1D">
            <w:pPr>
              <w:keepNext/>
              <w:widowControl w:val="0"/>
              <w:jc w:val="right"/>
              <w:rPr>
                <w:rFonts w:cs="Times New Roman"/>
                <w:color w:val="000000"/>
                <w:sz w:val="22"/>
                <w:lang w:val="cs-CZ"/>
              </w:rPr>
            </w:pPr>
            <w:r w:rsidRPr="000D63DA">
              <w:rPr>
                <w:rFonts w:cs="Times New Roman"/>
                <w:color w:val="000000"/>
                <w:sz w:val="22"/>
                <w:lang w:val="cs-CZ"/>
              </w:rPr>
              <w:t>701 151</w:t>
            </w:r>
          </w:p>
        </w:tc>
      </w:tr>
      <w:tr w:rsidR="00A14B9B" w:rsidRPr="000D63DA" w14:paraId="046737F4" w14:textId="77777777" w:rsidTr="00DB1D1D">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1B174BAE" w14:textId="77777777" w:rsidR="00A14B9B" w:rsidRPr="000D63DA" w:rsidRDefault="00A14B9B" w:rsidP="00DB1D1D">
            <w:pPr>
              <w:keepNext/>
              <w:widowControl w:val="0"/>
              <w:rPr>
                <w:rFonts w:cs="Times New Roman"/>
                <w:color w:val="000000"/>
                <w:sz w:val="22"/>
                <w:lang w:val="cs-CZ"/>
              </w:rPr>
            </w:pPr>
            <w:r w:rsidRPr="000D63DA">
              <w:rPr>
                <w:rFonts w:cs="Times New Roman"/>
                <w:color w:val="000000"/>
                <w:sz w:val="22"/>
                <w:lang w:val="cs-CZ"/>
              </w:rPr>
              <w:t>2012</w:t>
            </w:r>
          </w:p>
        </w:tc>
        <w:tc>
          <w:tcPr>
            <w:tcW w:w="1300" w:type="dxa"/>
            <w:tcBorders>
              <w:top w:val="nil"/>
              <w:left w:val="nil"/>
              <w:bottom w:val="single" w:sz="4" w:space="0" w:color="auto"/>
              <w:right w:val="single" w:sz="4" w:space="0" w:color="auto"/>
            </w:tcBorders>
            <w:shd w:val="clear" w:color="auto" w:fill="auto"/>
            <w:noWrap/>
            <w:vAlign w:val="bottom"/>
            <w:hideMark/>
          </w:tcPr>
          <w:p w14:paraId="67BF21B5" w14:textId="77777777" w:rsidR="00A14B9B" w:rsidRPr="000D63DA" w:rsidRDefault="00A14B9B" w:rsidP="00DB1D1D">
            <w:pPr>
              <w:keepNext/>
              <w:widowControl w:val="0"/>
              <w:jc w:val="right"/>
              <w:rPr>
                <w:rFonts w:cs="Times New Roman"/>
                <w:color w:val="000000"/>
                <w:sz w:val="22"/>
                <w:lang w:val="cs-CZ"/>
              </w:rPr>
            </w:pPr>
            <w:r w:rsidRPr="000D63DA">
              <w:rPr>
                <w:rFonts w:cs="Times New Roman"/>
                <w:color w:val="000000"/>
                <w:sz w:val="22"/>
                <w:lang w:val="cs-CZ"/>
              </w:rPr>
              <w:t>4 229 167</w:t>
            </w:r>
          </w:p>
        </w:tc>
        <w:tc>
          <w:tcPr>
            <w:tcW w:w="1300" w:type="dxa"/>
            <w:tcBorders>
              <w:top w:val="nil"/>
              <w:left w:val="nil"/>
              <w:bottom w:val="single" w:sz="4" w:space="0" w:color="auto"/>
              <w:right w:val="single" w:sz="4" w:space="0" w:color="auto"/>
            </w:tcBorders>
            <w:shd w:val="clear" w:color="auto" w:fill="auto"/>
            <w:noWrap/>
            <w:vAlign w:val="bottom"/>
            <w:hideMark/>
          </w:tcPr>
          <w:p w14:paraId="2A7D123E" w14:textId="77777777" w:rsidR="00A14B9B" w:rsidRPr="000D63DA" w:rsidRDefault="00A14B9B" w:rsidP="00DB1D1D">
            <w:pPr>
              <w:keepNext/>
              <w:widowControl w:val="0"/>
              <w:jc w:val="right"/>
              <w:rPr>
                <w:rFonts w:cs="Times New Roman"/>
                <w:color w:val="000000"/>
                <w:sz w:val="22"/>
                <w:lang w:val="cs-CZ"/>
              </w:rPr>
            </w:pPr>
            <w:r w:rsidRPr="000D63DA">
              <w:rPr>
                <w:rFonts w:cs="Times New Roman"/>
                <w:color w:val="000000"/>
                <w:sz w:val="22"/>
                <w:lang w:val="cs-CZ"/>
              </w:rPr>
              <w:t>2 659 837</w:t>
            </w:r>
          </w:p>
        </w:tc>
        <w:tc>
          <w:tcPr>
            <w:tcW w:w="1300" w:type="dxa"/>
            <w:tcBorders>
              <w:top w:val="nil"/>
              <w:left w:val="nil"/>
              <w:bottom w:val="single" w:sz="4" w:space="0" w:color="auto"/>
              <w:right w:val="single" w:sz="4" w:space="0" w:color="auto"/>
            </w:tcBorders>
            <w:shd w:val="clear" w:color="auto" w:fill="auto"/>
            <w:noWrap/>
            <w:vAlign w:val="bottom"/>
            <w:hideMark/>
          </w:tcPr>
          <w:p w14:paraId="1B31A72C" w14:textId="77777777" w:rsidR="00A14B9B" w:rsidRPr="000D63DA" w:rsidRDefault="00A14B9B" w:rsidP="00DB1D1D">
            <w:pPr>
              <w:keepNext/>
              <w:widowControl w:val="0"/>
              <w:jc w:val="right"/>
              <w:rPr>
                <w:rFonts w:cs="Times New Roman"/>
                <w:color w:val="000000"/>
                <w:sz w:val="22"/>
                <w:lang w:val="cs-CZ"/>
              </w:rPr>
            </w:pPr>
            <w:r w:rsidRPr="000D63DA">
              <w:rPr>
                <w:rFonts w:cs="Times New Roman"/>
                <w:color w:val="000000"/>
                <w:sz w:val="22"/>
                <w:lang w:val="cs-CZ"/>
              </w:rPr>
              <w:t>163 421</w:t>
            </w:r>
          </w:p>
        </w:tc>
        <w:tc>
          <w:tcPr>
            <w:tcW w:w="1300" w:type="dxa"/>
            <w:tcBorders>
              <w:top w:val="nil"/>
              <w:left w:val="nil"/>
              <w:bottom w:val="single" w:sz="4" w:space="0" w:color="auto"/>
              <w:right w:val="single" w:sz="4" w:space="0" w:color="auto"/>
            </w:tcBorders>
            <w:shd w:val="clear" w:color="auto" w:fill="auto"/>
            <w:noWrap/>
            <w:vAlign w:val="bottom"/>
            <w:hideMark/>
          </w:tcPr>
          <w:p w14:paraId="5AE703DF" w14:textId="77777777" w:rsidR="00A14B9B" w:rsidRPr="000D63DA" w:rsidRDefault="00A14B9B" w:rsidP="00DB1D1D">
            <w:pPr>
              <w:keepNext/>
              <w:widowControl w:val="0"/>
              <w:jc w:val="right"/>
              <w:rPr>
                <w:rFonts w:cs="Times New Roman"/>
                <w:color w:val="000000"/>
                <w:sz w:val="22"/>
                <w:lang w:val="cs-CZ"/>
              </w:rPr>
            </w:pPr>
            <w:r w:rsidRPr="000D63DA">
              <w:rPr>
                <w:rFonts w:cs="Times New Roman"/>
                <w:color w:val="000000"/>
                <w:sz w:val="22"/>
                <w:lang w:val="cs-CZ"/>
              </w:rPr>
              <w:t>131 691</w:t>
            </w:r>
          </w:p>
        </w:tc>
        <w:tc>
          <w:tcPr>
            <w:tcW w:w="1300" w:type="dxa"/>
            <w:tcBorders>
              <w:top w:val="nil"/>
              <w:left w:val="nil"/>
              <w:bottom w:val="single" w:sz="4" w:space="0" w:color="auto"/>
              <w:right w:val="single" w:sz="4" w:space="0" w:color="auto"/>
            </w:tcBorders>
            <w:shd w:val="clear" w:color="auto" w:fill="auto"/>
            <w:noWrap/>
            <w:vAlign w:val="bottom"/>
            <w:hideMark/>
          </w:tcPr>
          <w:p w14:paraId="6B8C6763" w14:textId="77777777" w:rsidR="00A14B9B" w:rsidRPr="000D63DA" w:rsidRDefault="00A14B9B" w:rsidP="00DB1D1D">
            <w:pPr>
              <w:keepNext/>
              <w:widowControl w:val="0"/>
              <w:jc w:val="right"/>
              <w:rPr>
                <w:rFonts w:cs="Times New Roman"/>
                <w:color w:val="000000"/>
                <w:sz w:val="22"/>
                <w:lang w:val="cs-CZ"/>
              </w:rPr>
            </w:pPr>
            <w:r w:rsidRPr="000D63DA">
              <w:rPr>
                <w:rFonts w:cs="Times New Roman"/>
                <w:color w:val="000000"/>
                <w:sz w:val="22"/>
                <w:lang w:val="cs-CZ"/>
              </w:rPr>
              <w:t>702 482</w:t>
            </w:r>
          </w:p>
        </w:tc>
      </w:tr>
      <w:tr w:rsidR="00A14B9B" w:rsidRPr="000D63DA" w14:paraId="304C2066" w14:textId="77777777" w:rsidTr="00DB1D1D">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06DA5034" w14:textId="77777777" w:rsidR="00A14B9B" w:rsidRPr="000D63DA" w:rsidRDefault="00A14B9B" w:rsidP="00DB1D1D">
            <w:pPr>
              <w:keepNext/>
              <w:widowControl w:val="0"/>
              <w:rPr>
                <w:rFonts w:cs="Times New Roman"/>
                <w:color w:val="000000"/>
                <w:sz w:val="22"/>
                <w:lang w:val="cs-CZ"/>
              </w:rPr>
            </w:pPr>
            <w:r w:rsidRPr="000D63DA">
              <w:rPr>
                <w:rFonts w:cs="Times New Roman"/>
                <w:color w:val="000000"/>
                <w:sz w:val="22"/>
                <w:lang w:val="cs-CZ"/>
              </w:rPr>
              <w:t>2013</w:t>
            </w:r>
          </w:p>
        </w:tc>
        <w:tc>
          <w:tcPr>
            <w:tcW w:w="1300" w:type="dxa"/>
            <w:tcBorders>
              <w:top w:val="nil"/>
              <w:left w:val="nil"/>
              <w:bottom w:val="single" w:sz="4" w:space="0" w:color="auto"/>
              <w:right w:val="single" w:sz="4" w:space="0" w:color="auto"/>
            </w:tcBorders>
            <w:shd w:val="clear" w:color="auto" w:fill="auto"/>
            <w:noWrap/>
            <w:vAlign w:val="bottom"/>
            <w:hideMark/>
          </w:tcPr>
          <w:p w14:paraId="00439617" w14:textId="77777777" w:rsidR="00A14B9B" w:rsidRPr="000D63DA" w:rsidRDefault="00A14B9B" w:rsidP="00DB1D1D">
            <w:pPr>
              <w:keepNext/>
              <w:widowControl w:val="0"/>
              <w:jc w:val="right"/>
              <w:rPr>
                <w:rFonts w:cs="Times New Roman"/>
                <w:color w:val="000000"/>
                <w:sz w:val="22"/>
                <w:lang w:val="cs-CZ"/>
              </w:rPr>
            </w:pPr>
            <w:r w:rsidRPr="000D63DA">
              <w:rPr>
                <w:rFonts w:cs="Times New Roman"/>
                <w:color w:val="000000"/>
                <w:sz w:val="22"/>
                <w:lang w:val="cs-CZ"/>
              </w:rPr>
              <w:t>4 224 389</w:t>
            </w:r>
          </w:p>
        </w:tc>
        <w:tc>
          <w:tcPr>
            <w:tcW w:w="1300" w:type="dxa"/>
            <w:tcBorders>
              <w:top w:val="nil"/>
              <w:left w:val="nil"/>
              <w:bottom w:val="single" w:sz="4" w:space="0" w:color="auto"/>
              <w:right w:val="single" w:sz="4" w:space="0" w:color="auto"/>
            </w:tcBorders>
            <w:shd w:val="clear" w:color="auto" w:fill="auto"/>
            <w:noWrap/>
            <w:vAlign w:val="bottom"/>
            <w:hideMark/>
          </w:tcPr>
          <w:p w14:paraId="3BE19080" w14:textId="77777777" w:rsidR="00A14B9B" w:rsidRPr="000D63DA" w:rsidRDefault="00A14B9B" w:rsidP="00DB1D1D">
            <w:pPr>
              <w:keepNext/>
              <w:widowControl w:val="0"/>
              <w:jc w:val="right"/>
              <w:rPr>
                <w:rFonts w:cs="Times New Roman"/>
                <w:color w:val="000000"/>
                <w:sz w:val="22"/>
                <w:lang w:val="cs-CZ"/>
              </w:rPr>
            </w:pPr>
            <w:r w:rsidRPr="000D63DA">
              <w:rPr>
                <w:rFonts w:cs="Times New Roman"/>
                <w:color w:val="000000"/>
                <w:sz w:val="22"/>
                <w:lang w:val="cs-CZ"/>
              </w:rPr>
              <w:t>2 661 889</w:t>
            </w:r>
          </w:p>
        </w:tc>
        <w:tc>
          <w:tcPr>
            <w:tcW w:w="1300" w:type="dxa"/>
            <w:tcBorders>
              <w:top w:val="nil"/>
              <w:left w:val="nil"/>
              <w:bottom w:val="single" w:sz="4" w:space="0" w:color="auto"/>
              <w:right w:val="single" w:sz="4" w:space="0" w:color="auto"/>
            </w:tcBorders>
            <w:shd w:val="clear" w:color="auto" w:fill="auto"/>
            <w:noWrap/>
            <w:vAlign w:val="bottom"/>
            <w:hideMark/>
          </w:tcPr>
          <w:p w14:paraId="5771556B" w14:textId="77777777" w:rsidR="00A14B9B" w:rsidRPr="000D63DA" w:rsidRDefault="00A14B9B" w:rsidP="00DB1D1D">
            <w:pPr>
              <w:keepNext/>
              <w:widowControl w:val="0"/>
              <w:jc w:val="right"/>
              <w:rPr>
                <w:rFonts w:cs="Times New Roman"/>
                <w:color w:val="000000"/>
                <w:sz w:val="22"/>
                <w:lang w:val="cs-CZ"/>
              </w:rPr>
            </w:pPr>
            <w:r w:rsidRPr="000D63DA">
              <w:rPr>
                <w:rFonts w:cs="Times New Roman"/>
                <w:color w:val="000000"/>
                <w:sz w:val="22"/>
                <w:lang w:val="cs-CZ"/>
              </w:rPr>
              <w:t>163 965</w:t>
            </w:r>
          </w:p>
        </w:tc>
        <w:tc>
          <w:tcPr>
            <w:tcW w:w="1300" w:type="dxa"/>
            <w:tcBorders>
              <w:top w:val="nil"/>
              <w:left w:val="nil"/>
              <w:bottom w:val="single" w:sz="4" w:space="0" w:color="auto"/>
              <w:right w:val="single" w:sz="4" w:space="0" w:color="auto"/>
            </w:tcBorders>
            <w:shd w:val="clear" w:color="auto" w:fill="auto"/>
            <w:noWrap/>
            <w:vAlign w:val="bottom"/>
            <w:hideMark/>
          </w:tcPr>
          <w:p w14:paraId="31E6C6B5" w14:textId="77777777" w:rsidR="00A14B9B" w:rsidRPr="000D63DA" w:rsidRDefault="00A14B9B" w:rsidP="00DB1D1D">
            <w:pPr>
              <w:keepNext/>
              <w:widowControl w:val="0"/>
              <w:jc w:val="right"/>
              <w:rPr>
                <w:rFonts w:cs="Times New Roman"/>
                <w:color w:val="000000"/>
                <w:sz w:val="22"/>
                <w:lang w:val="cs-CZ"/>
              </w:rPr>
            </w:pPr>
            <w:r w:rsidRPr="000D63DA">
              <w:rPr>
                <w:rFonts w:cs="Times New Roman"/>
                <w:color w:val="000000"/>
                <w:sz w:val="22"/>
                <w:lang w:val="cs-CZ"/>
              </w:rPr>
              <w:t>131 800</w:t>
            </w:r>
          </w:p>
        </w:tc>
        <w:tc>
          <w:tcPr>
            <w:tcW w:w="1300" w:type="dxa"/>
            <w:tcBorders>
              <w:top w:val="nil"/>
              <w:left w:val="nil"/>
              <w:bottom w:val="single" w:sz="4" w:space="0" w:color="auto"/>
              <w:right w:val="single" w:sz="4" w:space="0" w:color="auto"/>
            </w:tcBorders>
            <w:shd w:val="clear" w:color="auto" w:fill="auto"/>
            <w:noWrap/>
            <w:vAlign w:val="bottom"/>
            <w:hideMark/>
          </w:tcPr>
          <w:p w14:paraId="7D61E99D" w14:textId="77777777" w:rsidR="00A14B9B" w:rsidRPr="000D63DA" w:rsidRDefault="00A14B9B" w:rsidP="00DB1D1D">
            <w:pPr>
              <w:keepNext/>
              <w:widowControl w:val="0"/>
              <w:jc w:val="right"/>
              <w:rPr>
                <w:rFonts w:cs="Times New Roman"/>
                <w:color w:val="000000"/>
                <w:sz w:val="22"/>
                <w:lang w:val="cs-CZ"/>
              </w:rPr>
            </w:pPr>
            <w:r w:rsidRPr="000D63DA">
              <w:rPr>
                <w:rFonts w:cs="Times New Roman"/>
                <w:color w:val="000000"/>
                <w:sz w:val="22"/>
                <w:lang w:val="cs-CZ"/>
              </w:rPr>
              <w:t>704 577</w:t>
            </w:r>
          </w:p>
        </w:tc>
      </w:tr>
      <w:tr w:rsidR="00A14B9B" w:rsidRPr="000D63DA" w14:paraId="60312002" w14:textId="77777777" w:rsidTr="00DB1D1D">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7383C656" w14:textId="77777777" w:rsidR="00A14B9B" w:rsidRPr="000D63DA" w:rsidRDefault="00A14B9B" w:rsidP="00DB1D1D">
            <w:pPr>
              <w:keepNext/>
              <w:widowControl w:val="0"/>
              <w:rPr>
                <w:rFonts w:cs="Times New Roman"/>
                <w:color w:val="000000"/>
                <w:sz w:val="22"/>
                <w:lang w:val="cs-CZ"/>
              </w:rPr>
            </w:pPr>
            <w:r w:rsidRPr="000D63DA">
              <w:rPr>
                <w:rFonts w:cs="Times New Roman"/>
                <w:color w:val="000000"/>
                <w:sz w:val="22"/>
                <w:lang w:val="cs-CZ"/>
              </w:rPr>
              <w:t>2014</w:t>
            </w:r>
          </w:p>
        </w:tc>
        <w:tc>
          <w:tcPr>
            <w:tcW w:w="1300" w:type="dxa"/>
            <w:tcBorders>
              <w:top w:val="nil"/>
              <w:left w:val="nil"/>
              <w:bottom w:val="single" w:sz="4" w:space="0" w:color="auto"/>
              <w:right w:val="single" w:sz="4" w:space="0" w:color="auto"/>
            </w:tcBorders>
            <w:shd w:val="clear" w:color="auto" w:fill="auto"/>
            <w:noWrap/>
            <w:vAlign w:val="bottom"/>
            <w:hideMark/>
          </w:tcPr>
          <w:p w14:paraId="215CD6EB" w14:textId="77777777" w:rsidR="00A14B9B" w:rsidRPr="000D63DA" w:rsidRDefault="00A14B9B" w:rsidP="00DB1D1D">
            <w:pPr>
              <w:keepNext/>
              <w:widowControl w:val="0"/>
              <w:jc w:val="right"/>
              <w:rPr>
                <w:rFonts w:cs="Times New Roman"/>
                <w:color w:val="000000"/>
                <w:sz w:val="22"/>
                <w:lang w:val="cs-CZ"/>
              </w:rPr>
            </w:pPr>
            <w:r w:rsidRPr="000D63DA">
              <w:rPr>
                <w:rFonts w:cs="Times New Roman"/>
                <w:color w:val="000000"/>
                <w:sz w:val="22"/>
                <w:lang w:val="cs-CZ"/>
              </w:rPr>
              <w:t>4 219 867</w:t>
            </w:r>
          </w:p>
        </w:tc>
        <w:tc>
          <w:tcPr>
            <w:tcW w:w="1300" w:type="dxa"/>
            <w:tcBorders>
              <w:top w:val="nil"/>
              <w:left w:val="nil"/>
              <w:bottom w:val="single" w:sz="4" w:space="0" w:color="auto"/>
              <w:right w:val="single" w:sz="4" w:space="0" w:color="auto"/>
            </w:tcBorders>
            <w:shd w:val="clear" w:color="auto" w:fill="auto"/>
            <w:noWrap/>
            <w:vAlign w:val="bottom"/>
            <w:hideMark/>
          </w:tcPr>
          <w:p w14:paraId="01ADAAA6" w14:textId="77777777" w:rsidR="00A14B9B" w:rsidRPr="000D63DA" w:rsidRDefault="00A14B9B" w:rsidP="00DB1D1D">
            <w:pPr>
              <w:keepNext/>
              <w:widowControl w:val="0"/>
              <w:jc w:val="right"/>
              <w:rPr>
                <w:rFonts w:cs="Times New Roman"/>
                <w:color w:val="000000"/>
                <w:sz w:val="22"/>
                <w:lang w:val="cs-CZ"/>
              </w:rPr>
            </w:pPr>
            <w:r w:rsidRPr="000D63DA">
              <w:rPr>
                <w:rFonts w:cs="Times New Roman"/>
                <w:color w:val="000000"/>
                <w:sz w:val="22"/>
                <w:lang w:val="cs-CZ"/>
              </w:rPr>
              <w:t>2 663 731</w:t>
            </w:r>
          </w:p>
        </w:tc>
        <w:tc>
          <w:tcPr>
            <w:tcW w:w="1300" w:type="dxa"/>
            <w:tcBorders>
              <w:top w:val="nil"/>
              <w:left w:val="nil"/>
              <w:bottom w:val="single" w:sz="4" w:space="0" w:color="auto"/>
              <w:right w:val="single" w:sz="4" w:space="0" w:color="auto"/>
            </w:tcBorders>
            <w:shd w:val="clear" w:color="auto" w:fill="auto"/>
            <w:noWrap/>
            <w:vAlign w:val="bottom"/>
            <w:hideMark/>
          </w:tcPr>
          <w:p w14:paraId="7E785B66" w14:textId="77777777" w:rsidR="00A14B9B" w:rsidRPr="000D63DA" w:rsidRDefault="00A14B9B" w:rsidP="00DB1D1D">
            <w:pPr>
              <w:keepNext/>
              <w:widowControl w:val="0"/>
              <w:jc w:val="right"/>
              <w:rPr>
                <w:rFonts w:cs="Times New Roman"/>
                <w:color w:val="000000"/>
                <w:sz w:val="22"/>
                <w:lang w:val="cs-CZ"/>
              </w:rPr>
            </w:pPr>
            <w:r w:rsidRPr="000D63DA">
              <w:rPr>
                <w:rFonts w:cs="Times New Roman"/>
                <w:color w:val="000000"/>
                <w:sz w:val="22"/>
                <w:lang w:val="cs-CZ"/>
              </w:rPr>
              <w:t>164 377</w:t>
            </w:r>
          </w:p>
        </w:tc>
        <w:tc>
          <w:tcPr>
            <w:tcW w:w="1300" w:type="dxa"/>
            <w:tcBorders>
              <w:top w:val="nil"/>
              <w:left w:val="nil"/>
              <w:bottom w:val="single" w:sz="4" w:space="0" w:color="auto"/>
              <w:right w:val="single" w:sz="4" w:space="0" w:color="auto"/>
            </w:tcBorders>
            <w:shd w:val="clear" w:color="auto" w:fill="auto"/>
            <w:noWrap/>
            <w:vAlign w:val="bottom"/>
            <w:hideMark/>
          </w:tcPr>
          <w:p w14:paraId="6A5741A1" w14:textId="77777777" w:rsidR="00A14B9B" w:rsidRPr="000D63DA" w:rsidRDefault="00A14B9B" w:rsidP="00DB1D1D">
            <w:pPr>
              <w:keepNext/>
              <w:widowControl w:val="0"/>
              <w:jc w:val="right"/>
              <w:rPr>
                <w:rFonts w:cs="Times New Roman"/>
                <w:color w:val="000000"/>
                <w:sz w:val="22"/>
                <w:lang w:val="cs-CZ"/>
              </w:rPr>
            </w:pPr>
            <w:r w:rsidRPr="000D63DA">
              <w:rPr>
                <w:rFonts w:cs="Times New Roman"/>
                <w:color w:val="000000"/>
                <w:sz w:val="22"/>
                <w:lang w:val="cs-CZ"/>
              </w:rPr>
              <w:t>132 090</w:t>
            </w:r>
          </w:p>
        </w:tc>
        <w:tc>
          <w:tcPr>
            <w:tcW w:w="1300" w:type="dxa"/>
            <w:tcBorders>
              <w:top w:val="nil"/>
              <w:left w:val="nil"/>
              <w:bottom w:val="single" w:sz="4" w:space="0" w:color="auto"/>
              <w:right w:val="single" w:sz="4" w:space="0" w:color="auto"/>
            </w:tcBorders>
            <w:shd w:val="clear" w:color="auto" w:fill="auto"/>
            <w:noWrap/>
            <w:vAlign w:val="bottom"/>
            <w:hideMark/>
          </w:tcPr>
          <w:p w14:paraId="307DABB6" w14:textId="77777777" w:rsidR="00A14B9B" w:rsidRPr="000D63DA" w:rsidRDefault="00A14B9B" w:rsidP="00DB1D1D">
            <w:pPr>
              <w:keepNext/>
              <w:widowControl w:val="0"/>
              <w:jc w:val="right"/>
              <w:rPr>
                <w:rFonts w:cs="Times New Roman"/>
                <w:color w:val="000000"/>
                <w:sz w:val="22"/>
                <w:lang w:val="cs-CZ"/>
              </w:rPr>
            </w:pPr>
            <w:r w:rsidRPr="000D63DA">
              <w:rPr>
                <w:rFonts w:cs="Times New Roman"/>
                <w:color w:val="000000"/>
                <w:sz w:val="22"/>
                <w:lang w:val="cs-CZ"/>
              </w:rPr>
              <w:t>706 642</w:t>
            </w:r>
          </w:p>
        </w:tc>
      </w:tr>
      <w:tr w:rsidR="00A14B9B" w:rsidRPr="000D63DA" w14:paraId="0F9DF944" w14:textId="77777777" w:rsidTr="00DB1D1D">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57A5E416" w14:textId="77777777" w:rsidR="00A14B9B" w:rsidRPr="000D63DA" w:rsidRDefault="00A14B9B" w:rsidP="00DB1D1D">
            <w:pPr>
              <w:keepNext/>
              <w:widowControl w:val="0"/>
              <w:rPr>
                <w:rFonts w:cs="Times New Roman"/>
                <w:color w:val="000000"/>
                <w:sz w:val="22"/>
                <w:lang w:val="cs-CZ"/>
              </w:rPr>
            </w:pPr>
            <w:r w:rsidRPr="000D63DA">
              <w:rPr>
                <w:rFonts w:cs="Times New Roman"/>
                <w:color w:val="000000"/>
                <w:sz w:val="22"/>
                <w:lang w:val="cs-CZ"/>
              </w:rPr>
              <w:t>2015</w:t>
            </w:r>
          </w:p>
        </w:tc>
        <w:tc>
          <w:tcPr>
            <w:tcW w:w="1300" w:type="dxa"/>
            <w:tcBorders>
              <w:top w:val="nil"/>
              <w:left w:val="nil"/>
              <w:bottom w:val="single" w:sz="4" w:space="0" w:color="auto"/>
              <w:right w:val="single" w:sz="4" w:space="0" w:color="auto"/>
            </w:tcBorders>
            <w:shd w:val="clear" w:color="auto" w:fill="auto"/>
            <w:noWrap/>
            <w:vAlign w:val="bottom"/>
            <w:hideMark/>
          </w:tcPr>
          <w:p w14:paraId="122C0765" w14:textId="77777777" w:rsidR="00A14B9B" w:rsidRPr="000D63DA" w:rsidRDefault="00A14B9B" w:rsidP="00DB1D1D">
            <w:pPr>
              <w:keepNext/>
              <w:widowControl w:val="0"/>
              <w:jc w:val="right"/>
              <w:rPr>
                <w:rFonts w:cs="Times New Roman"/>
                <w:color w:val="000000"/>
                <w:sz w:val="22"/>
                <w:lang w:val="cs-CZ"/>
              </w:rPr>
            </w:pPr>
            <w:r w:rsidRPr="000D63DA">
              <w:rPr>
                <w:rFonts w:cs="Times New Roman"/>
                <w:color w:val="000000"/>
                <w:sz w:val="22"/>
                <w:lang w:val="cs-CZ"/>
              </w:rPr>
              <w:t>4 215 621</w:t>
            </w:r>
          </w:p>
        </w:tc>
        <w:tc>
          <w:tcPr>
            <w:tcW w:w="1300" w:type="dxa"/>
            <w:tcBorders>
              <w:top w:val="nil"/>
              <w:left w:val="nil"/>
              <w:bottom w:val="single" w:sz="4" w:space="0" w:color="auto"/>
              <w:right w:val="single" w:sz="4" w:space="0" w:color="auto"/>
            </w:tcBorders>
            <w:shd w:val="clear" w:color="auto" w:fill="auto"/>
            <w:noWrap/>
            <w:vAlign w:val="bottom"/>
            <w:hideMark/>
          </w:tcPr>
          <w:p w14:paraId="3E247AA5" w14:textId="77777777" w:rsidR="00A14B9B" w:rsidRPr="000D63DA" w:rsidRDefault="00A14B9B" w:rsidP="00DB1D1D">
            <w:pPr>
              <w:keepNext/>
              <w:widowControl w:val="0"/>
              <w:jc w:val="right"/>
              <w:rPr>
                <w:rFonts w:cs="Times New Roman"/>
                <w:color w:val="000000"/>
                <w:sz w:val="22"/>
                <w:lang w:val="cs-CZ"/>
              </w:rPr>
            </w:pPr>
            <w:r w:rsidRPr="000D63DA">
              <w:rPr>
                <w:rFonts w:cs="Times New Roman"/>
                <w:color w:val="000000"/>
                <w:sz w:val="22"/>
                <w:lang w:val="cs-CZ"/>
              </w:rPr>
              <w:t>2 666 376</w:t>
            </w:r>
          </w:p>
        </w:tc>
        <w:tc>
          <w:tcPr>
            <w:tcW w:w="1300" w:type="dxa"/>
            <w:tcBorders>
              <w:top w:val="nil"/>
              <w:left w:val="nil"/>
              <w:bottom w:val="single" w:sz="4" w:space="0" w:color="auto"/>
              <w:right w:val="single" w:sz="4" w:space="0" w:color="auto"/>
            </w:tcBorders>
            <w:shd w:val="clear" w:color="auto" w:fill="auto"/>
            <w:noWrap/>
            <w:vAlign w:val="bottom"/>
            <w:hideMark/>
          </w:tcPr>
          <w:p w14:paraId="1881D453" w14:textId="77777777" w:rsidR="00A14B9B" w:rsidRPr="000D63DA" w:rsidRDefault="00A14B9B" w:rsidP="00DB1D1D">
            <w:pPr>
              <w:keepNext/>
              <w:widowControl w:val="0"/>
              <w:jc w:val="right"/>
              <w:rPr>
                <w:rFonts w:cs="Times New Roman"/>
                <w:color w:val="000000"/>
                <w:sz w:val="22"/>
                <w:lang w:val="cs-CZ"/>
              </w:rPr>
            </w:pPr>
            <w:r w:rsidRPr="000D63DA">
              <w:rPr>
                <w:rFonts w:cs="Times New Roman"/>
                <w:color w:val="000000"/>
                <w:sz w:val="22"/>
                <w:lang w:val="cs-CZ"/>
              </w:rPr>
              <w:t>164 835</w:t>
            </w:r>
          </w:p>
        </w:tc>
        <w:tc>
          <w:tcPr>
            <w:tcW w:w="1300" w:type="dxa"/>
            <w:tcBorders>
              <w:top w:val="nil"/>
              <w:left w:val="nil"/>
              <w:bottom w:val="single" w:sz="4" w:space="0" w:color="auto"/>
              <w:right w:val="single" w:sz="4" w:space="0" w:color="auto"/>
            </w:tcBorders>
            <w:shd w:val="clear" w:color="auto" w:fill="auto"/>
            <w:noWrap/>
            <w:vAlign w:val="bottom"/>
            <w:hideMark/>
          </w:tcPr>
          <w:p w14:paraId="47BB3976" w14:textId="77777777" w:rsidR="00A14B9B" w:rsidRPr="000D63DA" w:rsidRDefault="00A14B9B" w:rsidP="00DB1D1D">
            <w:pPr>
              <w:keepNext/>
              <w:widowControl w:val="0"/>
              <w:jc w:val="right"/>
              <w:rPr>
                <w:rFonts w:cs="Times New Roman"/>
                <w:color w:val="000000"/>
                <w:sz w:val="22"/>
                <w:lang w:val="cs-CZ"/>
              </w:rPr>
            </w:pPr>
            <w:r w:rsidRPr="000D63DA">
              <w:rPr>
                <w:rFonts w:cs="Times New Roman"/>
                <w:color w:val="000000"/>
                <w:sz w:val="22"/>
                <w:lang w:val="cs-CZ"/>
              </w:rPr>
              <w:t>132 192</w:t>
            </w:r>
          </w:p>
        </w:tc>
        <w:tc>
          <w:tcPr>
            <w:tcW w:w="1300" w:type="dxa"/>
            <w:tcBorders>
              <w:top w:val="nil"/>
              <w:left w:val="nil"/>
              <w:bottom w:val="single" w:sz="4" w:space="0" w:color="auto"/>
              <w:right w:val="single" w:sz="4" w:space="0" w:color="auto"/>
            </w:tcBorders>
            <w:shd w:val="clear" w:color="auto" w:fill="auto"/>
            <w:noWrap/>
            <w:vAlign w:val="bottom"/>
            <w:hideMark/>
          </w:tcPr>
          <w:p w14:paraId="74983E61" w14:textId="77777777" w:rsidR="00A14B9B" w:rsidRPr="000D63DA" w:rsidRDefault="00A14B9B" w:rsidP="00DB1D1D">
            <w:pPr>
              <w:keepNext/>
              <w:widowControl w:val="0"/>
              <w:jc w:val="right"/>
              <w:rPr>
                <w:rFonts w:cs="Times New Roman"/>
                <w:color w:val="000000"/>
                <w:sz w:val="22"/>
                <w:lang w:val="cs-CZ"/>
              </w:rPr>
            </w:pPr>
            <w:r w:rsidRPr="000D63DA">
              <w:rPr>
                <w:rFonts w:cs="Times New Roman"/>
                <w:color w:val="000000"/>
                <w:sz w:val="22"/>
                <w:lang w:val="cs-CZ"/>
              </w:rPr>
              <w:t>707 755</w:t>
            </w:r>
          </w:p>
        </w:tc>
      </w:tr>
      <w:tr w:rsidR="00A14B9B" w:rsidRPr="000D63DA" w14:paraId="29911C07" w14:textId="77777777" w:rsidTr="00DB1D1D">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3A705A14" w14:textId="77777777" w:rsidR="00A14B9B" w:rsidRPr="000D63DA" w:rsidRDefault="00A14B9B" w:rsidP="00DB1D1D">
            <w:pPr>
              <w:keepNext/>
              <w:widowControl w:val="0"/>
              <w:rPr>
                <w:rFonts w:cs="Times New Roman"/>
                <w:color w:val="000000"/>
                <w:sz w:val="22"/>
                <w:lang w:val="cs-CZ"/>
              </w:rPr>
            </w:pPr>
            <w:r w:rsidRPr="000D63DA">
              <w:rPr>
                <w:rFonts w:cs="Times New Roman"/>
                <w:color w:val="000000"/>
                <w:sz w:val="22"/>
                <w:lang w:val="cs-CZ"/>
              </w:rPr>
              <w:t>2016</w:t>
            </w:r>
          </w:p>
        </w:tc>
        <w:tc>
          <w:tcPr>
            <w:tcW w:w="1300" w:type="dxa"/>
            <w:tcBorders>
              <w:top w:val="nil"/>
              <w:left w:val="nil"/>
              <w:bottom w:val="single" w:sz="4" w:space="0" w:color="auto"/>
              <w:right w:val="single" w:sz="4" w:space="0" w:color="auto"/>
            </w:tcBorders>
            <w:shd w:val="clear" w:color="auto" w:fill="auto"/>
            <w:noWrap/>
            <w:vAlign w:val="bottom"/>
            <w:hideMark/>
          </w:tcPr>
          <w:p w14:paraId="033C89D6" w14:textId="77777777" w:rsidR="00A14B9B" w:rsidRPr="000D63DA" w:rsidRDefault="00A14B9B" w:rsidP="00DB1D1D">
            <w:pPr>
              <w:keepNext/>
              <w:widowControl w:val="0"/>
              <w:jc w:val="right"/>
              <w:rPr>
                <w:rFonts w:cs="Times New Roman"/>
                <w:color w:val="000000"/>
                <w:sz w:val="22"/>
                <w:lang w:val="cs-CZ"/>
              </w:rPr>
            </w:pPr>
            <w:r w:rsidRPr="000D63DA">
              <w:rPr>
                <w:rFonts w:cs="Times New Roman"/>
                <w:color w:val="000000"/>
                <w:sz w:val="22"/>
                <w:lang w:val="cs-CZ"/>
              </w:rPr>
              <w:t>4 211 935</w:t>
            </w:r>
          </w:p>
        </w:tc>
        <w:tc>
          <w:tcPr>
            <w:tcW w:w="1300" w:type="dxa"/>
            <w:tcBorders>
              <w:top w:val="nil"/>
              <w:left w:val="nil"/>
              <w:bottom w:val="single" w:sz="4" w:space="0" w:color="auto"/>
              <w:right w:val="single" w:sz="4" w:space="0" w:color="auto"/>
            </w:tcBorders>
            <w:shd w:val="clear" w:color="auto" w:fill="auto"/>
            <w:noWrap/>
            <w:vAlign w:val="bottom"/>
            <w:hideMark/>
          </w:tcPr>
          <w:p w14:paraId="44807EAE" w14:textId="77777777" w:rsidR="00A14B9B" w:rsidRPr="000D63DA" w:rsidRDefault="00A14B9B" w:rsidP="00DB1D1D">
            <w:pPr>
              <w:keepNext/>
              <w:widowControl w:val="0"/>
              <w:jc w:val="right"/>
              <w:rPr>
                <w:rFonts w:cs="Times New Roman"/>
                <w:color w:val="000000"/>
                <w:sz w:val="22"/>
                <w:lang w:val="cs-CZ"/>
              </w:rPr>
            </w:pPr>
            <w:r w:rsidRPr="000D63DA">
              <w:rPr>
                <w:rFonts w:cs="Times New Roman"/>
                <w:color w:val="000000"/>
                <w:sz w:val="22"/>
                <w:lang w:val="cs-CZ"/>
              </w:rPr>
              <w:t>2 668 392</w:t>
            </w:r>
          </w:p>
        </w:tc>
        <w:tc>
          <w:tcPr>
            <w:tcW w:w="1300" w:type="dxa"/>
            <w:tcBorders>
              <w:top w:val="nil"/>
              <w:left w:val="nil"/>
              <w:bottom w:val="single" w:sz="4" w:space="0" w:color="auto"/>
              <w:right w:val="single" w:sz="4" w:space="0" w:color="auto"/>
            </w:tcBorders>
            <w:shd w:val="clear" w:color="auto" w:fill="auto"/>
            <w:noWrap/>
            <w:vAlign w:val="bottom"/>
            <w:hideMark/>
          </w:tcPr>
          <w:p w14:paraId="1088ABF0" w14:textId="77777777" w:rsidR="00A14B9B" w:rsidRPr="000D63DA" w:rsidRDefault="00A14B9B" w:rsidP="00DB1D1D">
            <w:pPr>
              <w:keepNext/>
              <w:widowControl w:val="0"/>
              <w:jc w:val="right"/>
              <w:rPr>
                <w:rFonts w:cs="Times New Roman"/>
                <w:color w:val="000000"/>
                <w:sz w:val="22"/>
                <w:lang w:val="cs-CZ"/>
              </w:rPr>
            </w:pPr>
            <w:r w:rsidRPr="000D63DA">
              <w:rPr>
                <w:rFonts w:cs="Times New Roman"/>
                <w:color w:val="000000"/>
                <w:sz w:val="22"/>
                <w:lang w:val="cs-CZ"/>
              </w:rPr>
              <w:t>165 485</w:t>
            </w:r>
          </w:p>
        </w:tc>
        <w:tc>
          <w:tcPr>
            <w:tcW w:w="1300" w:type="dxa"/>
            <w:tcBorders>
              <w:top w:val="nil"/>
              <w:left w:val="nil"/>
              <w:bottom w:val="single" w:sz="4" w:space="0" w:color="auto"/>
              <w:right w:val="single" w:sz="4" w:space="0" w:color="auto"/>
            </w:tcBorders>
            <w:shd w:val="clear" w:color="auto" w:fill="auto"/>
            <w:noWrap/>
            <w:vAlign w:val="bottom"/>
            <w:hideMark/>
          </w:tcPr>
          <w:p w14:paraId="6638CEAE" w14:textId="77777777" w:rsidR="00A14B9B" w:rsidRPr="000D63DA" w:rsidRDefault="00A14B9B" w:rsidP="00DB1D1D">
            <w:pPr>
              <w:keepNext/>
              <w:widowControl w:val="0"/>
              <w:jc w:val="right"/>
              <w:rPr>
                <w:rFonts w:cs="Times New Roman"/>
                <w:color w:val="000000"/>
                <w:sz w:val="22"/>
                <w:lang w:val="cs-CZ"/>
              </w:rPr>
            </w:pPr>
            <w:r w:rsidRPr="000D63DA">
              <w:rPr>
                <w:rFonts w:cs="Times New Roman"/>
                <w:color w:val="000000"/>
                <w:sz w:val="22"/>
                <w:lang w:val="cs-CZ"/>
              </w:rPr>
              <w:t>132 119</w:t>
            </w:r>
          </w:p>
        </w:tc>
        <w:tc>
          <w:tcPr>
            <w:tcW w:w="1300" w:type="dxa"/>
            <w:tcBorders>
              <w:top w:val="nil"/>
              <w:left w:val="nil"/>
              <w:bottom w:val="single" w:sz="4" w:space="0" w:color="auto"/>
              <w:right w:val="single" w:sz="4" w:space="0" w:color="auto"/>
            </w:tcBorders>
            <w:shd w:val="clear" w:color="auto" w:fill="auto"/>
            <w:noWrap/>
            <w:vAlign w:val="bottom"/>
            <w:hideMark/>
          </w:tcPr>
          <w:p w14:paraId="2C5DE7C4" w14:textId="77777777" w:rsidR="00A14B9B" w:rsidRPr="000D63DA" w:rsidRDefault="00A14B9B" w:rsidP="00DB1D1D">
            <w:pPr>
              <w:keepNext/>
              <w:widowControl w:val="0"/>
              <w:jc w:val="right"/>
              <w:rPr>
                <w:rFonts w:cs="Times New Roman"/>
                <w:color w:val="000000"/>
                <w:sz w:val="22"/>
                <w:lang w:val="cs-CZ"/>
              </w:rPr>
            </w:pPr>
            <w:r w:rsidRPr="000D63DA">
              <w:rPr>
                <w:rFonts w:cs="Times New Roman"/>
                <w:color w:val="000000"/>
                <w:sz w:val="22"/>
                <w:lang w:val="cs-CZ"/>
              </w:rPr>
              <w:t>709 042</w:t>
            </w:r>
          </w:p>
        </w:tc>
      </w:tr>
      <w:tr w:rsidR="00A14B9B" w:rsidRPr="000D63DA" w14:paraId="75EA40AF" w14:textId="77777777" w:rsidTr="00DB1D1D">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3EECF982" w14:textId="77777777" w:rsidR="00A14B9B" w:rsidRPr="000D63DA" w:rsidRDefault="00A14B9B" w:rsidP="00DB1D1D">
            <w:pPr>
              <w:keepNext/>
              <w:widowControl w:val="0"/>
              <w:rPr>
                <w:rFonts w:cs="Times New Roman"/>
                <w:color w:val="000000"/>
                <w:sz w:val="22"/>
                <w:lang w:val="cs-CZ"/>
              </w:rPr>
            </w:pPr>
            <w:r w:rsidRPr="000D63DA">
              <w:rPr>
                <w:rFonts w:cs="Times New Roman"/>
                <w:color w:val="000000"/>
                <w:sz w:val="22"/>
                <w:lang w:val="cs-CZ"/>
              </w:rPr>
              <w:t>2017</w:t>
            </w:r>
          </w:p>
        </w:tc>
        <w:tc>
          <w:tcPr>
            <w:tcW w:w="1300" w:type="dxa"/>
            <w:tcBorders>
              <w:top w:val="nil"/>
              <w:left w:val="nil"/>
              <w:bottom w:val="single" w:sz="4" w:space="0" w:color="auto"/>
              <w:right w:val="single" w:sz="4" w:space="0" w:color="auto"/>
            </w:tcBorders>
            <w:shd w:val="clear" w:color="auto" w:fill="auto"/>
            <w:noWrap/>
            <w:vAlign w:val="bottom"/>
            <w:hideMark/>
          </w:tcPr>
          <w:p w14:paraId="242CB636" w14:textId="77777777" w:rsidR="00A14B9B" w:rsidRPr="000D63DA" w:rsidRDefault="00A14B9B" w:rsidP="00DB1D1D">
            <w:pPr>
              <w:keepNext/>
              <w:widowControl w:val="0"/>
              <w:jc w:val="right"/>
              <w:rPr>
                <w:rFonts w:cs="Times New Roman"/>
                <w:color w:val="000000"/>
                <w:sz w:val="22"/>
                <w:lang w:val="cs-CZ"/>
              </w:rPr>
            </w:pPr>
            <w:r w:rsidRPr="000D63DA">
              <w:rPr>
                <w:rFonts w:cs="Times New Roman"/>
                <w:color w:val="000000"/>
                <w:sz w:val="22"/>
                <w:lang w:val="cs-CZ"/>
              </w:rPr>
              <w:t>4 208 374</w:t>
            </w:r>
          </w:p>
        </w:tc>
        <w:tc>
          <w:tcPr>
            <w:tcW w:w="1300" w:type="dxa"/>
            <w:tcBorders>
              <w:top w:val="nil"/>
              <w:left w:val="nil"/>
              <w:bottom w:val="single" w:sz="4" w:space="0" w:color="auto"/>
              <w:right w:val="single" w:sz="4" w:space="0" w:color="auto"/>
            </w:tcBorders>
            <w:shd w:val="clear" w:color="auto" w:fill="auto"/>
            <w:noWrap/>
            <w:vAlign w:val="bottom"/>
            <w:hideMark/>
          </w:tcPr>
          <w:p w14:paraId="6257021E" w14:textId="77777777" w:rsidR="00A14B9B" w:rsidRPr="000D63DA" w:rsidRDefault="00A14B9B" w:rsidP="00DB1D1D">
            <w:pPr>
              <w:keepNext/>
              <w:widowControl w:val="0"/>
              <w:jc w:val="right"/>
              <w:rPr>
                <w:rFonts w:cs="Times New Roman"/>
                <w:color w:val="000000"/>
                <w:sz w:val="22"/>
                <w:lang w:val="cs-CZ"/>
              </w:rPr>
            </w:pPr>
            <w:r w:rsidRPr="000D63DA">
              <w:rPr>
                <w:rFonts w:cs="Times New Roman"/>
                <w:color w:val="000000"/>
                <w:sz w:val="22"/>
                <w:lang w:val="cs-CZ"/>
              </w:rPr>
              <w:t>2 669 850</w:t>
            </w:r>
          </w:p>
        </w:tc>
        <w:tc>
          <w:tcPr>
            <w:tcW w:w="1300" w:type="dxa"/>
            <w:tcBorders>
              <w:top w:val="nil"/>
              <w:left w:val="nil"/>
              <w:bottom w:val="single" w:sz="4" w:space="0" w:color="auto"/>
              <w:right w:val="single" w:sz="4" w:space="0" w:color="auto"/>
            </w:tcBorders>
            <w:shd w:val="clear" w:color="auto" w:fill="auto"/>
            <w:noWrap/>
            <w:vAlign w:val="bottom"/>
            <w:hideMark/>
          </w:tcPr>
          <w:p w14:paraId="3EF92432" w14:textId="77777777" w:rsidR="00A14B9B" w:rsidRPr="000D63DA" w:rsidRDefault="00A14B9B" w:rsidP="00DB1D1D">
            <w:pPr>
              <w:keepNext/>
              <w:widowControl w:val="0"/>
              <w:jc w:val="right"/>
              <w:rPr>
                <w:rFonts w:cs="Times New Roman"/>
                <w:color w:val="000000"/>
                <w:sz w:val="22"/>
                <w:lang w:val="cs-CZ"/>
              </w:rPr>
            </w:pPr>
            <w:r w:rsidRPr="000D63DA">
              <w:rPr>
                <w:rFonts w:cs="Times New Roman"/>
                <w:color w:val="000000"/>
                <w:sz w:val="22"/>
                <w:lang w:val="cs-CZ"/>
              </w:rPr>
              <w:t>165 876</w:t>
            </w:r>
          </w:p>
        </w:tc>
        <w:tc>
          <w:tcPr>
            <w:tcW w:w="1300" w:type="dxa"/>
            <w:tcBorders>
              <w:top w:val="nil"/>
              <w:left w:val="nil"/>
              <w:bottom w:val="single" w:sz="4" w:space="0" w:color="auto"/>
              <w:right w:val="single" w:sz="4" w:space="0" w:color="auto"/>
            </w:tcBorders>
            <w:shd w:val="clear" w:color="auto" w:fill="auto"/>
            <w:noWrap/>
            <w:vAlign w:val="bottom"/>
            <w:hideMark/>
          </w:tcPr>
          <w:p w14:paraId="76EE7032" w14:textId="77777777" w:rsidR="00A14B9B" w:rsidRPr="000D63DA" w:rsidRDefault="00A14B9B" w:rsidP="00DB1D1D">
            <w:pPr>
              <w:keepNext/>
              <w:widowControl w:val="0"/>
              <w:jc w:val="right"/>
              <w:rPr>
                <w:rFonts w:cs="Times New Roman"/>
                <w:color w:val="000000"/>
                <w:sz w:val="22"/>
                <w:lang w:val="cs-CZ"/>
              </w:rPr>
            </w:pPr>
            <w:r w:rsidRPr="000D63DA">
              <w:rPr>
                <w:rFonts w:cs="Times New Roman"/>
                <w:color w:val="000000"/>
                <w:sz w:val="22"/>
                <w:lang w:val="cs-CZ"/>
              </w:rPr>
              <w:t>132 217</w:t>
            </w:r>
          </w:p>
        </w:tc>
        <w:tc>
          <w:tcPr>
            <w:tcW w:w="1300" w:type="dxa"/>
            <w:tcBorders>
              <w:top w:val="nil"/>
              <w:left w:val="nil"/>
              <w:bottom w:val="single" w:sz="4" w:space="0" w:color="auto"/>
              <w:right w:val="single" w:sz="4" w:space="0" w:color="auto"/>
            </w:tcBorders>
            <w:shd w:val="clear" w:color="auto" w:fill="auto"/>
            <w:noWrap/>
            <w:vAlign w:val="bottom"/>
            <w:hideMark/>
          </w:tcPr>
          <w:p w14:paraId="34532CCB" w14:textId="77777777" w:rsidR="00A14B9B" w:rsidRPr="000D63DA" w:rsidRDefault="00A14B9B" w:rsidP="00DB1D1D">
            <w:pPr>
              <w:keepNext/>
              <w:widowControl w:val="0"/>
              <w:jc w:val="right"/>
              <w:rPr>
                <w:rFonts w:cs="Times New Roman"/>
                <w:color w:val="000000"/>
                <w:sz w:val="22"/>
                <w:lang w:val="cs-CZ"/>
              </w:rPr>
            </w:pPr>
            <w:r w:rsidRPr="000D63DA">
              <w:rPr>
                <w:rFonts w:cs="Times New Roman"/>
                <w:color w:val="000000"/>
                <w:sz w:val="22"/>
                <w:lang w:val="cs-CZ"/>
              </w:rPr>
              <w:t>710 724</w:t>
            </w:r>
          </w:p>
        </w:tc>
      </w:tr>
      <w:tr w:rsidR="00A14B9B" w:rsidRPr="000D63DA" w14:paraId="2D754373" w14:textId="77777777" w:rsidTr="00DB1D1D">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36C06AB8" w14:textId="77777777" w:rsidR="00A14B9B" w:rsidRPr="000D63DA" w:rsidRDefault="00A14B9B" w:rsidP="00DB1D1D">
            <w:pPr>
              <w:keepNext/>
              <w:widowControl w:val="0"/>
              <w:rPr>
                <w:rFonts w:cs="Times New Roman"/>
                <w:color w:val="000000"/>
                <w:sz w:val="22"/>
                <w:lang w:val="cs-CZ"/>
              </w:rPr>
            </w:pPr>
            <w:r w:rsidRPr="000D63DA">
              <w:rPr>
                <w:rFonts w:cs="Times New Roman"/>
                <w:color w:val="000000"/>
                <w:sz w:val="22"/>
                <w:lang w:val="cs-CZ"/>
              </w:rPr>
              <w:t>2018</w:t>
            </w:r>
          </w:p>
        </w:tc>
        <w:tc>
          <w:tcPr>
            <w:tcW w:w="1300" w:type="dxa"/>
            <w:tcBorders>
              <w:top w:val="nil"/>
              <w:left w:val="nil"/>
              <w:bottom w:val="single" w:sz="4" w:space="0" w:color="auto"/>
              <w:right w:val="single" w:sz="4" w:space="0" w:color="auto"/>
            </w:tcBorders>
            <w:shd w:val="clear" w:color="auto" w:fill="auto"/>
            <w:noWrap/>
            <w:vAlign w:val="bottom"/>
            <w:hideMark/>
          </w:tcPr>
          <w:p w14:paraId="0ECAD31D" w14:textId="77777777" w:rsidR="00A14B9B" w:rsidRPr="000D63DA" w:rsidRDefault="00A14B9B" w:rsidP="00DB1D1D">
            <w:pPr>
              <w:keepNext/>
              <w:widowControl w:val="0"/>
              <w:jc w:val="right"/>
              <w:rPr>
                <w:rFonts w:cs="Times New Roman"/>
                <w:color w:val="000000"/>
                <w:sz w:val="22"/>
                <w:lang w:val="cs-CZ"/>
              </w:rPr>
            </w:pPr>
            <w:r w:rsidRPr="000D63DA">
              <w:rPr>
                <w:rFonts w:cs="Times New Roman"/>
                <w:color w:val="000000"/>
                <w:sz w:val="22"/>
                <w:lang w:val="cs-CZ"/>
              </w:rPr>
              <w:t>4 205 288</w:t>
            </w:r>
          </w:p>
        </w:tc>
        <w:tc>
          <w:tcPr>
            <w:tcW w:w="1300" w:type="dxa"/>
            <w:tcBorders>
              <w:top w:val="nil"/>
              <w:left w:val="nil"/>
              <w:bottom w:val="single" w:sz="4" w:space="0" w:color="auto"/>
              <w:right w:val="single" w:sz="4" w:space="0" w:color="auto"/>
            </w:tcBorders>
            <w:shd w:val="clear" w:color="auto" w:fill="auto"/>
            <w:noWrap/>
            <w:vAlign w:val="bottom"/>
            <w:hideMark/>
          </w:tcPr>
          <w:p w14:paraId="1611B0D7" w14:textId="77777777" w:rsidR="00A14B9B" w:rsidRPr="000D63DA" w:rsidRDefault="00A14B9B" w:rsidP="00DB1D1D">
            <w:pPr>
              <w:keepNext/>
              <w:widowControl w:val="0"/>
              <w:jc w:val="right"/>
              <w:rPr>
                <w:rFonts w:cs="Times New Roman"/>
                <w:color w:val="000000"/>
                <w:sz w:val="22"/>
                <w:lang w:val="cs-CZ"/>
              </w:rPr>
            </w:pPr>
            <w:r w:rsidRPr="000D63DA">
              <w:rPr>
                <w:rFonts w:cs="Times New Roman"/>
                <w:color w:val="000000"/>
                <w:sz w:val="22"/>
                <w:lang w:val="cs-CZ"/>
              </w:rPr>
              <w:t>2 671 659</w:t>
            </w:r>
          </w:p>
        </w:tc>
        <w:tc>
          <w:tcPr>
            <w:tcW w:w="1300" w:type="dxa"/>
            <w:tcBorders>
              <w:top w:val="nil"/>
              <w:left w:val="nil"/>
              <w:bottom w:val="single" w:sz="4" w:space="0" w:color="auto"/>
              <w:right w:val="single" w:sz="4" w:space="0" w:color="auto"/>
            </w:tcBorders>
            <w:shd w:val="clear" w:color="auto" w:fill="auto"/>
            <w:noWrap/>
            <w:vAlign w:val="bottom"/>
            <w:hideMark/>
          </w:tcPr>
          <w:p w14:paraId="3FB9EF83" w14:textId="77777777" w:rsidR="00A14B9B" w:rsidRPr="000D63DA" w:rsidRDefault="00A14B9B" w:rsidP="00DB1D1D">
            <w:pPr>
              <w:keepNext/>
              <w:widowControl w:val="0"/>
              <w:jc w:val="right"/>
              <w:rPr>
                <w:rFonts w:cs="Times New Roman"/>
                <w:color w:val="000000"/>
                <w:sz w:val="22"/>
                <w:lang w:val="cs-CZ"/>
              </w:rPr>
            </w:pPr>
            <w:r w:rsidRPr="000D63DA">
              <w:rPr>
                <w:rFonts w:cs="Times New Roman"/>
                <w:color w:val="000000"/>
                <w:sz w:val="22"/>
                <w:lang w:val="cs-CZ"/>
              </w:rPr>
              <w:t>166 253</w:t>
            </w:r>
          </w:p>
        </w:tc>
        <w:tc>
          <w:tcPr>
            <w:tcW w:w="1300" w:type="dxa"/>
            <w:tcBorders>
              <w:top w:val="nil"/>
              <w:left w:val="nil"/>
              <w:bottom w:val="single" w:sz="4" w:space="0" w:color="auto"/>
              <w:right w:val="single" w:sz="4" w:space="0" w:color="auto"/>
            </w:tcBorders>
            <w:shd w:val="clear" w:color="auto" w:fill="auto"/>
            <w:noWrap/>
            <w:vAlign w:val="bottom"/>
            <w:hideMark/>
          </w:tcPr>
          <w:p w14:paraId="5B265266" w14:textId="77777777" w:rsidR="00A14B9B" w:rsidRPr="000D63DA" w:rsidRDefault="00A14B9B" w:rsidP="00DB1D1D">
            <w:pPr>
              <w:keepNext/>
              <w:widowControl w:val="0"/>
              <w:jc w:val="right"/>
              <w:rPr>
                <w:rFonts w:cs="Times New Roman"/>
                <w:color w:val="000000"/>
                <w:sz w:val="22"/>
                <w:lang w:val="cs-CZ"/>
              </w:rPr>
            </w:pPr>
            <w:r w:rsidRPr="000D63DA">
              <w:rPr>
                <w:rFonts w:cs="Times New Roman"/>
                <w:color w:val="000000"/>
                <w:sz w:val="22"/>
                <w:lang w:val="cs-CZ"/>
              </w:rPr>
              <w:t>132 333</w:t>
            </w:r>
          </w:p>
        </w:tc>
        <w:tc>
          <w:tcPr>
            <w:tcW w:w="1300" w:type="dxa"/>
            <w:tcBorders>
              <w:top w:val="nil"/>
              <w:left w:val="nil"/>
              <w:bottom w:val="single" w:sz="4" w:space="0" w:color="auto"/>
              <w:right w:val="single" w:sz="4" w:space="0" w:color="auto"/>
            </w:tcBorders>
            <w:shd w:val="clear" w:color="auto" w:fill="auto"/>
            <w:noWrap/>
            <w:vAlign w:val="bottom"/>
            <w:hideMark/>
          </w:tcPr>
          <w:p w14:paraId="6833FCC7" w14:textId="77777777" w:rsidR="00A14B9B" w:rsidRPr="000D63DA" w:rsidRDefault="00A14B9B" w:rsidP="00DB1D1D">
            <w:pPr>
              <w:keepNext/>
              <w:widowControl w:val="0"/>
              <w:jc w:val="right"/>
              <w:rPr>
                <w:rFonts w:cs="Times New Roman"/>
                <w:color w:val="000000"/>
                <w:sz w:val="22"/>
                <w:lang w:val="cs-CZ"/>
              </w:rPr>
            </w:pPr>
            <w:r w:rsidRPr="000D63DA">
              <w:rPr>
                <w:rFonts w:cs="Times New Roman"/>
                <w:color w:val="000000"/>
                <w:sz w:val="22"/>
                <w:lang w:val="cs-CZ"/>
              </w:rPr>
              <w:t>711 494</w:t>
            </w:r>
          </w:p>
        </w:tc>
      </w:tr>
    </w:tbl>
    <w:p w14:paraId="06A94E80" w14:textId="77777777" w:rsidR="00A14B9B" w:rsidRPr="002A0D4F" w:rsidRDefault="00A14B9B" w:rsidP="00540204">
      <w:pPr>
        <w:pStyle w:val="UZEIZdroj"/>
      </w:pPr>
      <w:r w:rsidRPr="002A0D4F">
        <w:t>Zdroj: Statistická ročenka půdního fondu ČÚZK 2004-2009, Souhrnné přehledy o půdním fondu z údajů katastru nemovitostí České republiky (2010-2018)</w:t>
      </w:r>
    </w:p>
    <w:p w14:paraId="28352F10" w14:textId="77777777" w:rsidR="00A14B9B" w:rsidRPr="002A0D4F" w:rsidRDefault="00A14B9B" w:rsidP="00540204">
      <w:pPr>
        <w:pStyle w:val="UZEIZdroj"/>
      </w:pPr>
      <w:r w:rsidRPr="002A0D4F">
        <w:t>Pozn.: Údaj byl zveřejněn ČÚZK v uvedeném roce a popisuje stav vždy k 31.12. předchozího roku</w:t>
      </w:r>
      <w:r w:rsidRPr="002A0D4F">
        <w:tab/>
      </w:r>
    </w:p>
    <w:bookmarkEnd w:id="323"/>
    <w:p w14:paraId="1B5B32E2" w14:textId="6DAA1932" w:rsidR="00A14B9B" w:rsidRPr="002A0D4F" w:rsidRDefault="00A14B9B" w:rsidP="00540204">
      <w:pPr>
        <w:pStyle w:val="UZEINormaln"/>
      </w:pPr>
      <w:r w:rsidRPr="00540204">
        <w:t xml:space="preserve">Aby bylo možné lépe prezentovat vývoj výměr zemědělských a nezemědělských parcel, byly spočteny meziroční rozdíly ve výměrách jednotlivých kultur, které byly následně kumulativně </w:t>
      </w:r>
      <w:r w:rsidRPr="00540204">
        <w:lastRenderedPageBreak/>
        <w:t>nasčítány (</w:t>
      </w:r>
      <w:r w:rsidR="00D92C4D">
        <w:fldChar w:fldCharType="begin"/>
      </w:r>
      <w:r w:rsidR="00D92C4D">
        <w:instrText xml:space="preserve"> REF _Ref81777893 \r \h </w:instrText>
      </w:r>
      <w:r w:rsidR="00D92C4D">
        <w:fldChar w:fldCharType="separate"/>
      </w:r>
      <w:r w:rsidR="00D92C4D">
        <w:t>Obrázek 15</w:t>
      </w:r>
      <w:r w:rsidR="00D92C4D">
        <w:fldChar w:fldCharType="end"/>
      </w:r>
      <w:r w:rsidRPr="00540204">
        <w:t xml:space="preserve">). Z výsledků je patrný setrvalý pokles výměry zemědělského půdního fondu. Tento trend však není novinkou od roku 2004, ČÚZK eviduje pokles ZPF již v časových řadách od roku 1966, kdy k významnější změně v trendu dochází mezi lety 1976-1981. </w:t>
      </w:r>
    </w:p>
    <w:p w14:paraId="4B6BED0B" w14:textId="3F1B25F7" w:rsidR="00A14B9B" w:rsidRPr="00540204" w:rsidRDefault="00A14B9B" w:rsidP="00BB7657">
      <w:pPr>
        <w:pStyle w:val="UZEIObr"/>
        <w:ind w:left="0" w:firstLine="0"/>
      </w:pPr>
      <w:bookmarkStart w:id="329" w:name="_Toc25919857"/>
      <w:bookmarkStart w:id="330" w:name="_Hlk532552123"/>
      <w:r w:rsidRPr="00540204">
        <w:t xml:space="preserve"> </w:t>
      </w:r>
      <w:bookmarkStart w:id="331" w:name="_Ref81777893"/>
      <w:bookmarkStart w:id="332" w:name="_Toc81815396"/>
      <w:bookmarkStart w:id="333" w:name="_Toc81817601"/>
      <w:r w:rsidRPr="00540204">
        <w:t>Kumulativní rozdíly ve vývoji zemědělského půdního fondu, lesních pozemků, vodních, zastavěných a ostatních ploch</w:t>
      </w:r>
      <w:bookmarkEnd w:id="329"/>
      <w:bookmarkEnd w:id="331"/>
      <w:bookmarkEnd w:id="332"/>
      <w:bookmarkEnd w:id="333"/>
    </w:p>
    <w:p w14:paraId="0671988A" w14:textId="77777777" w:rsidR="00A14B9B" w:rsidRPr="002A0D4F" w:rsidRDefault="00A14B9B" w:rsidP="00A14B9B">
      <w:pPr>
        <w:keepNext/>
        <w:widowControl w:val="0"/>
        <w:rPr>
          <w:lang w:val="cs-CZ"/>
        </w:rPr>
      </w:pPr>
      <w:r w:rsidRPr="002A0D4F">
        <w:rPr>
          <w:noProof/>
          <w:lang w:val="cs-CZ" w:eastAsia="cs-CZ"/>
        </w:rPr>
        <w:drawing>
          <wp:inline distT="0" distB="0" distL="0" distR="0" wp14:anchorId="7607FDF0" wp14:editId="2BA5D7B3">
            <wp:extent cx="5718808" cy="5170168"/>
            <wp:effectExtent l="0" t="0" r="0" b="0"/>
            <wp:docPr id="1781871253" name="Obrázek 1737972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737972131"/>
                    <pic:cNvPicPr/>
                  </pic:nvPicPr>
                  <pic:blipFill>
                    <a:blip r:embed="rId36">
                      <a:extLst>
                        <a:ext uri="{28A0092B-C50C-407E-A947-70E740481C1C}">
                          <a14:useLocalDpi xmlns:a14="http://schemas.microsoft.com/office/drawing/2010/main" val="0"/>
                        </a:ext>
                      </a:extLst>
                    </a:blip>
                    <a:stretch>
                      <a:fillRect/>
                    </a:stretch>
                  </pic:blipFill>
                  <pic:spPr>
                    <a:xfrm>
                      <a:off x="0" y="0"/>
                      <a:ext cx="5718808" cy="5170168"/>
                    </a:xfrm>
                    <a:prstGeom prst="rect">
                      <a:avLst/>
                    </a:prstGeom>
                  </pic:spPr>
                </pic:pic>
              </a:graphicData>
            </a:graphic>
          </wp:inline>
        </w:drawing>
      </w:r>
    </w:p>
    <w:p w14:paraId="4EF59BEE" w14:textId="77777777" w:rsidR="00A14B9B" w:rsidRPr="002A0D4F" w:rsidRDefault="00A14B9B" w:rsidP="00055B90">
      <w:pPr>
        <w:pStyle w:val="UZEIZdroj"/>
      </w:pPr>
      <w:r w:rsidRPr="002A0D4F">
        <w:t>Zdroj: Statistická ročenka půdního fondu ČÚZK 2004-2009, Souhrnné přehledy o půdním fondu z údajů katastru nemovitostí České republiky (2010-2018), vlastní výpočty ÚZEI</w:t>
      </w:r>
    </w:p>
    <w:bookmarkEnd w:id="330"/>
    <w:p w14:paraId="3F6BE356" w14:textId="77777777" w:rsidR="00A14B9B" w:rsidRPr="002A0D4F" w:rsidRDefault="00A14B9B" w:rsidP="00055B90">
      <w:pPr>
        <w:pStyle w:val="UZEINormaln"/>
      </w:pPr>
      <w:r w:rsidRPr="002A0D4F">
        <w:t>Záměrem při zpracování grafu bylo přehledněji zobrazit, do jakých pozemků se průběžně zemědělský půdní fond transformuje. Výsledky ukazují, že od roku 2004 došlo k úbytku přibližně 64 tis. hektarů zemědělského půdního fondu, který byl přibližně ze 43 % převeden na lesní pozemky, z necelých 10 % na vodní plochy, ze 45 % na tzv. ostatní plochy a pouze 2,7 % ZPF bylo převedeno na zastavěné plochy. Je třeba upozornit, že tento přehled vychází z celkových ročních sum pro dané druhy pozemků, nebyly zkoumány jednotlivé převody mezi druhy pozemků a nebere tedy v potaz, zda výměra zastavěné plochy byla skutečně navýšena na úkor ZPF, nebo zda šlo např. o převod z lesních pozemků a podobně. Nelze tedy tímto způsobem převody mezi pozemky interpretovat s naprostou přesností, cílem bylo spíše zobrazit hlavní směry v převodech.</w:t>
      </w:r>
    </w:p>
    <w:p w14:paraId="12CCD1F0" w14:textId="225EEB37" w:rsidR="00A14B9B" w:rsidRPr="00632CC5" w:rsidRDefault="00A14B9B" w:rsidP="00632CC5">
      <w:pPr>
        <w:pStyle w:val="UZEINormaln"/>
        <w:rPr>
          <w:b/>
          <w:color w:val="FF0000"/>
        </w:rPr>
      </w:pPr>
      <w:r w:rsidRPr="002A0D4F">
        <w:t xml:space="preserve">Nejvýznamnější nárůsty nezemědělských ploch na úkor ZPF jsou u lesních pozemků a tzv. ostatních ploch. Pro bližší specifikaci způsobu využití daných ploch lze využít opět statistiky </w:t>
      </w:r>
      <w:r w:rsidRPr="002A0D4F">
        <w:lastRenderedPageBreak/>
        <w:t xml:space="preserve">ČÚZK, kde se uvádí, že u lesních pozemků tvoří většinu ploch </w:t>
      </w:r>
      <w:r w:rsidRPr="002A0D4F">
        <w:rPr>
          <w:i/>
        </w:rPr>
        <w:t>les jiný než hospodářský</w:t>
      </w:r>
      <w:r w:rsidRPr="002A0D4F">
        <w:t xml:space="preserve"> případně lesní pozemek </w:t>
      </w:r>
      <w:r w:rsidRPr="002A0D4F">
        <w:rPr>
          <w:i/>
        </w:rPr>
        <w:t>bez rozlišení</w:t>
      </w:r>
      <w:r w:rsidRPr="002A0D4F">
        <w:t xml:space="preserve">. U ostatních ploch je způsob využití pozemku velmi pestrý, celkový přehled platný k roku 2018 uvádí </w:t>
      </w:r>
      <w:r w:rsidR="00573AB3">
        <w:fldChar w:fldCharType="begin"/>
      </w:r>
      <w:r w:rsidR="00573AB3">
        <w:instrText xml:space="preserve"> REF _Ref81777912 \r \h </w:instrText>
      </w:r>
      <w:r w:rsidR="00573AB3">
        <w:fldChar w:fldCharType="separate"/>
      </w:r>
      <w:r w:rsidR="00573AB3">
        <w:t>Tabulka 4</w:t>
      </w:r>
      <w:r w:rsidR="00573AB3">
        <w:fldChar w:fldCharType="end"/>
      </w:r>
      <w:r w:rsidRPr="002A0D4F">
        <w:t xml:space="preserve">. Z ní vyplývá, že nejvíce zastoupeným využitím jsou </w:t>
      </w:r>
      <w:r w:rsidRPr="002A0D4F">
        <w:rPr>
          <w:i/>
        </w:rPr>
        <w:t>silnice</w:t>
      </w:r>
      <w:r w:rsidRPr="002A0D4F">
        <w:t xml:space="preserve"> (10 %), </w:t>
      </w:r>
      <w:r w:rsidRPr="002A0D4F">
        <w:rPr>
          <w:i/>
        </w:rPr>
        <w:t>ostatní</w:t>
      </w:r>
      <w:r w:rsidRPr="002A0D4F">
        <w:t xml:space="preserve"> </w:t>
      </w:r>
      <w:r w:rsidRPr="002A0D4F">
        <w:rPr>
          <w:i/>
        </w:rPr>
        <w:t>komunikace</w:t>
      </w:r>
      <w:r w:rsidRPr="002A0D4F">
        <w:t xml:space="preserve"> (23 %), </w:t>
      </w:r>
      <w:r w:rsidRPr="002A0D4F">
        <w:rPr>
          <w:i/>
        </w:rPr>
        <w:t>manipulační</w:t>
      </w:r>
      <w:r w:rsidRPr="002A0D4F">
        <w:t xml:space="preserve"> </w:t>
      </w:r>
      <w:r w:rsidRPr="002A0D4F">
        <w:rPr>
          <w:i/>
        </w:rPr>
        <w:t>plochy</w:t>
      </w:r>
      <w:r w:rsidRPr="002A0D4F">
        <w:t xml:space="preserve"> (10 %), </w:t>
      </w:r>
      <w:r w:rsidRPr="002A0D4F">
        <w:rPr>
          <w:i/>
        </w:rPr>
        <w:t>neplodná</w:t>
      </w:r>
      <w:r w:rsidRPr="002A0D4F">
        <w:t xml:space="preserve"> </w:t>
      </w:r>
      <w:r w:rsidRPr="002A0D4F">
        <w:rPr>
          <w:i/>
        </w:rPr>
        <w:t>půda</w:t>
      </w:r>
      <w:r w:rsidRPr="002A0D4F">
        <w:t xml:space="preserve"> (15 %) a </w:t>
      </w:r>
      <w:r w:rsidRPr="002A0D4F">
        <w:rPr>
          <w:i/>
        </w:rPr>
        <w:t>jiná</w:t>
      </w:r>
      <w:r w:rsidRPr="002A0D4F">
        <w:t xml:space="preserve"> </w:t>
      </w:r>
      <w:r w:rsidRPr="002A0D4F">
        <w:rPr>
          <w:i/>
        </w:rPr>
        <w:t>plocha</w:t>
      </w:r>
      <w:r w:rsidRPr="002A0D4F">
        <w:t xml:space="preserve"> (23 %).</w:t>
      </w:r>
      <w:bookmarkStart w:id="334" w:name="_Ref530486188"/>
    </w:p>
    <w:p w14:paraId="569E8F7F" w14:textId="3B61162C" w:rsidR="00A14B9B" w:rsidRPr="00632CC5" w:rsidRDefault="00A14B9B" w:rsidP="00632CC5">
      <w:pPr>
        <w:pStyle w:val="UZEITaB"/>
      </w:pPr>
      <w:bookmarkStart w:id="335" w:name="_Toc25919998"/>
      <w:bookmarkStart w:id="336" w:name="_Hlk532552146"/>
      <w:bookmarkEnd w:id="334"/>
      <w:r w:rsidRPr="00632CC5">
        <w:t xml:space="preserve"> </w:t>
      </w:r>
      <w:bookmarkStart w:id="337" w:name="_Toc81757325"/>
      <w:bookmarkStart w:id="338" w:name="_Ref81777912"/>
      <w:bookmarkStart w:id="339" w:name="_Toc81815321"/>
      <w:bookmarkStart w:id="340" w:name="_Toc81816999"/>
      <w:bookmarkStart w:id="341" w:name="_Toc81817512"/>
      <w:r w:rsidRPr="00632CC5">
        <w:t>Způsob využití pozemků klasifikovaných jako druh "ostatní plocha" k 31.12.2017</w:t>
      </w:r>
      <w:bookmarkEnd w:id="335"/>
      <w:bookmarkEnd w:id="337"/>
      <w:bookmarkEnd w:id="338"/>
      <w:bookmarkEnd w:id="339"/>
      <w:bookmarkEnd w:id="340"/>
      <w:bookmarkEnd w:id="341"/>
    </w:p>
    <w:tbl>
      <w:tblPr>
        <w:tblW w:w="6340" w:type="dxa"/>
        <w:tblCellMar>
          <w:left w:w="70" w:type="dxa"/>
          <w:right w:w="70" w:type="dxa"/>
        </w:tblCellMar>
        <w:tblLook w:val="04A0" w:firstRow="1" w:lastRow="0" w:firstColumn="1" w:lastColumn="0" w:noHBand="0" w:noVBand="1"/>
      </w:tblPr>
      <w:tblGrid>
        <w:gridCol w:w="3460"/>
        <w:gridCol w:w="1440"/>
        <w:gridCol w:w="1440"/>
      </w:tblGrid>
      <w:tr w:rsidR="00A14B9B" w:rsidRPr="005D59D7" w14:paraId="0E97D358" w14:textId="77777777" w:rsidTr="00DB1D1D">
        <w:trPr>
          <w:trHeight w:val="470"/>
        </w:trPr>
        <w:tc>
          <w:tcPr>
            <w:tcW w:w="346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1BF3D487" w14:textId="77777777" w:rsidR="00A14B9B" w:rsidRPr="005D59D7" w:rsidRDefault="00A14B9B" w:rsidP="00DB1D1D">
            <w:pPr>
              <w:keepNext/>
              <w:widowControl w:val="0"/>
              <w:jc w:val="center"/>
              <w:rPr>
                <w:rFonts w:cs="Times New Roman"/>
                <w:b/>
                <w:color w:val="000000"/>
                <w:sz w:val="22"/>
                <w:lang w:val="cs-CZ"/>
              </w:rPr>
            </w:pPr>
            <w:r w:rsidRPr="005D59D7">
              <w:rPr>
                <w:rFonts w:cs="Times New Roman"/>
                <w:b/>
                <w:color w:val="000000"/>
                <w:sz w:val="22"/>
                <w:lang w:val="cs-CZ"/>
              </w:rPr>
              <w:t>Způsob využití pozemku</w:t>
            </w:r>
          </w:p>
        </w:tc>
        <w:tc>
          <w:tcPr>
            <w:tcW w:w="1440"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742D0D44" w14:textId="77777777" w:rsidR="00A14B9B" w:rsidRPr="005D59D7" w:rsidRDefault="00A14B9B" w:rsidP="00DB1D1D">
            <w:pPr>
              <w:keepNext/>
              <w:widowControl w:val="0"/>
              <w:jc w:val="center"/>
              <w:rPr>
                <w:rFonts w:cs="Times New Roman"/>
                <w:b/>
                <w:color w:val="000000"/>
                <w:sz w:val="22"/>
                <w:lang w:val="cs-CZ"/>
              </w:rPr>
            </w:pPr>
            <w:r w:rsidRPr="005D59D7">
              <w:rPr>
                <w:rFonts w:cs="Times New Roman"/>
                <w:b/>
                <w:color w:val="000000"/>
                <w:sz w:val="22"/>
                <w:lang w:val="cs-CZ"/>
              </w:rPr>
              <w:t>Výměra (ha)</w:t>
            </w:r>
          </w:p>
        </w:tc>
        <w:tc>
          <w:tcPr>
            <w:tcW w:w="1440"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7F62DBD1" w14:textId="77777777" w:rsidR="00A14B9B" w:rsidRPr="005D59D7" w:rsidRDefault="00A14B9B" w:rsidP="00DB1D1D">
            <w:pPr>
              <w:keepNext/>
              <w:widowControl w:val="0"/>
              <w:jc w:val="center"/>
              <w:rPr>
                <w:rFonts w:cs="Times New Roman"/>
                <w:b/>
                <w:color w:val="000000"/>
                <w:sz w:val="22"/>
                <w:lang w:val="cs-CZ"/>
              </w:rPr>
            </w:pPr>
            <w:r w:rsidRPr="005D59D7">
              <w:rPr>
                <w:rFonts w:cs="Times New Roman"/>
                <w:b/>
                <w:color w:val="000000"/>
                <w:sz w:val="22"/>
                <w:lang w:val="cs-CZ"/>
              </w:rPr>
              <w:t>%</w:t>
            </w:r>
          </w:p>
        </w:tc>
      </w:tr>
      <w:tr w:rsidR="00A14B9B" w:rsidRPr="005D59D7" w14:paraId="323EA5B0" w14:textId="77777777" w:rsidTr="00DB1D1D">
        <w:trPr>
          <w:trHeight w:val="300"/>
        </w:trPr>
        <w:tc>
          <w:tcPr>
            <w:tcW w:w="3460" w:type="dxa"/>
            <w:tcBorders>
              <w:top w:val="nil"/>
              <w:left w:val="single" w:sz="4" w:space="0" w:color="auto"/>
              <w:bottom w:val="single" w:sz="4" w:space="0" w:color="auto"/>
              <w:right w:val="single" w:sz="4" w:space="0" w:color="auto"/>
            </w:tcBorders>
            <w:shd w:val="clear" w:color="auto" w:fill="auto"/>
            <w:noWrap/>
            <w:vAlign w:val="bottom"/>
            <w:hideMark/>
          </w:tcPr>
          <w:p w14:paraId="71939887" w14:textId="77777777" w:rsidR="00A14B9B" w:rsidRPr="005D59D7" w:rsidRDefault="00A14B9B" w:rsidP="00DB1D1D">
            <w:pPr>
              <w:keepNext/>
              <w:widowControl w:val="0"/>
              <w:rPr>
                <w:rFonts w:cs="Times New Roman"/>
                <w:color w:val="000000"/>
                <w:sz w:val="22"/>
                <w:lang w:val="cs-CZ"/>
              </w:rPr>
            </w:pPr>
            <w:r w:rsidRPr="005D59D7">
              <w:rPr>
                <w:rFonts w:cs="Times New Roman"/>
                <w:color w:val="000000"/>
                <w:sz w:val="22"/>
                <w:lang w:val="cs-CZ"/>
              </w:rPr>
              <w:t>plantáž dřevin</w:t>
            </w:r>
          </w:p>
        </w:tc>
        <w:tc>
          <w:tcPr>
            <w:tcW w:w="1440" w:type="dxa"/>
            <w:tcBorders>
              <w:top w:val="nil"/>
              <w:left w:val="nil"/>
              <w:bottom w:val="single" w:sz="4" w:space="0" w:color="auto"/>
              <w:right w:val="single" w:sz="4" w:space="0" w:color="auto"/>
            </w:tcBorders>
            <w:shd w:val="clear" w:color="auto" w:fill="auto"/>
            <w:noWrap/>
            <w:vAlign w:val="bottom"/>
            <w:hideMark/>
          </w:tcPr>
          <w:p w14:paraId="464F70C6" w14:textId="77777777" w:rsidR="00A14B9B" w:rsidRPr="005D59D7" w:rsidRDefault="00A14B9B" w:rsidP="00DB1D1D">
            <w:pPr>
              <w:keepNext/>
              <w:widowControl w:val="0"/>
              <w:jc w:val="right"/>
              <w:rPr>
                <w:rFonts w:cs="Times New Roman"/>
                <w:color w:val="000000"/>
                <w:sz w:val="22"/>
                <w:lang w:val="cs-CZ"/>
              </w:rPr>
            </w:pPr>
            <w:r w:rsidRPr="005D59D7">
              <w:rPr>
                <w:rFonts w:cs="Times New Roman"/>
                <w:color w:val="000000"/>
                <w:sz w:val="22"/>
                <w:lang w:val="cs-CZ"/>
              </w:rPr>
              <w:t>43</w:t>
            </w:r>
          </w:p>
        </w:tc>
        <w:tc>
          <w:tcPr>
            <w:tcW w:w="1440" w:type="dxa"/>
            <w:tcBorders>
              <w:top w:val="nil"/>
              <w:left w:val="nil"/>
              <w:bottom w:val="single" w:sz="4" w:space="0" w:color="auto"/>
              <w:right w:val="single" w:sz="4" w:space="0" w:color="auto"/>
            </w:tcBorders>
            <w:shd w:val="clear" w:color="auto" w:fill="auto"/>
            <w:noWrap/>
            <w:vAlign w:val="bottom"/>
            <w:hideMark/>
          </w:tcPr>
          <w:p w14:paraId="70A62DF9" w14:textId="77777777" w:rsidR="00A14B9B" w:rsidRPr="005D59D7" w:rsidRDefault="00A14B9B" w:rsidP="00DB1D1D">
            <w:pPr>
              <w:keepNext/>
              <w:widowControl w:val="0"/>
              <w:jc w:val="right"/>
              <w:rPr>
                <w:rFonts w:cs="Times New Roman"/>
                <w:color w:val="000000"/>
                <w:sz w:val="22"/>
                <w:lang w:val="cs-CZ"/>
              </w:rPr>
            </w:pPr>
            <w:r w:rsidRPr="005D59D7">
              <w:rPr>
                <w:rFonts w:cs="Times New Roman"/>
                <w:color w:val="000000"/>
                <w:sz w:val="22"/>
                <w:lang w:val="cs-CZ"/>
              </w:rPr>
              <w:t>0,006</w:t>
            </w:r>
          </w:p>
        </w:tc>
      </w:tr>
      <w:tr w:rsidR="00A14B9B" w:rsidRPr="005D59D7" w14:paraId="64ABDA84" w14:textId="77777777" w:rsidTr="00DB1D1D">
        <w:trPr>
          <w:trHeight w:val="300"/>
        </w:trPr>
        <w:tc>
          <w:tcPr>
            <w:tcW w:w="3460" w:type="dxa"/>
            <w:tcBorders>
              <w:top w:val="nil"/>
              <w:left w:val="single" w:sz="4" w:space="0" w:color="auto"/>
              <w:bottom w:val="single" w:sz="4" w:space="0" w:color="auto"/>
              <w:right w:val="single" w:sz="4" w:space="0" w:color="auto"/>
            </w:tcBorders>
            <w:shd w:val="clear" w:color="auto" w:fill="auto"/>
            <w:noWrap/>
            <w:vAlign w:val="bottom"/>
            <w:hideMark/>
          </w:tcPr>
          <w:p w14:paraId="28673112" w14:textId="77777777" w:rsidR="00A14B9B" w:rsidRPr="005D59D7" w:rsidRDefault="00A14B9B" w:rsidP="00DB1D1D">
            <w:pPr>
              <w:keepNext/>
              <w:widowControl w:val="0"/>
              <w:rPr>
                <w:rFonts w:cs="Times New Roman"/>
                <w:color w:val="000000"/>
                <w:sz w:val="22"/>
                <w:lang w:val="cs-CZ"/>
              </w:rPr>
            </w:pPr>
            <w:r w:rsidRPr="005D59D7">
              <w:rPr>
                <w:rFonts w:cs="Times New Roman"/>
                <w:color w:val="000000"/>
                <w:sz w:val="22"/>
                <w:lang w:val="cs-CZ"/>
              </w:rPr>
              <w:t>zamokřená plocha</w:t>
            </w:r>
          </w:p>
        </w:tc>
        <w:tc>
          <w:tcPr>
            <w:tcW w:w="1440" w:type="dxa"/>
            <w:tcBorders>
              <w:top w:val="nil"/>
              <w:left w:val="nil"/>
              <w:bottom w:val="single" w:sz="4" w:space="0" w:color="auto"/>
              <w:right w:val="single" w:sz="4" w:space="0" w:color="auto"/>
            </w:tcBorders>
            <w:shd w:val="clear" w:color="auto" w:fill="auto"/>
            <w:noWrap/>
            <w:vAlign w:val="bottom"/>
            <w:hideMark/>
          </w:tcPr>
          <w:p w14:paraId="19D25B1B" w14:textId="77777777" w:rsidR="00A14B9B" w:rsidRPr="005D59D7" w:rsidRDefault="00A14B9B" w:rsidP="00DB1D1D">
            <w:pPr>
              <w:keepNext/>
              <w:widowControl w:val="0"/>
              <w:jc w:val="right"/>
              <w:rPr>
                <w:rFonts w:cs="Times New Roman"/>
                <w:color w:val="000000"/>
                <w:sz w:val="22"/>
                <w:lang w:val="cs-CZ"/>
              </w:rPr>
            </w:pPr>
            <w:r w:rsidRPr="005D59D7">
              <w:rPr>
                <w:rFonts w:cs="Times New Roman"/>
                <w:color w:val="000000"/>
                <w:sz w:val="22"/>
                <w:lang w:val="cs-CZ"/>
              </w:rPr>
              <w:t>30</w:t>
            </w:r>
          </w:p>
        </w:tc>
        <w:tc>
          <w:tcPr>
            <w:tcW w:w="1440" w:type="dxa"/>
            <w:tcBorders>
              <w:top w:val="nil"/>
              <w:left w:val="nil"/>
              <w:bottom w:val="single" w:sz="4" w:space="0" w:color="auto"/>
              <w:right w:val="single" w:sz="4" w:space="0" w:color="auto"/>
            </w:tcBorders>
            <w:shd w:val="clear" w:color="auto" w:fill="auto"/>
            <w:noWrap/>
            <w:vAlign w:val="bottom"/>
            <w:hideMark/>
          </w:tcPr>
          <w:p w14:paraId="35FDCCF0" w14:textId="77777777" w:rsidR="00A14B9B" w:rsidRPr="005D59D7" w:rsidRDefault="00A14B9B" w:rsidP="00DB1D1D">
            <w:pPr>
              <w:keepNext/>
              <w:widowControl w:val="0"/>
              <w:jc w:val="right"/>
              <w:rPr>
                <w:rFonts w:cs="Times New Roman"/>
                <w:color w:val="000000"/>
                <w:sz w:val="22"/>
                <w:lang w:val="cs-CZ"/>
              </w:rPr>
            </w:pPr>
            <w:r w:rsidRPr="005D59D7">
              <w:rPr>
                <w:rFonts w:cs="Times New Roman"/>
                <w:color w:val="000000"/>
                <w:sz w:val="22"/>
                <w:lang w:val="cs-CZ"/>
              </w:rPr>
              <w:t>0,004</w:t>
            </w:r>
          </w:p>
        </w:tc>
      </w:tr>
      <w:tr w:rsidR="00A14B9B" w:rsidRPr="005D59D7" w14:paraId="643ED645" w14:textId="77777777" w:rsidTr="00DB1D1D">
        <w:trPr>
          <w:trHeight w:val="300"/>
        </w:trPr>
        <w:tc>
          <w:tcPr>
            <w:tcW w:w="3460" w:type="dxa"/>
            <w:tcBorders>
              <w:top w:val="nil"/>
              <w:left w:val="single" w:sz="4" w:space="0" w:color="auto"/>
              <w:bottom w:val="single" w:sz="4" w:space="0" w:color="auto"/>
              <w:right w:val="single" w:sz="4" w:space="0" w:color="auto"/>
            </w:tcBorders>
            <w:shd w:val="clear" w:color="auto" w:fill="auto"/>
            <w:noWrap/>
            <w:vAlign w:val="bottom"/>
            <w:hideMark/>
          </w:tcPr>
          <w:p w14:paraId="2FEAF729" w14:textId="77777777" w:rsidR="00A14B9B" w:rsidRPr="005D59D7" w:rsidRDefault="00A14B9B" w:rsidP="00DB1D1D">
            <w:pPr>
              <w:keepNext/>
              <w:widowControl w:val="0"/>
              <w:rPr>
                <w:rFonts w:cs="Times New Roman"/>
                <w:color w:val="000000"/>
                <w:sz w:val="22"/>
                <w:lang w:val="cs-CZ"/>
              </w:rPr>
            </w:pPr>
            <w:r w:rsidRPr="005D59D7">
              <w:rPr>
                <w:rFonts w:cs="Times New Roman"/>
                <w:color w:val="000000"/>
                <w:sz w:val="22"/>
                <w:lang w:val="cs-CZ"/>
              </w:rPr>
              <w:t>dráha</w:t>
            </w:r>
          </w:p>
        </w:tc>
        <w:tc>
          <w:tcPr>
            <w:tcW w:w="1440" w:type="dxa"/>
            <w:tcBorders>
              <w:top w:val="nil"/>
              <w:left w:val="nil"/>
              <w:bottom w:val="single" w:sz="4" w:space="0" w:color="auto"/>
              <w:right w:val="single" w:sz="4" w:space="0" w:color="auto"/>
            </w:tcBorders>
            <w:shd w:val="clear" w:color="auto" w:fill="auto"/>
            <w:noWrap/>
            <w:vAlign w:val="bottom"/>
            <w:hideMark/>
          </w:tcPr>
          <w:p w14:paraId="6418A760" w14:textId="77777777" w:rsidR="00A14B9B" w:rsidRPr="005D59D7" w:rsidRDefault="00A14B9B" w:rsidP="00DB1D1D">
            <w:pPr>
              <w:keepNext/>
              <w:widowControl w:val="0"/>
              <w:jc w:val="right"/>
              <w:rPr>
                <w:rFonts w:cs="Times New Roman"/>
                <w:color w:val="000000"/>
                <w:sz w:val="22"/>
                <w:lang w:val="cs-CZ"/>
              </w:rPr>
            </w:pPr>
            <w:r w:rsidRPr="005D59D7">
              <w:rPr>
                <w:rFonts w:cs="Times New Roman"/>
                <w:color w:val="000000"/>
                <w:sz w:val="22"/>
                <w:lang w:val="cs-CZ"/>
              </w:rPr>
              <w:t>27 220</w:t>
            </w:r>
          </w:p>
        </w:tc>
        <w:tc>
          <w:tcPr>
            <w:tcW w:w="1440" w:type="dxa"/>
            <w:tcBorders>
              <w:top w:val="nil"/>
              <w:left w:val="nil"/>
              <w:bottom w:val="single" w:sz="4" w:space="0" w:color="auto"/>
              <w:right w:val="single" w:sz="4" w:space="0" w:color="auto"/>
            </w:tcBorders>
            <w:shd w:val="clear" w:color="auto" w:fill="auto"/>
            <w:noWrap/>
            <w:vAlign w:val="bottom"/>
            <w:hideMark/>
          </w:tcPr>
          <w:p w14:paraId="20D9F2A8" w14:textId="77777777" w:rsidR="00A14B9B" w:rsidRPr="005D59D7" w:rsidRDefault="00A14B9B" w:rsidP="00DB1D1D">
            <w:pPr>
              <w:keepNext/>
              <w:widowControl w:val="0"/>
              <w:jc w:val="right"/>
              <w:rPr>
                <w:rFonts w:cs="Times New Roman"/>
                <w:color w:val="000000"/>
                <w:sz w:val="22"/>
                <w:lang w:val="cs-CZ"/>
              </w:rPr>
            </w:pPr>
            <w:r w:rsidRPr="005D59D7">
              <w:rPr>
                <w:rFonts w:cs="Times New Roman"/>
                <w:color w:val="000000"/>
                <w:sz w:val="22"/>
                <w:lang w:val="cs-CZ"/>
              </w:rPr>
              <w:t>3,826</w:t>
            </w:r>
          </w:p>
        </w:tc>
      </w:tr>
      <w:tr w:rsidR="00A14B9B" w:rsidRPr="005D59D7" w14:paraId="0CF605C4" w14:textId="77777777" w:rsidTr="00DB1D1D">
        <w:trPr>
          <w:trHeight w:val="300"/>
        </w:trPr>
        <w:tc>
          <w:tcPr>
            <w:tcW w:w="3460" w:type="dxa"/>
            <w:tcBorders>
              <w:top w:val="nil"/>
              <w:left w:val="single" w:sz="4" w:space="0" w:color="auto"/>
              <w:bottom w:val="single" w:sz="4" w:space="0" w:color="auto"/>
              <w:right w:val="single" w:sz="4" w:space="0" w:color="auto"/>
            </w:tcBorders>
            <w:shd w:val="clear" w:color="auto" w:fill="auto"/>
            <w:noWrap/>
            <w:vAlign w:val="bottom"/>
            <w:hideMark/>
          </w:tcPr>
          <w:p w14:paraId="59AEFA98" w14:textId="77777777" w:rsidR="00A14B9B" w:rsidRPr="005D59D7" w:rsidRDefault="00A14B9B" w:rsidP="00DB1D1D">
            <w:pPr>
              <w:keepNext/>
              <w:widowControl w:val="0"/>
              <w:rPr>
                <w:rFonts w:cs="Times New Roman"/>
                <w:color w:val="000000"/>
                <w:sz w:val="22"/>
                <w:lang w:val="cs-CZ"/>
              </w:rPr>
            </w:pPr>
            <w:r w:rsidRPr="005D59D7">
              <w:rPr>
                <w:rFonts w:cs="Times New Roman"/>
                <w:color w:val="000000"/>
                <w:sz w:val="22"/>
                <w:lang w:val="cs-CZ"/>
              </w:rPr>
              <w:t>dálnice</w:t>
            </w:r>
          </w:p>
        </w:tc>
        <w:tc>
          <w:tcPr>
            <w:tcW w:w="1440" w:type="dxa"/>
            <w:tcBorders>
              <w:top w:val="nil"/>
              <w:left w:val="nil"/>
              <w:bottom w:val="single" w:sz="4" w:space="0" w:color="auto"/>
              <w:right w:val="single" w:sz="4" w:space="0" w:color="auto"/>
            </w:tcBorders>
            <w:shd w:val="clear" w:color="auto" w:fill="auto"/>
            <w:noWrap/>
            <w:vAlign w:val="bottom"/>
            <w:hideMark/>
          </w:tcPr>
          <w:p w14:paraId="28D077C8" w14:textId="77777777" w:rsidR="00A14B9B" w:rsidRPr="005D59D7" w:rsidRDefault="00A14B9B" w:rsidP="00DB1D1D">
            <w:pPr>
              <w:keepNext/>
              <w:widowControl w:val="0"/>
              <w:jc w:val="right"/>
              <w:rPr>
                <w:rFonts w:cs="Times New Roman"/>
                <w:color w:val="000000"/>
                <w:sz w:val="22"/>
                <w:lang w:val="cs-CZ"/>
              </w:rPr>
            </w:pPr>
            <w:r w:rsidRPr="005D59D7">
              <w:rPr>
                <w:rFonts w:cs="Times New Roman"/>
                <w:color w:val="000000"/>
                <w:sz w:val="22"/>
                <w:lang w:val="cs-CZ"/>
              </w:rPr>
              <w:t>4 533</w:t>
            </w:r>
          </w:p>
        </w:tc>
        <w:tc>
          <w:tcPr>
            <w:tcW w:w="1440" w:type="dxa"/>
            <w:tcBorders>
              <w:top w:val="nil"/>
              <w:left w:val="nil"/>
              <w:bottom w:val="single" w:sz="4" w:space="0" w:color="auto"/>
              <w:right w:val="single" w:sz="4" w:space="0" w:color="auto"/>
            </w:tcBorders>
            <w:shd w:val="clear" w:color="auto" w:fill="auto"/>
            <w:noWrap/>
            <w:vAlign w:val="bottom"/>
            <w:hideMark/>
          </w:tcPr>
          <w:p w14:paraId="608FEFF9" w14:textId="77777777" w:rsidR="00A14B9B" w:rsidRPr="005D59D7" w:rsidRDefault="00A14B9B" w:rsidP="00DB1D1D">
            <w:pPr>
              <w:keepNext/>
              <w:widowControl w:val="0"/>
              <w:jc w:val="right"/>
              <w:rPr>
                <w:rFonts w:cs="Times New Roman"/>
                <w:color w:val="000000"/>
                <w:sz w:val="22"/>
                <w:lang w:val="cs-CZ"/>
              </w:rPr>
            </w:pPr>
            <w:r w:rsidRPr="005D59D7">
              <w:rPr>
                <w:rFonts w:cs="Times New Roman"/>
                <w:color w:val="000000"/>
                <w:sz w:val="22"/>
                <w:lang w:val="cs-CZ"/>
              </w:rPr>
              <w:t>0,637</w:t>
            </w:r>
          </w:p>
        </w:tc>
      </w:tr>
      <w:tr w:rsidR="00A14B9B" w:rsidRPr="005D59D7" w14:paraId="0A90BE72" w14:textId="77777777" w:rsidTr="00DB1D1D">
        <w:trPr>
          <w:trHeight w:val="300"/>
        </w:trPr>
        <w:tc>
          <w:tcPr>
            <w:tcW w:w="3460" w:type="dxa"/>
            <w:tcBorders>
              <w:top w:val="nil"/>
              <w:left w:val="single" w:sz="4" w:space="0" w:color="auto"/>
              <w:bottom w:val="single" w:sz="4" w:space="0" w:color="auto"/>
              <w:right w:val="single" w:sz="4" w:space="0" w:color="auto"/>
            </w:tcBorders>
            <w:shd w:val="clear" w:color="000000" w:fill="D9D9D9"/>
            <w:noWrap/>
            <w:vAlign w:val="bottom"/>
            <w:hideMark/>
          </w:tcPr>
          <w:p w14:paraId="5547EFAB" w14:textId="77777777" w:rsidR="00A14B9B" w:rsidRPr="005D59D7" w:rsidRDefault="00A14B9B" w:rsidP="00DB1D1D">
            <w:pPr>
              <w:keepNext/>
              <w:widowControl w:val="0"/>
              <w:rPr>
                <w:rFonts w:cs="Times New Roman"/>
                <w:color w:val="000000"/>
                <w:sz w:val="22"/>
                <w:lang w:val="cs-CZ"/>
              </w:rPr>
            </w:pPr>
            <w:r w:rsidRPr="005D59D7">
              <w:rPr>
                <w:rFonts w:cs="Times New Roman"/>
                <w:color w:val="000000"/>
                <w:sz w:val="22"/>
                <w:lang w:val="cs-CZ"/>
              </w:rPr>
              <w:t>silnice</w:t>
            </w:r>
          </w:p>
        </w:tc>
        <w:tc>
          <w:tcPr>
            <w:tcW w:w="1440" w:type="dxa"/>
            <w:tcBorders>
              <w:top w:val="nil"/>
              <w:left w:val="nil"/>
              <w:bottom w:val="single" w:sz="4" w:space="0" w:color="auto"/>
              <w:right w:val="single" w:sz="4" w:space="0" w:color="auto"/>
            </w:tcBorders>
            <w:shd w:val="clear" w:color="000000" w:fill="D9D9D9"/>
            <w:noWrap/>
            <w:vAlign w:val="bottom"/>
            <w:hideMark/>
          </w:tcPr>
          <w:p w14:paraId="43C24731" w14:textId="77777777" w:rsidR="00A14B9B" w:rsidRPr="005D59D7" w:rsidRDefault="00A14B9B" w:rsidP="00DB1D1D">
            <w:pPr>
              <w:keepNext/>
              <w:widowControl w:val="0"/>
              <w:jc w:val="right"/>
              <w:rPr>
                <w:rFonts w:cs="Times New Roman"/>
                <w:color w:val="000000"/>
                <w:sz w:val="22"/>
                <w:lang w:val="cs-CZ"/>
              </w:rPr>
            </w:pPr>
            <w:r w:rsidRPr="005D59D7">
              <w:rPr>
                <w:rFonts w:cs="Times New Roman"/>
                <w:color w:val="000000"/>
                <w:sz w:val="22"/>
                <w:lang w:val="cs-CZ"/>
              </w:rPr>
              <w:t>72 036</w:t>
            </w:r>
          </w:p>
        </w:tc>
        <w:tc>
          <w:tcPr>
            <w:tcW w:w="1440" w:type="dxa"/>
            <w:tcBorders>
              <w:top w:val="nil"/>
              <w:left w:val="nil"/>
              <w:bottom w:val="single" w:sz="4" w:space="0" w:color="auto"/>
              <w:right w:val="single" w:sz="4" w:space="0" w:color="auto"/>
            </w:tcBorders>
            <w:shd w:val="clear" w:color="000000" w:fill="D9D9D9"/>
            <w:noWrap/>
            <w:vAlign w:val="bottom"/>
            <w:hideMark/>
          </w:tcPr>
          <w:p w14:paraId="0F31F500" w14:textId="77777777" w:rsidR="00A14B9B" w:rsidRPr="005D59D7" w:rsidRDefault="00A14B9B" w:rsidP="00DB1D1D">
            <w:pPr>
              <w:keepNext/>
              <w:widowControl w:val="0"/>
              <w:jc w:val="right"/>
              <w:rPr>
                <w:rFonts w:cs="Times New Roman"/>
                <w:color w:val="000000"/>
                <w:sz w:val="22"/>
                <w:lang w:val="cs-CZ"/>
              </w:rPr>
            </w:pPr>
            <w:r w:rsidRPr="005D59D7">
              <w:rPr>
                <w:rFonts w:cs="Times New Roman"/>
                <w:color w:val="000000"/>
                <w:sz w:val="22"/>
                <w:lang w:val="cs-CZ"/>
              </w:rPr>
              <w:t>10,125</w:t>
            </w:r>
          </w:p>
        </w:tc>
      </w:tr>
      <w:tr w:rsidR="00A14B9B" w:rsidRPr="005D59D7" w14:paraId="26EA601E" w14:textId="77777777" w:rsidTr="00DB1D1D">
        <w:trPr>
          <w:trHeight w:val="300"/>
        </w:trPr>
        <w:tc>
          <w:tcPr>
            <w:tcW w:w="3460" w:type="dxa"/>
            <w:tcBorders>
              <w:top w:val="nil"/>
              <w:left w:val="single" w:sz="4" w:space="0" w:color="auto"/>
              <w:bottom w:val="single" w:sz="4" w:space="0" w:color="auto"/>
              <w:right w:val="single" w:sz="4" w:space="0" w:color="auto"/>
            </w:tcBorders>
            <w:shd w:val="clear" w:color="000000" w:fill="D9D9D9"/>
            <w:noWrap/>
            <w:vAlign w:val="bottom"/>
            <w:hideMark/>
          </w:tcPr>
          <w:p w14:paraId="6DE6CCCA" w14:textId="77777777" w:rsidR="00A14B9B" w:rsidRPr="005D59D7" w:rsidRDefault="00A14B9B" w:rsidP="00DB1D1D">
            <w:pPr>
              <w:keepNext/>
              <w:widowControl w:val="0"/>
              <w:rPr>
                <w:rFonts w:cs="Times New Roman"/>
                <w:color w:val="000000"/>
                <w:sz w:val="22"/>
                <w:lang w:val="cs-CZ"/>
              </w:rPr>
            </w:pPr>
            <w:r w:rsidRPr="005D59D7">
              <w:rPr>
                <w:rFonts w:cs="Times New Roman"/>
                <w:color w:val="000000"/>
                <w:sz w:val="22"/>
                <w:lang w:val="cs-CZ"/>
              </w:rPr>
              <w:t>ostatní komunikace</w:t>
            </w:r>
          </w:p>
        </w:tc>
        <w:tc>
          <w:tcPr>
            <w:tcW w:w="1440" w:type="dxa"/>
            <w:tcBorders>
              <w:top w:val="nil"/>
              <w:left w:val="nil"/>
              <w:bottom w:val="single" w:sz="4" w:space="0" w:color="auto"/>
              <w:right w:val="single" w:sz="4" w:space="0" w:color="auto"/>
            </w:tcBorders>
            <w:shd w:val="clear" w:color="000000" w:fill="D9D9D9"/>
            <w:noWrap/>
            <w:vAlign w:val="bottom"/>
            <w:hideMark/>
          </w:tcPr>
          <w:p w14:paraId="4A4B561F" w14:textId="77777777" w:rsidR="00A14B9B" w:rsidRPr="005D59D7" w:rsidRDefault="00A14B9B" w:rsidP="00DB1D1D">
            <w:pPr>
              <w:keepNext/>
              <w:widowControl w:val="0"/>
              <w:jc w:val="right"/>
              <w:rPr>
                <w:rFonts w:cs="Times New Roman"/>
                <w:color w:val="000000"/>
                <w:sz w:val="22"/>
                <w:lang w:val="cs-CZ"/>
              </w:rPr>
            </w:pPr>
            <w:r w:rsidRPr="005D59D7">
              <w:rPr>
                <w:rFonts w:cs="Times New Roman"/>
                <w:color w:val="000000"/>
                <w:sz w:val="22"/>
                <w:lang w:val="cs-CZ"/>
              </w:rPr>
              <w:t>166 054</w:t>
            </w:r>
          </w:p>
        </w:tc>
        <w:tc>
          <w:tcPr>
            <w:tcW w:w="1440" w:type="dxa"/>
            <w:tcBorders>
              <w:top w:val="nil"/>
              <w:left w:val="nil"/>
              <w:bottom w:val="single" w:sz="4" w:space="0" w:color="auto"/>
              <w:right w:val="single" w:sz="4" w:space="0" w:color="auto"/>
            </w:tcBorders>
            <w:shd w:val="clear" w:color="000000" w:fill="D9D9D9"/>
            <w:noWrap/>
            <w:vAlign w:val="bottom"/>
            <w:hideMark/>
          </w:tcPr>
          <w:p w14:paraId="4733BD1A" w14:textId="77777777" w:rsidR="00A14B9B" w:rsidRPr="005D59D7" w:rsidRDefault="00A14B9B" w:rsidP="00DB1D1D">
            <w:pPr>
              <w:keepNext/>
              <w:widowControl w:val="0"/>
              <w:jc w:val="right"/>
              <w:rPr>
                <w:rFonts w:cs="Times New Roman"/>
                <w:color w:val="000000"/>
                <w:sz w:val="22"/>
                <w:lang w:val="cs-CZ"/>
              </w:rPr>
            </w:pPr>
            <w:r w:rsidRPr="005D59D7">
              <w:rPr>
                <w:rFonts w:cs="Times New Roman"/>
                <w:color w:val="000000"/>
                <w:sz w:val="22"/>
                <w:lang w:val="cs-CZ"/>
              </w:rPr>
              <w:t>23,339</w:t>
            </w:r>
          </w:p>
        </w:tc>
      </w:tr>
      <w:tr w:rsidR="00A14B9B" w:rsidRPr="005D59D7" w14:paraId="68CD1E13" w14:textId="77777777" w:rsidTr="00DB1D1D">
        <w:trPr>
          <w:trHeight w:val="300"/>
        </w:trPr>
        <w:tc>
          <w:tcPr>
            <w:tcW w:w="3460" w:type="dxa"/>
            <w:tcBorders>
              <w:top w:val="nil"/>
              <w:left w:val="single" w:sz="4" w:space="0" w:color="auto"/>
              <w:bottom w:val="single" w:sz="4" w:space="0" w:color="auto"/>
              <w:right w:val="single" w:sz="4" w:space="0" w:color="auto"/>
            </w:tcBorders>
            <w:shd w:val="clear" w:color="auto" w:fill="auto"/>
            <w:noWrap/>
            <w:vAlign w:val="bottom"/>
            <w:hideMark/>
          </w:tcPr>
          <w:p w14:paraId="0876384B" w14:textId="77777777" w:rsidR="00A14B9B" w:rsidRPr="005D59D7" w:rsidRDefault="00A14B9B" w:rsidP="00DB1D1D">
            <w:pPr>
              <w:keepNext/>
              <w:widowControl w:val="0"/>
              <w:rPr>
                <w:rFonts w:cs="Times New Roman"/>
                <w:color w:val="000000"/>
                <w:sz w:val="22"/>
                <w:lang w:val="cs-CZ"/>
              </w:rPr>
            </w:pPr>
            <w:r w:rsidRPr="005D59D7">
              <w:rPr>
                <w:rFonts w:cs="Times New Roman"/>
                <w:color w:val="000000"/>
                <w:sz w:val="22"/>
                <w:lang w:val="cs-CZ"/>
              </w:rPr>
              <w:t>ostatní dopravní plocha</w:t>
            </w:r>
          </w:p>
        </w:tc>
        <w:tc>
          <w:tcPr>
            <w:tcW w:w="1440" w:type="dxa"/>
            <w:tcBorders>
              <w:top w:val="nil"/>
              <w:left w:val="nil"/>
              <w:bottom w:val="single" w:sz="4" w:space="0" w:color="auto"/>
              <w:right w:val="single" w:sz="4" w:space="0" w:color="auto"/>
            </w:tcBorders>
            <w:shd w:val="clear" w:color="auto" w:fill="auto"/>
            <w:noWrap/>
            <w:vAlign w:val="bottom"/>
            <w:hideMark/>
          </w:tcPr>
          <w:p w14:paraId="3A5A3D1C" w14:textId="77777777" w:rsidR="00A14B9B" w:rsidRPr="005D59D7" w:rsidRDefault="00A14B9B" w:rsidP="00DB1D1D">
            <w:pPr>
              <w:keepNext/>
              <w:widowControl w:val="0"/>
              <w:jc w:val="right"/>
              <w:rPr>
                <w:rFonts w:cs="Times New Roman"/>
                <w:color w:val="000000"/>
                <w:sz w:val="22"/>
                <w:lang w:val="cs-CZ"/>
              </w:rPr>
            </w:pPr>
            <w:r w:rsidRPr="005D59D7">
              <w:rPr>
                <w:rFonts w:cs="Times New Roman"/>
                <w:color w:val="000000"/>
                <w:sz w:val="22"/>
                <w:lang w:val="cs-CZ"/>
              </w:rPr>
              <w:t>3 563</w:t>
            </w:r>
          </w:p>
        </w:tc>
        <w:tc>
          <w:tcPr>
            <w:tcW w:w="1440" w:type="dxa"/>
            <w:tcBorders>
              <w:top w:val="nil"/>
              <w:left w:val="nil"/>
              <w:bottom w:val="single" w:sz="4" w:space="0" w:color="auto"/>
              <w:right w:val="single" w:sz="4" w:space="0" w:color="auto"/>
            </w:tcBorders>
            <w:shd w:val="clear" w:color="auto" w:fill="auto"/>
            <w:noWrap/>
            <w:vAlign w:val="bottom"/>
            <w:hideMark/>
          </w:tcPr>
          <w:p w14:paraId="32E726ED" w14:textId="77777777" w:rsidR="00A14B9B" w:rsidRPr="005D59D7" w:rsidRDefault="00A14B9B" w:rsidP="00DB1D1D">
            <w:pPr>
              <w:keepNext/>
              <w:widowControl w:val="0"/>
              <w:jc w:val="right"/>
              <w:rPr>
                <w:rFonts w:cs="Times New Roman"/>
                <w:color w:val="000000"/>
                <w:sz w:val="22"/>
                <w:lang w:val="cs-CZ"/>
              </w:rPr>
            </w:pPr>
            <w:r w:rsidRPr="005D59D7">
              <w:rPr>
                <w:rFonts w:cs="Times New Roman"/>
                <w:color w:val="000000"/>
                <w:sz w:val="22"/>
                <w:lang w:val="cs-CZ"/>
              </w:rPr>
              <w:t>0,501</w:t>
            </w:r>
          </w:p>
        </w:tc>
      </w:tr>
      <w:tr w:rsidR="00A14B9B" w:rsidRPr="005D59D7" w14:paraId="68471A5E" w14:textId="77777777" w:rsidTr="00DB1D1D">
        <w:trPr>
          <w:trHeight w:val="300"/>
        </w:trPr>
        <w:tc>
          <w:tcPr>
            <w:tcW w:w="3460" w:type="dxa"/>
            <w:tcBorders>
              <w:top w:val="nil"/>
              <w:left w:val="single" w:sz="4" w:space="0" w:color="auto"/>
              <w:bottom w:val="single" w:sz="4" w:space="0" w:color="auto"/>
              <w:right w:val="single" w:sz="4" w:space="0" w:color="auto"/>
            </w:tcBorders>
            <w:shd w:val="clear" w:color="auto" w:fill="auto"/>
            <w:noWrap/>
            <w:vAlign w:val="bottom"/>
            <w:hideMark/>
          </w:tcPr>
          <w:p w14:paraId="20079FC9" w14:textId="77777777" w:rsidR="00A14B9B" w:rsidRPr="005D59D7" w:rsidRDefault="00A14B9B" w:rsidP="00DB1D1D">
            <w:pPr>
              <w:keepNext/>
              <w:widowControl w:val="0"/>
              <w:rPr>
                <w:rFonts w:cs="Times New Roman"/>
                <w:color w:val="000000"/>
                <w:sz w:val="22"/>
                <w:lang w:val="cs-CZ"/>
              </w:rPr>
            </w:pPr>
            <w:r w:rsidRPr="005D59D7">
              <w:rPr>
                <w:rFonts w:cs="Times New Roman"/>
                <w:color w:val="000000"/>
                <w:sz w:val="22"/>
                <w:lang w:val="cs-CZ"/>
              </w:rPr>
              <w:t>zeleň</w:t>
            </w:r>
          </w:p>
        </w:tc>
        <w:tc>
          <w:tcPr>
            <w:tcW w:w="1440" w:type="dxa"/>
            <w:tcBorders>
              <w:top w:val="nil"/>
              <w:left w:val="nil"/>
              <w:bottom w:val="single" w:sz="4" w:space="0" w:color="auto"/>
              <w:right w:val="single" w:sz="4" w:space="0" w:color="auto"/>
            </w:tcBorders>
            <w:shd w:val="clear" w:color="auto" w:fill="auto"/>
            <w:noWrap/>
            <w:vAlign w:val="bottom"/>
            <w:hideMark/>
          </w:tcPr>
          <w:p w14:paraId="5F89B689" w14:textId="77777777" w:rsidR="00A14B9B" w:rsidRPr="005D59D7" w:rsidRDefault="00A14B9B" w:rsidP="00DB1D1D">
            <w:pPr>
              <w:keepNext/>
              <w:widowControl w:val="0"/>
              <w:jc w:val="right"/>
              <w:rPr>
                <w:rFonts w:cs="Times New Roman"/>
                <w:color w:val="000000"/>
                <w:sz w:val="22"/>
                <w:lang w:val="cs-CZ"/>
              </w:rPr>
            </w:pPr>
            <w:r w:rsidRPr="005D59D7">
              <w:rPr>
                <w:rFonts w:cs="Times New Roman"/>
                <w:color w:val="000000"/>
                <w:sz w:val="22"/>
                <w:lang w:val="cs-CZ"/>
              </w:rPr>
              <w:t>42 082</w:t>
            </w:r>
          </w:p>
        </w:tc>
        <w:tc>
          <w:tcPr>
            <w:tcW w:w="1440" w:type="dxa"/>
            <w:tcBorders>
              <w:top w:val="nil"/>
              <w:left w:val="nil"/>
              <w:bottom w:val="single" w:sz="4" w:space="0" w:color="auto"/>
              <w:right w:val="single" w:sz="4" w:space="0" w:color="auto"/>
            </w:tcBorders>
            <w:shd w:val="clear" w:color="auto" w:fill="auto"/>
            <w:noWrap/>
            <w:vAlign w:val="bottom"/>
            <w:hideMark/>
          </w:tcPr>
          <w:p w14:paraId="412CA1C7" w14:textId="77777777" w:rsidR="00A14B9B" w:rsidRPr="005D59D7" w:rsidRDefault="00A14B9B" w:rsidP="00DB1D1D">
            <w:pPr>
              <w:keepNext/>
              <w:widowControl w:val="0"/>
              <w:jc w:val="right"/>
              <w:rPr>
                <w:rFonts w:cs="Times New Roman"/>
                <w:color w:val="000000"/>
                <w:sz w:val="22"/>
                <w:lang w:val="cs-CZ"/>
              </w:rPr>
            </w:pPr>
            <w:r w:rsidRPr="005D59D7">
              <w:rPr>
                <w:rFonts w:cs="Times New Roman"/>
                <w:color w:val="000000"/>
                <w:sz w:val="22"/>
                <w:lang w:val="cs-CZ"/>
              </w:rPr>
              <w:t>5,915</w:t>
            </w:r>
          </w:p>
        </w:tc>
      </w:tr>
      <w:tr w:rsidR="00A14B9B" w:rsidRPr="005D59D7" w14:paraId="2F73D5C4" w14:textId="77777777" w:rsidTr="00DB1D1D">
        <w:trPr>
          <w:trHeight w:val="300"/>
        </w:trPr>
        <w:tc>
          <w:tcPr>
            <w:tcW w:w="3460" w:type="dxa"/>
            <w:tcBorders>
              <w:top w:val="nil"/>
              <w:left w:val="single" w:sz="4" w:space="0" w:color="auto"/>
              <w:bottom w:val="single" w:sz="4" w:space="0" w:color="auto"/>
              <w:right w:val="single" w:sz="4" w:space="0" w:color="auto"/>
            </w:tcBorders>
            <w:shd w:val="clear" w:color="auto" w:fill="auto"/>
            <w:noWrap/>
            <w:vAlign w:val="bottom"/>
            <w:hideMark/>
          </w:tcPr>
          <w:p w14:paraId="0ACB8881" w14:textId="77777777" w:rsidR="00A14B9B" w:rsidRPr="005D59D7" w:rsidRDefault="00A14B9B" w:rsidP="00DB1D1D">
            <w:pPr>
              <w:keepNext/>
              <w:widowControl w:val="0"/>
              <w:rPr>
                <w:rFonts w:cs="Times New Roman"/>
                <w:color w:val="000000"/>
                <w:sz w:val="22"/>
                <w:lang w:val="cs-CZ"/>
              </w:rPr>
            </w:pPr>
            <w:r w:rsidRPr="005D59D7">
              <w:rPr>
                <w:rFonts w:cs="Times New Roman"/>
                <w:color w:val="000000"/>
                <w:sz w:val="22"/>
                <w:lang w:val="cs-CZ"/>
              </w:rPr>
              <w:t>sportoviště a rekreační plocha</w:t>
            </w:r>
          </w:p>
        </w:tc>
        <w:tc>
          <w:tcPr>
            <w:tcW w:w="1440" w:type="dxa"/>
            <w:tcBorders>
              <w:top w:val="nil"/>
              <w:left w:val="nil"/>
              <w:bottom w:val="single" w:sz="4" w:space="0" w:color="auto"/>
              <w:right w:val="single" w:sz="4" w:space="0" w:color="auto"/>
            </w:tcBorders>
            <w:shd w:val="clear" w:color="auto" w:fill="auto"/>
            <w:noWrap/>
            <w:vAlign w:val="bottom"/>
            <w:hideMark/>
          </w:tcPr>
          <w:p w14:paraId="3D40761C" w14:textId="77777777" w:rsidR="00A14B9B" w:rsidRPr="005D59D7" w:rsidRDefault="00A14B9B" w:rsidP="00DB1D1D">
            <w:pPr>
              <w:keepNext/>
              <w:widowControl w:val="0"/>
              <w:jc w:val="right"/>
              <w:rPr>
                <w:rFonts w:cs="Times New Roman"/>
                <w:color w:val="000000"/>
                <w:sz w:val="22"/>
                <w:lang w:val="cs-CZ"/>
              </w:rPr>
            </w:pPr>
            <w:r w:rsidRPr="005D59D7">
              <w:rPr>
                <w:rFonts w:cs="Times New Roman"/>
                <w:color w:val="000000"/>
                <w:sz w:val="22"/>
                <w:lang w:val="cs-CZ"/>
              </w:rPr>
              <w:t>22 752</w:t>
            </w:r>
          </w:p>
        </w:tc>
        <w:tc>
          <w:tcPr>
            <w:tcW w:w="1440" w:type="dxa"/>
            <w:tcBorders>
              <w:top w:val="nil"/>
              <w:left w:val="nil"/>
              <w:bottom w:val="single" w:sz="4" w:space="0" w:color="auto"/>
              <w:right w:val="single" w:sz="4" w:space="0" w:color="auto"/>
            </w:tcBorders>
            <w:shd w:val="clear" w:color="auto" w:fill="auto"/>
            <w:noWrap/>
            <w:vAlign w:val="bottom"/>
            <w:hideMark/>
          </w:tcPr>
          <w:p w14:paraId="6CFFE151" w14:textId="77777777" w:rsidR="00A14B9B" w:rsidRPr="005D59D7" w:rsidRDefault="00A14B9B" w:rsidP="00DB1D1D">
            <w:pPr>
              <w:keepNext/>
              <w:widowControl w:val="0"/>
              <w:jc w:val="right"/>
              <w:rPr>
                <w:rFonts w:cs="Times New Roman"/>
                <w:color w:val="000000"/>
                <w:sz w:val="22"/>
                <w:lang w:val="cs-CZ"/>
              </w:rPr>
            </w:pPr>
            <w:r w:rsidRPr="005D59D7">
              <w:rPr>
                <w:rFonts w:cs="Times New Roman"/>
                <w:color w:val="000000"/>
                <w:sz w:val="22"/>
                <w:lang w:val="cs-CZ"/>
              </w:rPr>
              <w:t>3,198</w:t>
            </w:r>
          </w:p>
        </w:tc>
      </w:tr>
      <w:tr w:rsidR="00A14B9B" w:rsidRPr="005D59D7" w14:paraId="3F6E1D1E" w14:textId="77777777" w:rsidTr="00DB1D1D">
        <w:trPr>
          <w:trHeight w:val="300"/>
        </w:trPr>
        <w:tc>
          <w:tcPr>
            <w:tcW w:w="3460" w:type="dxa"/>
            <w:tcBorders>
              <w:top w:val="nil"/>
              <w:left w:val="single" w:sz="4" w:space="0" w:color="auto"/>
              <w:bottom w:val="single" w:sz="4" w:space="0" w:color="auto"/>
              <w:right w:val="single" w:sz="4" w:space="0" w:color="auto"/>
            </w:tcBorders>
            <w:shd w:val="clear" w:color="auto" w:fill="auto"/>
            <w:noWrap/>
            <w:vAlign w:val="bottom"/>
            <w:hideMark/>
          </w:tcPr>
          <w:p w14:paraId="09DC8511" w14:textId="77777777" w:rsidR="00A14B9B" w:rsidRPr="005D59D7" w:rsidRDefault="00A14B9B" w:rsidP="00DB1D1D">
            <w:pPr>
              <w:keepNext/>
              <w:widowControl w:val="0"/>
              <w:rPr>
                <w:rFonts w:cs="Times New Roman"/>
                <w:color w:val="000000"/>
                <w:sz w:val="22"/>
                <w:lang w:val="cs-CZ"/>
              </w:rPr>
            </w:pPr>
            <w:r w:rsidRPr="005D59D7">
              <w:rPr>
                <w:rFonts w:cs="Times New Roman"/>
                <w:color w:val="000000"/>
                <w:sz w:val="22"/>
                <w:lang w:val="cs-CZ"/>
              </w:rPr>
              <w:t>pohřebiště</w:t>
            </w:r>
          </w:p>
        </w:tc>
        <w:tc>
          <w:tcPr>
            <w:tcW w:w="1440" w:type="dxa"/>
            <w:tcBorders>
              <w:top w:val="nil"/>
              <w:left w:val="nil"/>
              <w:bottom w:val="single" w:sz="4" w:space="0" w:color="auto"/>
              <w:right w:val="single" w:sz="4" w:space="0" w:color="auto"/>
            </w:tcBorders>
            <w:shd w:val="clear" w:color="auto" w:fill="auto"/>
            <w:noWrap/>
            <w:vAlign w:val="bottom"/>
            <w:hideMark/>
          </w:tcPr>
          <w:p w14:paraId="6BE98DE0" w14:textId="77777777" w:rsidR="00A14B9B" w:rsidRPr="005D59D7" w:rsidRDefault="00A14B9B" w:rsidP="00DB1D1D">
            <w:pPr>
              <w:keepNext/>
              <w:widowControl w:val="0"/>
              <w:jc w:val="right"/>
              <w:rPr>
                <w:rFonts w:cs="Times New Roman"/>
                <w:color w:val="000000"/>
                <w:sz w:val="22"/>
                <w:lang w:val="cs-CZ"/>
              </w:rPr>
            </w:pPr>
            <w:r w:rsidRPr="005D59D7">
              <w:rPr>
                <w:rFonts w:cs="Times New Roman"/>
                <w:color w:val="000000"/>
                <w:sz w:val="22"/>
                <w:lang w:val="cs-CZ"/>
              </w:rPr>
              <w:t>2 968</w:t>
            </w:r>
          </w:p>
        </w:tc>
        <w:tc>
          <w:tcPr>
            <w:tcW w:w="1440" w:type="dxa"/>
            <w:tcBorders>
              <w:top w:val="nil"/>
              <w:left w:val="nil"/>
              <w:bottom w:val="single" w:sz="4" w:space="0" w:color="auto"/>
              <w:right w:val="single" w:sz="4" w:space="0" w:color="auto"/>
            </w:tcBorders>
            <w:shd w:val="clear" w:color="auto" w:fill="auto"/>
            <w:noWrap/>
            <w:vAlign w:val="bottom"/>
            <w:hideMark/>
          </w:tcPr>
          <w:p w14:paraId="79F4CD1F" w14:textId="77777777" w:rsidR="00A14B9B" w:rsidRPr="005D59D7" w:rsidRDefault="00A14B9B" w:rsidP="00DB1D1D">
            <w:pPr>
              <w:keepNext/>
              <w:widowControl w:val="0"/>
              <w:jc w:val="right"/>
              <w:rPr>
                <w:rFonts w:cs="Times New Roman"/>
                <w:color w:val="000000"/>
                <w:sz w:val="22"/>
                <w:lang w:val="cs-CZ"/>
              </w:rPr>
            </w:pPr>
            <w:r w:rsidRPr="005D59D7">
              <w:rPr>
                <w:rFonts w:cs="Times New Roman"/>
                <w:color w:val="000000"/>
                <w:sz w:val="22"/>
                <w:lang w:val="cs-CZ"/>
              </w:rPr>
              <w:t>0,417</w:t>
            </w:r>
          </w:p>
        </w:tc>
      </w:tr>
      <w:tr w:rsidR="00A14B9B" w:rsidRPr="005D59D7" w14:paraId="75DA3A68" w14:textId="77777777" w:rsidTr="00DB1D1D">
        <w:trPr>
          <w:trHeight w:val="300"/>
        </w:trPr>
        <w:tc>
          <w:tcPr>
            <w:tcW w:w="3460" w:type="dxa"/>
            <w:tcBorders>
              <w:top w:val="nil"/>
              <w:left w:val="single" w:sz="4" w:space="0" w:color="auto"/>
              <w:bottom w:val="single" w:sz="4" w:space="0" w:color="auto"/>
              <w:right w:val="single" w:sz="4" w:space="0" w:color="auto"/>
            </w:tcBorders>
            <w:shd w:val="clear" w:color="auto" w:fill="auto"/>
            <w:noWrap/>
            <w:vAlign w:val="bottom"/>
            <w:hideMark/>
          </w:tcPr>
          <w:p w14:paraId="7E5FCF4D" w14:textId="77777777" w:rsidR="00A14B9B" w:rsidRPr="005D59D7" w:rsidRDefault="00A14B9B" w:rsidP="00DB1D1D">
            <w:pPr>
              <w:keepNext/>
              <w:widowControl w:val="0"/>
              <w:rPr>
                <w:rFonts w:cs="Times New Roman"/>
                <w:color w:val="000000"/>
                <w:sz w:val="22"/>
                <w:lang w:val="cs-CZ"/>
              </w:rPr>
            </w:pPr>
            <w:r w:rsidRPr="005D59D7">
              <w:rPr>
                <w:rFonts w:cs="Times New Roman"/>
                <w:color w:val="000000"/>
                <w:sz w:val="22"/>
                <w:lang w:val="cs-CZ"/>
              </w:rPr>
              <w:t>kulturní a osvětová plocha</w:t>
            </w:r>
          </w:p>
        </w:tc>
        <w:tc>
          <w:tcPr>
            <w:tcW w:w="1440" w:type="dxa"/>
            <w:tcBorders>
              <w:top w:val="nil"/>
              <w:left w:val="nil"/>
              <w:bottom w:val="single" w:sz="4" w:space="0" w:color="auto"/>
              <w:right w:val="single" w:sz="4" w:space="0" w:color="auto"/>
            </w:tcBorders>
            <w:shd w:val="clear" w:color="auto" w:fill="auto"/>
            <w:noWrap/>
            <w:vAlign w:val="bottom"/>
            <w:hideMark/>
          </w:tcPr>
          <w:p w14:paraId="3CA0C126" w14:textId="77777777" w:rsidR="00A14B9B" w:rsidRPr="005D59D7" w:rsidRDefault="00A14B9B" w:rsidP="00DB1D1D">
            <w:pPr>
              <w:keepNext/>
              <w:widowControl w:val="0"/>
              <w:jc w:val="right"/>
              <w:rPr>
                <w:rFonts w:cs="Times New Roman"/>
                <w:color w:val="000000"/>
                <w:sz w:val="22"/>
                <w:lang w:val="cs-CZ"/>
              </w:rPr>
            </w:pPr>
            <w:r w:rsidRPr="005D59D7">
              <w:rPr>
                <w:rFonts w:cs="Times New Roman"/>
                <w:color w:val="000000"/>
                <w:sz w:val="22"/>
                <w:lang w:val="cs-CZ"/>
              </w:rPr>
              <w:t>270</w:t>
            </w:r>
          </w:p>
        </w:tc>
        <w:tc>
          <w:tcPr>
            <w:tcW w:w="1440" w:type="dxa"/>
            <w:tcBorders>
              <w:top w:val="nil"/>
              <w:left w:val="nil"/>
              <w:bottom w:val="single" w:sz="4" w:space="0" w:color="auto"/>
              <w:right w:val="single" w:sz="4" w:space="0" w:color="auto"/>
            </w:tcBorders>
            <w:shd w:val="clear" w:color="auto" w:fill="auto"/>
            <w:noWrap/>
            <w:vAlign w:val="bottom"/>
            <w:hideMark/>
          </w:tcPr>
          <w:p w14:paraId="7E1E9229" w14:textId="77777777" w:rsidR="00A14B9B" w:rsidRPr="005D59D7" w:rsidRDefault="00A14B9B" w:rsidP="00DB1D1D">
            <w:pPr>
              <w:keepNext/>
              <w:widowControl w:val="0"/>
              <w:jc w:val="right"/>
              <w:rPr>
                <w:rFonts w:cs="Times New Roman"/>
                <w:color w:val="000000"/>
                <w:sz w:val="22"/>
                <w:lang w:val="cs-CZ"/>
              </w:rPr>
            </w:pPr>
            <w:r w:rsidRPr="005D59D7">
              <w:rPr>
                <w:rFonts w:cs="Times New Roman"/>
                <w:color w:val="000000"/>
                <w:sz w:val="22"/>
                <w:lang w:val="cs-CZ"/>
              </w:rPr>
              <w:t>0,038</w:t>
            </w:r>
          </w:p>
        </w:tc>
      </w:tr>
      <w:tr w:rsidR="00A14B9B" w:rsidRPr="005D59D7" w14:paraId="45C5E41F" w14:textId="77777777" w:rsidTr="00DB1D1D">
        <w:trPr>
          <w:trHeight w:val="300"/>
        </w:trPr>
        <w:tc>
          <w:tcPr>
            <w:tcW w:w="3460" w:type="dxa"/>
            <w:tcBorders>
              <w:top w:val="nil"/>
              <w:left w:val="single" w:sz="4" w:space="0" w:color="auto"/>
              <w:bottom w:val="single" w:sz="4" w:space="0" w:color="auto"/>
              <w:right w:val="single" w:sz="4" w:space="0" w:color="auto"/>
            </w:tcBorders>
            <w:shd w:val="clear" w:color="000000" w:fill="D9D9D9"/>
            <w:noWrap/>
            <w:vAlign w:val="bottom"/>
            <w:hideMark/>
          </w:tcPr>
          <w:p w14:paraId="4FFFB060" w14:textId="77777777" w:rsidR="00A14B9B" w:rsidRPr="005D59D7" w:rsidRDefault="00A14B9B" w:rsidP="00DB1D1D">
            <w:pPr>
              <w:keepNext/>
              <w:widowControl w:val="0"/>
              <w:rPr>
                <w:rFonts w:cs="Times New Roman"/>
                <w:color w:val="000000"/>
                <w:sz w:val="22"/>
                <w:lang w:val="cs-CZ"/>
              </w:rPr>
            </w:pPr>
            <w:r w:rsidRPr="005D59D7">
              <w:rPr>
                <w:rFonts w:cs="Times New Roman"/>
                <w:color w:val="000000"/>
                <w:sz w:val="22"/>
                <w:lang w:val="cs-CZ"/>
              </w:rPr>
              <w:t>manipulační plocha</w:t>
            </w:r>
          </w:p>
        </w:tc>
        <w:tc>
          <w:tcPr>
            <w:tcW w:w="1440" w:type="dxa"/>
            <w:tcBorders>
              <w:top w:val="nil"/>
              <w:left w:val="nil"/>
              <w:bottom w:val="single" w:sz="4" w:space="0" w:color="auto"/>
              <w:right w:val="single" w:sz="4" w:space="0" w:color="auto"/>
            </w:tcBorders>
            <w:shd w:val="clear" w:color="000000" w:fill="D9D9D9"/>
            <w:noWrap/>
            <w:vAlign w:val="bottom"/>
            <w:hideMark/>
          </w:tcPr>
          <w:p w14:paraId="1F1E31D0" w14:textId="77777777" w:rsidR="00A14B9B" w:rsidRPr="005D59D7" w:rsidRDefault="00A14B9B" w:rsidP="00DB1D1D">
            <w:pPr>
              <w:keepNext/>
              <w:widowControl w:val="0"/>
              <w:jc w:val="right"/>
              <w:rPr>
                <w:rFonts w:cs="Times New Roman"/>
                <w:color w:val="000000"/>
                <w:sz w:val="22"/>
                <w:lang w:val="cs-CZ"/>
              </w:rPr>
            </w:pPr>
            <w:r w:rsidRPr="005D59D7">
              <w:rPr>
                <w:rFonts w:cs="Times New Roman"/>
                <w:color w:val="000000"/>
                <w:sz w:val="22"/>
                <w:lang w:val="cs-CZ"/>
              </w:rPr>
              <w:t>70 302</w:t>
            </w:r>
          </w:p>
        </w:tc>
        <w:tc>
          <w:tcPr>
            <w:tcW w:w="1440" w:type="dxa"/>
            <w:tcBorders>
              <w:top w:val="nil"/>
              <w:left w:val="nil"/>
              <w:bottom w:val="single" w:sz="4" w:space="0" w:color="auto"/>
              <w:right w:val="single" w:sz="4" w:space="0" w:color="auto"/>
            </w:tcBorders>
            <w:shd w:val="clear" w:color="000000" w:fill="D9D9D9"/>
            <w:noWrap/>
            <w:vAlign w:val="bottom"/>
            <w:hideMark/>
          </w:tcPr>
          <w:p w14:paraId="6469B15B" w14:textId="77777777" w:rsidR="00A14B9B" w:rsidRPr="005D59D7" w:rsidRDefault="00A14B9B" w:rsidP="00DB1D1D">
            <w:pPr>
              <w:keepNext/>
              <w:widowControl w:val="0"/>
              <w:jc w:val="right"/>
              <w:rPr>
                <w:rFonts w:cs="Times New Roman"/>
                <w:color w:val="000000"/>
                <w:sz w:val="22"/>
                <w:lang w:val="cs-CZ"/>
              </w:rPr>
            </w:pPr>
            <w:r w:rsidRPr="005D59D7">
              <w:rPr>
                <w:rFonts w:cs="Times New Roman"/>
                <w:color w:val="000000"/>
                <w:sz w:val="22"/>
                <w:lang w:val="cs-CZ"/>
              </w:rPr>
              <w:t>9,881</w:t>
            </w:r>
          </w:p>
        </w:tc>
      </w:tr>
      <w:tr w:rsidR="00A14B9B" w:rsidRPr="005D59D7" w14:paraId="7AB0209E" w14:textId="77777777" w:rsidTr="00DB1D1D">
        <w:trPr>
          <w:trHeight w:val="300"/>
        </w:trPr>
        <w:tc>
          <w:tcPr>
            <w:tcW w:w="3460" w:type="dxa"/>
            <w:tcBorders>
              <w:top w:val="nil"/>
              <w:left w:val="single" w:sz="4" w:space="0" w:color="auto"/>
              <w:bottom w:val="single" w:sz="4" w:space="0" w:color="auto"/>
              <w:right w:val="single" w:sz="4" w:space="0" w:color="auto"/>
            </w:tcBorders>
            <w:shd w:val="clear" w:color="auto" w:fill="auto"/>
            <w:noWrap/>
            <w:vAlign w:val="bottom"/>
            <w:hideMark/>
          </w:tcPr>
          <w:p w14:paraId="53CD60F6" w14:textId="77777777" w:rsidR="00A14B9B" w:rsidRPr="005D59D7" w:rsidRDefault="00A14B9B" w:rsidP="00DB1D1D">
            <w:pPr>
              <w:keepNext/>
              <w:widowControl w:val="0"/>
              <w:rPr>
                <w:rFonts w:cs="Times New Roman"/>
                <w:color w:val="000000"/>
                <w:sz w:val="22"/>
                <w:lang w:val="cs-CZ"/>
              </w:rPr>
            </w:pPr>
            <w:r w:rsidRPr="005D59D7">
              <w:rPr>
                <w:rFonts w:cs="Times New Roman"/>
                <w:color w:val="000000"/>
                <w:sz w:val="22"/>
                <w:lang w:val="cs-CZ"/>
              </w:rPr>
              <w:t>dobývací prostor</w:t>
            </w:r>
          </w:p>
        </w:tc>
        <w:tc>
          <w:tcPr>
            <w:tcW w:w="1440" w:type="dxa"/>
            <w:tcBorders>
              <w:top w:val="nil"/>
              <w:left w:val="nil"/>
              <w:bottom w:val="single" w:sz="4" w:space="0" w:color="auto"/>
              <w:right w:val="single" w:sz="4" w:space="0" w:color="auto"/>
            </w:tcBorders>
            <w:shd w:val="clear" w:color="auto" w:fill="auto"/>
            <w:noWrap/>
            <w:vAlign w:val="bottom"/>
            <w:hideMark/>
          </w:tcPr>
          <w:p w14:paraId="090DA632" w14:textId="77777777" w:rsidR="00A14B9B" w:rsidRPr="005D59D7" w:rsidRDefault="00A14B9B" w:rsidP="00DB1D1D">
            <w:pPr>
              <w:keepNext/>
              <w:widowControl w:val="0"/>
              <w:jc w:val="right"/>
              <w:rPr>
                <w:rFonts w:cs="Times New Roman"/>
                <w:color w:val="000000"/>
                <w:sz w:val="22"/>
                <w:lang w:val="cs-CZ"/>
              </w:rPr>
            </w:pPr>
            <w:r w:rsidRPr="005D59D7">
              <w:rPr>
                <w:rFonts w:cs="Times New Roman"/>
                <w:color w:val="000000"/>
                <w:sz w:val="22"/>
                <w:lang w:val="cs-CZ"/>
              </w:rPr>
              <w:t>29 677</w:t>
            </w:r>
          </w:p>
        </w:tc>
        <w:tc>
          <w:tcPr>
            <w:tcW w:w="1440" w:type="dxa"/>
            <w:tcBorders>
              <w:top w:val="nil"/>
              <w:left w:val="nil"/>
              <w:bottom w:val="single" w:sz="4" w:space="0" w:color="auto"/>
              <w:right w:val="single" w:sz="4" w:space="0" w:color="auto"/>
            </w:tcBorders>
            <w:shd w:val="clear" w:color="auto" w:fill="auto"/>
            <w:noWrap/>
            <w:vAlign w:val="bottom"/>
            <w:hideMark/>
          </w:tcPr>
          <w:p w14:paraId="6BAD840F" w14:textId="77777777" w:rsidR="00A14B9B" w:rsidRPr="005D59D7" w:rsidRDefault="00A14B9B" w:rsidP="00DB1D1D">
            <w:pPr>
              <w:keepNext/>
              <w:widowControl w:val="0"/>
              <w:jc w:val="right"/>
              <w:rPr>
                <w:rFonts w:cs="Times New Roman"/>
                <w:color w:val="000000"/>
                <w:sz w:val="22"/>
                <w:lang w:val="cs-CZ"/>
              </w:rPr>
            </w:pPr>
            <w:r w:rsidRPr="005D59D7">
              <w:rPr>
                <w:rFonts w:cs="Times New Roman"/>
                <w:color w:val="000000"/>
                <w:sz w:val="22"/>
                <w:lang w:val="cs-CZ"/>
              </w:rPr>
              <w:t>4,171</w:t>
            </w:r>
          </w:p>
        </w:tc>
      </w:tr>
      <w:tr w:rsidR="00A14B9B" w:rsidRPr="005D59D7" w14:paraId="7D53B567" w14:textId="77777777" w:rsidTr="00DB1D1D">
        <w:trPr>
          <w:trHeight w:val="300"/>
        </w:trPr>
        <w:tc>
          <w:tcPr>
            <w:tcW w:w="3460" w:type="dxa"/>
            <w:tcBorders>
              <w:top w:val="nil"/>
              <w:left w:val="single" w:sz="4" w:space="0" w:color="auto"/>
              <w:bottom w:val="single" w:sz="4" w:space="0" w:color="auto"/>
              <w:right w:val="single" w:sz="4" w:space="0" w:color="auto"/>
            </w:tcBorders>
            <w:shd w:val="clear" w:color="auto" w:fill="auto"/>
            <w:noWrap/>
            <w:vAlign w:val="bottom"/>
            <w:hideMark/>
          </w:tcPr>
          <w:p w14:paraId="51E04043" w14:textId="77777777" w:rsidR="00A14B9B" w:rsidRPr="005D59D7" w:rsidRDefault="00A14B9B" w:rsidP="00DB1D1D">
            <w:pPr>
              <w:keepNext/>
              <w:widowControl w:val="0"/>
              <w:rPr>
                <w:rFonts w:cs="Times New Roman"/>
                <w:color w:val="000000"/>
                <w:sz w:val="22"/>
                <w:lang w:val="cs-CZ"/>
              </w:rPr>
            </w:pPr>
            <w:r w:rsidRPr="005D59D7">
              <w:rPr>
                <w:rFonts w:cs="Times New Roman"/>
                <w:color w:val="000000"/>
                <w:sz w:val="22"/>
                <w:lang w:val="cs-CZ"/>
              </w:rPr>
              <w:t>skládka</w:t>
            </w:r>
          </w:p>
        </w:tc>
        <w:tc>
          <w:tcPr>
            <w:tcW w:w="1440" w:type="dxa"/>
            <w:tcBorders>
              <w:top w:val="nil"/>
              <w:left w:val="nil"/>
              <w:bottom w:val="single" w:sz="4" w:space="0" w:color="auto"/>
              <w:right w:val="single" w:sz="4" w:space="0" w:color="auto"/>
            </w:tcBorders>
            <w:shd w:val="clear" w:color="auto" w:fill="auto"/>
            <w:noWrap/>
            <w:vAlign w:val="bottom"/>
            <w:hideMark/>
          </w:tcPr>
          <w:p w14:paraId="230E35B7" w14:textId="77777777" w:rsidR="00A14B9B" w:rsidRPr="005D59D7" w:rsidRDefault="00A14B9B" w:rsidP="00DB1D1D">
            <w:pPr>
              <w:keepNext/>
              <w:widowControl w:val="0"/>
              <w:jc w:val="right"/>
              <w:rPr>
                <w:rFonts w:cs="Times New Roman"/>
                <w:color w:val="000000"/>
                <w:sz w:val="22"/>
                <w:lang w:val="cs-CZ"/>
              </w:rPr>
            </w:pPr>
            <w:r w:rsidRPr="005D59D7">
              <w:rPr>
                <w:rFonts w:cs="Times New Roman"/>
                <w:color w:val="000000"/>
                <w:sz w:val="22"/>
                <w:lang w:val="cs-CZ"/>
              </w:rPr>
              <w:t>1 345</w:t>
            </w:r>
          </w:p>
        </w:tc>
        <w:tc>
          <w:tcPr>
            <w:tcW w:w="1440" w:type="dxa"/>
            <w:tcBorders>
              <w:top w:val="nil"/>
              <w:left w:val="nil"/>
              <w:bottom w:val="single" w:sz="4" w:space="0" w:color="auto"/>
              <w:right w:val="single" w:sz="4" w:space="0" w:color="auto"/>
            </w:tcBorders>
            <w:shd w:val="clear" w:color="auto" w:fill="auto"/>
            <w:noWrap/>
            <w:vAlign w:val="bottom"/>
            <w:hideMark/>
          </w:tcPr>
          <w:p w14:paraId="732F6C1E" w14:textId="77777777" w:rsidR="00A14B9B" w:rsidRPr="005D59D7" w:rsidRDefault="00A14B9B" w:rsidP="00DB1D1D">
            <w:pPr>
              <w:keepNext/>
              <w:widowControl w:val="0"/>
              <w:jc w:val="right"/>
              <w:rPr>
                <w:rFonts w:cs="Times New Roman"/>
                <w:color w:val="000000"/>
                <w:sz w:val="22"/>
                <w:lang w:val="cs-CZ"/>
              </w:rPr>
            </w:pPr>
            <w:r w:rsidRPr="005D59D7">
              <w:rPr>
                <w:rFonts w:cs="Times New Roman"/>
                <w:color w:val="000000"/>
                <w:sz w:val="22"/>
                <w:lang w:val="cs-CZ"/>
              </w:rPr>
              <w:t>0,189</w:t>
            </w:r>
          </w:p>
        </w:tc>
      </w:tr>
      <w:tr w:rsidR="00A14B9B" w:rsidRPr="005D59D7" w14:paraId="7C0A4F1F" w14:textId="77777777" w:rsidTr="00DB1D1D">
        <w:trPr>
          <w:trHeight w:val="300"/>
        </w:trPr>
        <w:tc>
          <w:tcPr>
            <w:tcW w:w="3460" w:type="dxa"/>
            <w:tcBorders>
              <w:top w:val="nil"/>
              <w:left w:val="single" w:sz="4" w:space="0" w:color="auto"/>
              <w:bottom w:val="single" w:sz="4" w:space="0" w:color="auto"/>
              <w:right w:val="single" w:sz="4" w:space="0" w:color="auto"/>
            </w:tcBorders>
            <w:shd w:val="clear" w:color="000000" w:fill="D9D9D9"/>
            <w:noWrap/>
            <w:vAlign w:val="bottom"/>
            <w:hideMark/>
          </w:tcPr>
          <w:p w14:paraId="0F633006" w14:textId="77777777" w:rsidR="00A14B9B" w:rsidRPr="005D59D7" w:rsidRDefault="00A14B9B" w:rsidP="00DB1D1D">
            <w:pPr>
              <w:keepNext/>
              <w:widowControl w:val="0"/>
              <w:rPr>
                <w:rFonts w:cs="Times New Roman"/>
                <w:color w:val="000000"/>
                <w:sz w:val="22"/>
                <w:lang w:val="cs-CZ"/>
              </w:rPr>
            </w:pPr>
            <w:r w:rsidRPr="005D59D7">
              <w:rPr>
                <w:rFonts w:cs="Times New Roman"/>
                <w:color w:val="000000"/>
                <w:sz w:val="22"/>
                <w:lang w:val="cs-CZ"/>
              </w:rPr>
              <w:t>jiná plocha</w:t>
            </w:r>
          </w:p>
        </w:tc>
        <w:tc>
          <w:tcPr>
            <w:tcW w:w="1440" w:type="dxa"/>
            <w:tcBorders>
              <w:top w:val="nil"/>
              <w:left w:val="nil"/>
              <w:bottom w:val="single" w:sz="4" w:space="0" w:color="auto"/>
              <w:right w:val="single" w:sz="4" w:space="0" w:color="auto"/>
            </w:tcBorders>
            <w:shd w:val="clear" w:color="000000" w:fill="D9D9D9"/>
            <w:noWrap/>
            <w:vAlign w:val="bottom"/>
            <w:hideMark/>
          </w:tcPr>
          <w:p w14:paraId="6B36168A" w14:textId="77777777" w:rsidR="00A14B9B" w:rsidRPr="005D59D7" w:rsidRDefault="00A14B9B" w:rsidP="00DB1D1D">
            <w:pPr>
              <w:keepNext/>
              <w:widowControl w:val="0"/>
              <w:jc w:val="right"/>
              <w:rPr>
                <w:rFonts w:cs="Times New Roman"/>
                <w:color w:val="000000"/>
                <w:sz w:val="22"/>
                <w:lang w:val="cs-CZ"/>
              </w:rPr>
            </w:pPr>
            <w:r w:rsidRPr="005D59D7">
              <w:rPr>
                <w:rFonts w:cs="Times New Roman"/>
                <w:color w:val="000000"/>
                <w:sz w:val="22"/>
                <w:lang w:val="cs-CZ"/>
              </w:rPr>
              <w:t>164 560</w:t>
            </w:r>
          </w:p>
        </w:tc>
        <w:tc>
          <w:tcPr>
            <w:tcW w:w="1440" w:type="dxa"/>
            <w:tcBorders>
              <w:top w:val="nil"/>
              <w:left w:val="nil"/>
              <w:bottom w:val="single" w:sz="4" w:space="0" w:color="auto"/>
              <w:right w:val="single" w:sz="4" w:space="0" w:color="auto"/>
            </w:tcBorders>
            <w:shd w:val="clear" w:color="000000" w:fill="D9D9D9"/>
            <w:noWrap/>
            <w:vAlign w:val="bottom"/>
            <w:hideMark/>
          </w:tcPr>
          <w:p w14:paraId="150BAD76" w14:textId="77777777" w:rsidR="00A14B9B" w:rsidRPr="005D59D7" w:rsidRDefault="00A14B9B" w:rsidP="00DB1D1D">
            <w:pPr>
              <w:keepNext/>
              <w:widowControl w:val="0"/>
              <w:jc w:val="right"/>
              <w:rPr>
                <w:rFonts w:cs="Times New Roman"/>
                <w:color w:val="000000"/>
                <w:sz w:val="22"/>
                <w:lang w:val="cs-CZ"/>
              </w:rPr>
            </w:pPr>
            <w:r w:rsidRPr="005D59D7">
              <w:rPr>
                <w:rFonts w:cs="Times New Roman"/>
                <w:color w:val="000000"/>
                <w:sz w:val="22"/>
                <w:lang w:val="cs-CZ"/>
              </w:rPr>
              <w:t>23,129</w:t>
            </w:r>
          </w:p>
        </w:tc>
      </w:tr>
      <w:tr w:rsidR="00A14B9B" w:rsidRPr="005D59D7" w14:paraId="0BFA16E4" w14:textId="77777777" w:rsidTr="00DB1D1D">
        <w:trPr>
          <w:trHeight w:val="300"/>
        </w:trPr>
        <w:tc>
          <w:tcPr>
            <w:tcW w:w="3460" w:type="dxa"/>
            <w:tcBorders>
              <w:top w:val="nil"/>
              <w:left w:val="single" w:sz="4" w:space="0" w:color="auto"/>
              <w:bottom w:val="single" w:sz="4" w:space="0" w:color="auto"/>
              <w:right w:val="single" w:sz="4" w:space="0" w:color="auto"/>
            </w:tcBorders>
            <w:shd w:val="clear" w:color="000000" w:fill="D9D9D9"/>
            <w:noWrap/>
            <w:vAlign w:val="bottom"/>
            <w:hideMark/>
          </w:tcPr>
          <w:p w14:paraId="328A4E80" w14:textId="77777777" w:rsidR="00A14B9B" w:rsidRPr="005D59D7" w:rsidRDefault="00A14B9B" w:rsidP="00DB1D1D">
            <w:pPr>
              <w:keepNext/>
              <w:widowControl w:val="0"/>
              <w:rPr>
                <w:rFonts w:cs="Times New Roman"/>
                <w:color w:val="000000"/>
                <w:sz w:val="22"/>
                <w:lang w:val="cs-CZ"/>
              </w:rPr>
            </w:pPr>
            <w:r w:rsidRPr="005D59D7">
              <w:rPr>
                <w:rFonts w:cs="Times New Roman"/>
                <w:color w:val="000000"/>
                <w:sz w:val="22"/>
                <w:lang w:val="cs-CZ"/>
              </w:rPr>
              <w:t>neplodná půda</w:t>
            </w:r>
          </w:p>
        </w:tc>
        <w:tc>
          <w:tcPr>
            <w:tcW w:w="1440" w:type="dxa"/>
            <w:tcBorders>
              <w:top w:val="nil"/>
              <w:left w:val="nil"/>
              <w:bottom w:val="single" w:sz="4" w:space="0" w:color="auto"/>
              <w:right w:val="single" w:sz="4" w:space="0" w:color="auto"/>
            </w:tcBorders>
            <w:shd w:val="clear" w:color="000000" w:fill="D9D9D9"/>
            <w:noWrap/>
            <w:vAlign w:val="bottom"/>
            <w:hideMark/>
          </w:tcPr>
          <w:p w14:paraId="7EF25040" w14:textId="77777777" w:rsidR="00A14B9B" w:rsidRPr="005D59D7" w:rsidRDefault="00A14B9B" w:rsidP="00DB1D1D">
            <w:pPr>
              <w:keepNext/>
              <w:widowControl w:val="0"/>
              <w:jc w:val="right"/>
              <w:rPr>
                <w:rFonts w:cs="Times New Roman"/>
                <w:color w:val="000000"/>
                <w:sz w:val="22"/>
                <w:lang w:val="cs-CZ"/>
              </w:rPr>
            </w:pPr>
            <w:r w:rsidRPr="005D59D7">
              <w:rPr>
                <w:rFonts w:cs="Times New Roman"/>
                <w:color w:val="000000"/>
                <w:sz w:val="22"/>
                <w:lang w:val="cs-CZ"/>
              </w:rPr>
              <w:t>104 025</w:t>
            </w:r>
          </w:p>
        </w:tc>
        <w:tc>
          <w:tcPr>
            <w:tcW w:w="1440" w:type="dxa"/>
            <w:tcBorders>
              <w:top w:val="nil"/>
              <w:left w:val="nil"/>
              <w:bottom w:val="single" w:sz="4" w:space="0" w:color="auto"/>
              <w:right w:val="single" w:sz="4" w:space="0" w:color="auto"/>
            </w:tcBorders>
            <w:shd w:val="clear" w:color="000000" w:fill="D9D9D9"/>
            <w:noWrap/>
            <w:vAlign w:val="bottom"/>
            <w:hideMark/>
          </w:tcPr>
          <w:p w14:paraId="30FD9998" w14:textId="77777777" w:rsidR="00A14B9B" w:rsidRPr="005D59D7" w:rsidRDefault="00A14B9B" w:rsidP="00DB1D1D">
            <w:pPr>
              <w:keepNext/>
              <w:widowControl w:val="0"/>
              <w:jc w:val="right"/>
              <w:rPr>
                <w:rFonts w:cs="Times New Roman"/>
                <w:color w:val="000000"/>
                <w:sz w:val="22"/>
                <w:lang w:val="cs-CZ"/>
              </w:rPr>
            </w:pPr>
            <w:r w:rsidRPr="005D59D7">
              <w:rPr>
                <w:rFonts w:cs="Times New Roman"/>
                <w:color w:val="000000"/>
                <w:sz w:val="22"/>
                <w:lang w:val="cs-CZ"/>
              </w:rPr>
              <w:t>14,621</w:t>
            </w:r>
          </w:p>
        </w:tc>
      </w:tr>
      <w:tr w:rsidR="00A14B9B" w:rsidRPr="005D59D7" w14:paraId="7F5C8070" w14:textId="77777777" w:rsidTr="00DB1D1D">
        <w:trPr>
          <w:trHeight w:val="300"/>
        </w:trPr>
        <w:tc>
          <w:tcPr>
            <w:tcW w:w="3460" w:type="dxa"/>
            <w:tcBorders>
              <w:top w:val="nil"/>
              <w:left w:val="single" w:sz="4" w:space="0" w:color="auto"/>
              <w:bottom w:val="single" w:sz="4" w:space="0" w:color="auto"/>
              <w:right w:val="single" w:sz="4" w:space="0" w:color="auto"/>
            </w:tcBorders>
            <w:shd w:val="clear" w:color="auto" w:fill="auto"/>
            <w:noWrap/>
            <w:vAlign w:val="bottom"/>
            <w:hideMark/>
          </w:tcPr>
          <w:p w14:paraId="144CE4EC" w14:textId="77777777" w:rsidR="00A14B9B" w:rsidRPr="005D59D7" w:rsidRDefault="00A14B9B" w:rsidP="00DB1D1D">
            <w:pPr>
              <w:keepNext/>
              <w:widowControl w:val="0"/>
              <w:rPr>
                <w:rFonts w:cs="Times New Roman"/>
                <w:color w:val="000000"/>
                <w:sz w:val="22"/>
                <w:lang w:val="cs-CZ"/>
              </w:rPr>
            </w:pPr>
            <w:r w:rsidRPr="005D59D7">
              <w:rPr>
                <w:rFonts w:cs="Times New Roman"/>
                <w:color w:val="000000"/>
                <w:sz w:val="22"/>
                <w:lang w:val="cs-CZ"/>
              </w:rPr>
              <w:t>fotovoltaická elektrárna</w:t>
            </w:r>
          </w:p>
        </w:tc>
        <w:tc>
          <w:tcPr>
            <w:tcW w:w="1440" w:type="dxa"/>
            <w:tcBorders>
              <w:top w:val="nil"/>
              <w:left w:val="nil"/>
              <w:bottom w:val="single" w:sz="4" w:space="0" w:color="auto"/>
              <w:right w:val="single" w:sz="4" w:space="0" w:color="auto"/>
            </w:tcBorders>
            <w:shd w:val="clear" w:color="auto" w:fill="auto"/>
            <w:noWrap/>
            <w:vAlign w:val="bottom"/>
            <w:hideMark/>
          </w:tcPr>
          <w:p w14:paraId="64F6FF22" w14:textId="77777777" w:rsidR="00A14B9B" w:rsidRPr="005D59D7" w:rsidRDefault="00A14B9B" w:rsidP="00DB1D1D">
            <w:pPr>
              <w:keepNext/>
              <w:widowControl w:val="0"/>
              <w:jc w:val="right"/>
              <w:rPr>
                <w:rFonts w:cs="Times New Roman"/>
                <w:color w:val="000000"/>
                <w:sz w:val="22"/>
                <w:lang w:val="cs-CZ"/>
              </w:rPr>
            </w:pPr>
            <w:r w:rsidRPr="005D59D7">
              <w:rPr>
                <w:rFonts w:cs="Times New Roman"/>
                <w:color w:val="000000"/>
                <w:sz w:val="22"/>
                <w:lang w:val="cs-CZ"/>
              </w:rPr>
              <w:t>9</w:t>
            </w:r>
          </w:p>
        </w:tc>
        <w:tc>
          <w:tcPr>
            <w:tcW w:w="1440" w:type="dxa"/>
            <w:tcBorders>
              <w:top w:val="nil"/>
              <w:left w:val="nil"/>
              <w:bottom w:val="single" w:sz="4" w:space="0" w:color="auto"/>
              <w:right w:val="single" w:sz="4" w:space="0" w:color="auto"/>
            </w:tcBorders>
            <w:shd w:val="clear" w:color="auto" w:fill="auto"/>
            <w:noWrap/>
            <w:vAlign w:val="bottom"/>
            <w:hideMark/>
          </w:tcPr>
          <w:p w14:paraId="72A6AD8A" w14:textId="77777777" w:rsidR="00A14B9B" w:rsidRPr="005D59D7" w:rsidRDefault="00A14B9B" w:rsidP="00DB1D1D">
            <w:pPr>
              <w:keepNext/>
              <w:widowControl w:val="0"/>
              <w:jc w:val="right"/>
              <w:rPr>
                <w:rFonts w:cs="Times New Roman"/>
                <w:color w:val="000000"/>
                <w:sz w:val="22"/>
                <w:lang w:val="cs-CZ"/>
              </w:rPr>
            </w:pPr>
            <w:r w:rsidRPr="005D59D7">
              <w:rPr>
                <w:rFonts w:cs="Times New Roman"/>
                <w:color w:val="000000"/>
                <w:sz w:val="22"/>
                <w:lang w:val="cs-CZ"/>
              </w:rPr>
              <w:t>0,001</w:t>
            </w:r>
          </w:p>
        </w:tc>
      </w:tr>
      <w:tr w:rsidR="00A14B9B" w:rsidRPr="005D59D7" w14:paraId="0AD7BA0F" w14:textId="77777777" w:rsidTr="00DB1D1D">
        <w:trPr>
          <w:trHeight w:val="300"/>
        </w:trPr>
        <w:tc>
          <w:tcPr>
            <w:tcW w:w="3460" w:type="dxa"/>
            <w:tcBorders>
              <w:top w:val="nil"/>
              <w:left w:val="single" w:sz="4" w:space="0" w:color="auto"/>
              <w:bottom w:val="single" w:sz="4" w:space="0" w:color="auto"/>
              <w:right w:val="single" w:sz="4" w:space="0" w:color="auto"/>
            </w:tcBorders>
            <w:shd w:val="clear" w:color="auto" w:fill="auto"/>
            <w:noWrap/>
            <w:vAlign w:val="bottom"/>
            <w:hideMark/>
          </w:tcPr>
          <w:p w14:paraId="1AB84BE4" w14:textId="77777777" w:rsidR="00A14B9B" w:rsidRPr="005D59D7" w:rsidRDefault="00A14B9B" w:rsidP="00DB1D1D">
            <w:pPr>
              <w:keepNext/>
              <w:widowControl w:val="0"/>
              <w:rPr>
                <w:rFonts w:cs="Times New Roman"/>
                <w:color w:val="000000"/>
                <w:sz w:val="22"/>
                <w:lang w:val="cs-CZ"/>
              </w:rPr>
            </w:pPr>
            <w:r w:rsidRPr="005D59D7">
              <w:rPr>
                <w:rFonts w:cs="Times New Roman"/>
                <w:color w:val="000000"/>
                <w:sz w:val="22"/>
                <w:lang w:val="cs-CZ"/>
              </w:rPr>
              <w:t>mez, stráň</w:t>
            </w:r>
          </w:p>
        </w:tc>
        <w:tc>
          <w:tcPr>
            <w:tcW w:w="1440" w:type="dxa"/>
            <w:tcBorders>
              <w:top w:val="nil"/>
              <w:left w:val="nil"/>
              <w:bottom w:val="single" w:sz="4" w:space="0" w:color="auto"/>
              <w:right w:val="single" w:sz="4" w:space="0" w:color="auto"/>
            </w:tcBorders>
            <w:shd w:val="clear" w:color="auto" w:fill="auto"/>
            <w:noWrap/>
            <w:vAlign w:val="bottom"/>
            <w:hideMark/>
          </w:tcPr>
          <w:p w14:paraId="2B441F67" w14:textId="77777777" w:rsidR="00A14B9B" w:rsidRPr="005D59D7" w:rsidRDefault="00A14B9B" w:rsidP="00DB1D1D">
            <w:pPr>
              <w:keepNext/>
              <w:widowControl w:val="0"/>
              <w:jc w:val="right"/>
              <w:rPr>
                <w:rFonts w:cs="Times New Roman"/>
                <w:color w:val="000000"/>
                <w:sz w:val="22"/>
                <w:lang w:val="cs-CZ"/>
              </w:rPr>
            </w:pPr>
            <w:r w:rsidRPr="005D59D7">
              <w:rPr>
                <w:rFonts w:cs="Times New Roman"/>
                <w:color w:val="000000"/>
                <w:sz w:val="22"/>
                <w:lang w:val="cs-CZ"/>
              </w:rPr>
              <w:t>10</w:t>
            </w:r>
          </w:p>
        </w:tc>
        <w:tc>
          <w:tcPr>
            <w:tcW w:w="1440" w:type="dxa"/>
            <w:tcBorders>
              <w:top w:val="nil"/>
              <w:left w:val="nil"/>
              <w:bottom w:val="single" w:sz="4" w:space="0" w:color="auto"/>
              <w:right w:val="single" w:sz="4" w:space="0" w:color="auto"/>
            </w:tcBorders>
            <w:shd w:val="clear" w:color="auto" w:fill="auto"/>
            <w:noWrap/>
            <w:vAlign w:val="bottom"/>
            <w:hideMark/>
          </w:tcPr>
          <w:p w14:paraId="6F758762" w14:textId="77777777" w:rsidR="00A14B9B" w:rsidRPr="005D59D7" w:rsidRDefault="00A14B9B" w:rsidP="00DB1D1D">
            <w:pPr>
              <w:keepNext/>
              <w:widowControl w:val="0"/>
              <w:jc w:val="right"/>
              <w:rPr>
                <w:rFonts w:cs="Times New Roman"/>
                <w:color w:val="000000"/>
                <w:sz w:val="22"/>
                <w:lang w:val="cs-CZ"/>
              </w:rPr>
            </w:pPr>
            <w:r w:rsidRPr="005D59D7">
              <w:rPr>
                <w:rFonts w:cs="Times New Roman"/>
                <w:color w:val="000000"/>
                <w:sz w:val="22"/>
                <w:lang w:val="cs-CZ"/>
              </w:rPr>
              <w:t>0,001</w:t>
            </w:r>
          </w:p>
        </w:tc>
      </w:tr>
      <w:tr w:rsidR="00A14B9B" w:rsidRPr="005D59D7" w14:paraId="18609965" w14:textId="77777777" w:rsidTr="00DB1D1D">
        <w:trPr>
          <w:trHeight w:val="300"/>
        </w:trPr>
        <w:tc>
          <w:tcPr>
            <w:tcW w:w="3460" w:type="dxa"/>
            <w:tcBorders>
              <w:top w:val="nil"/>
              <w:left w:val="single" w:sz="4" w:space="0" w:color="auto"/>
              <w:bottom w:val="single" w:sz="4" w:space="0" w:color="auto"/>
              <w:right w:val="single" w:sz="4" w:space="0" w:color="auto"/>
            </w:tcBorders>
            <w:shd w:val="clear" w:color="auto" w:fill="auto"/>
            <w:noWrap/>
            <w:vAlign w:val="bottom"/>
            <w:hideMark/>
          </w:tcPr>
          <w:p w14:paraId="110983E1" w14:textId="77777777" w:rsidR="00A14B9B" w:rsidRPr="005D59D7" w:rsidRDefault="00A14B9B" w:rsidP="00DB1D1D">
            <w:pPr>
              <w:keepNext/>
              <w:widowControl w:val="0"/>
              <w:rPr>
                <w:rFonts w:cs="Times New Roman"/>
                <w:color w:val="000000"/>
                <w:sz w:val="22"/>
                <w:lang w:val="cs-CZ"/>
              </w:rPr>
            </w:pPr>
            <w:r w:rsidRPr="005D59D7">
              <w:rPr>
                <w:rFonts w:cs="Times New Roman"/>
                <w:color w:val="000000"/>
                <w:sz w:val="22"/>
                <w:lang w:val="cs-CZ"/>
              </w:rPr>
              <w:t>bez rozlišení</w:t>
            </w:r>
          </w:p>
        </w:tc>
        <w:tc>
          <w:tcPr>
            <w:tcW w:w="1440" w:type="dxa"/>
            <w:tcBorders>
              <w:top w:val="nil"/>
              <w:left w:val="nil"/>
              <w:bottom w:val="single" w:sz="4" w:space="0" w:color="auto"/>
              <w:right w:val="single" w:sz="4" w:space="0" w:color="auto"/>
            </w:tcBorders>
            <w:shd w:val="clear" w:color="auto" w:fill="auto"/>
            <w:noWrap/>
            <w:vAlign w:val="bottom"/>
            <w:hideMark/>
          </w:tcPr>
          <w:p w14:paraId="35150B95" w14:textId="77777777" w:rsidR="00A14B9B" w:rsidRPr="005D59D7" w:rsidRDefault="00A14B9B" w:rsidP="00DB1D1D">
            <w:pPr>
              <w:keepNext/>
              <w:widowControl w:val="0"/>
              <w:jc w:val="right"/>
              <w:rPr>
                <w:rFonts w:cs="Times New Roman"/>
                <w:color w:val="000000"/>
                <w:sz w:val="22"/>
                <w:lang w:val="cs-CZ"/>
              </w:rPr>
            </w:pPr>
            <w:r w:rsidRPr="005D59D7">
              <w:rPr>
                <w:rFonts w:cs="Times New Roman"/>
                <w:color w:val="000000"/>
                <w:sz w:val="22"/>
                <w:lang w:val="cs-CZ"/>
              </w:rPr>
              <w:t>16</w:t>
            </w:r>
          </w:p>
        </w:tc>
        <w:tc>
          <w:tcPr>
            <w:tcW w:w="1440" w:type="dxa"/>
            <w:tcBorders>
              <w:top w:val="nil"/>
              <w:left w:val="nil"/>
              <w:bottom w:val="single" w:sz="4" w:space="0" w:color="auto"/>
              <w:right w:val="single" w:sz="4" w:space="0" w:color="auto"/>
            </w:tcBorders>
            <w:shd w:val="clear" w:color="auto" w:fill="auto"/>
            <w:noWrap/>
            <w:vAlign w:val="bottom"/>
            <w:hideMark/>
          </w:tcPr>
          <w:p w14:paraId="036A197E" w14:textId="77777777" w:rsidR="00A14B9B" w:rsidRPr="005D59D7" w:rsidRDefault="00A14B9B" w:rsidP="00DB1D1D">
            <w:pPr>
              <w:keepNext/>
              <w:widowControl w:val="0"/>
              <w:jc w:val="right"/>
              <w:rPr>
                <w:rFonts w:cs="Times New Roman"/>
                <w:color w:val="000000"/>
                <w:sz w:val="22"/>
                <w:lang w:val="cs-CZ"/>
              </w:rPr>
            </w:pPr>
            <w:r w:rsidRPr="005D59D7">
              <w:rPr>
                <w:rFonts w:cs="Times New Roman"/>
                <w:color w:val="000000"/>
                <w:sz w:val="22"/>
                <w:lang w:val="cs-CZ"/>
              </w:rPr>
              <w:t>0,002</w:t>
            </w:r>
          </w:p>
        </w:tc>
      </w:tr>
      <w:tr w:rsidR="00A14B9B" w:rsidRPr="005D59D7" w14:paraId="0061C2EE" w14:textId="77777777" w:rsidTr="00DB1D1D">
        <w:trPr>
          <w:trHeight w:val="300"/>
        </w:trPr>
        <w:tc>
          <w:tcPr>
            <w:tcW w:w="3460" w:type="dxa"/>
            <w:tcBorders>
              <w:top w:val="nil"/>
              <w:left w:val="single" w:sz="4" w:space="0" w:color="auto"/>
              <w:bottom w:val="single" w:sz="4" w:space="0" w:color="auto"/>
              <w:right w:val="single" w:sz="4" w:space="0" w:color="auto"/>
            </w:tcBorders>
            <w:shd w:val="clear" w:color="auto" w:fill="auto"/>
            <w:noWrap/>
            <w:vAlign w:val="bottom"/>
            <w:hideMark/>
          </w:tcPr>
          <w:p w14:paraId="4CE96805" w14:textId="77777777" w:rsidR="00A14B9B" w:rsidRPr="005D59D7" w:rsidRDefault="00A14B9B" w:rsidP="00DB1D1D">
            <w:pPr>
              <w:keepNext/>
              <w:widowControl w:val="0"/>
              <w:rPr>
                <w:rFonts w:cs="Times New Roman"/>
                <w:b/>
                <w:color w:val="000000"/>
                <w:sz w:val="22"/>
                <w:lang w:val="cs-CZ"/>
              </w:rPr>
            </w:pPr>
            <w:r w:rsidRPr="005D59D7">
              <w:rPr>
                <w:rFonts w:cs="Times New Roman"/>
                <w:b/>
                <w:color w:val="000000"/>
                <w:sz w:val="22"/>
                <w:lang w:val="cs-CZ"/>
              </w:rPr>
              <w:t>Suma</w:t>
            </w:r>
          </w:p>
        </w:tc>
        <w:tc>
          <w:tcPr>
            <w:tcW w:w="1440" w:type="dxa"/>
            <w:tcBorders>
              <w:top w:val="nil"/>
              <w:left w:val="nil"/>
              <w:bottom w:val="single" w:sz="4" w:space="0" w:color="auto"/>
              <w:right w:val="single" w:sz="4" w:space="0" w:color="auto"/>
            </w:tcBorders>
            <w:shd w:val="clear" w:color="auto" w:fill="auto"/>
            <w:noWrap/>
            <w:vAlign w:val="bottom"/>
            <w:hideMark/>
          </w:tcPr>
          <w:p w14:paraId="314867BA" w14:textId="77777777" w:rsidR="00A14B9B" w:rsidRPr="005D59D7" w:rsidRDefault="00A14B9B" w:rsidP="00DB1D1D">
            <w:pPr>
              <w:keepNext/>
              <w:widowControl w:val="0"/>
              <w:jc w:val="right"/>
              <w:rPr>
                <w:rFonts w:cs="Times New Roman"/>
                <w:b/>
                <w:color w:val="000000"/>
                <w:sz w:val="22"/>
                <w:lang w:val="cs-CZ"/>
              </w:rPr>
            </w:pPr>
            <w:r w:rsidRPr="005D59D7">
              <w:rPr>
                <w:rFonts w:cs="Times New Roman"/>
                <w:b/>
                <w:color w:val="000000"/>
                <w:sz w:val="22"/>
                <w:lang w:val="cs-CZ"/>
              </w:rPr>
              <w:t>711 495</w:t>
            </w:r>
          </w:p>
        </w:tc>
        <w:tc>
          <w:tcPr>
            <w:tcW w:w="1440" w:type="dxa"/>
            <w:tcBorders>
              <w:top w:val="nil"/>
              <w:left w:val="nil"/>
              <w:bottom w:val="single" w:sz="4" w:space="0" w:color="auto"/>
              <w:right w:val="single" w:sz="4" w:space="0" w:color="auto"/>
            </w:tcBorders>
            <w:shd w:val="clear" w:color="auto" w:fill="auto"/>
            <w:noWrap/>
            <w:vAlign w:val="bottom"/>
            <w:hideMark/>
          </w:tcPr>
          <w:p w14:paraId="41C0113A" w14:textId="77777777" w:rsidR="00A14B9B" w:rsidRPr="005D59D7" w:rsidRDefault="00A14B9B" w:rsidP="00DB1D1D">
            <w:pPr>
              <w:keepNext/>
              <w:widowControl w:val="0"/>
              <w:jc w:val="right"/>
              <w:rPr>
                <w:rFonts w:cs="Times New Roman"/>
                <w:b/>
                <w:color w:val="000000"/>
                <w:sz w:val="22"/>
                <w:lang w:val="cs-CZ"/>
              </w:rPr>
            </w:pPr>
            <w:r w:rsidRPr="005D59D7">
              <w:rPr>
                <w:rFonts w:cs="Times New Roman"/>
                <w:b/>
                <w:color w:val="000000"/>
                <w:sz w:val="22"/>
                <w:lang w:val="cs-CZ"/>
              </w:rPr>
              <w:t>100</w:t>
            </w:r>
          </w:p>
        </w:tc>
      </w:tr>
    </w:tbl>
    <w:p w14:paraId="417FC44E" w14:textId="77777777" w:rsidR="00A14B9B" w:rsidRPr="002A0D4F" w:rsidRDefault="00A14B9B" w:rsidP="00BB7657">
      <w:pPr>
        <w:pStyle w:val="UZEIZdroj"/>
      </w:pPr>
      <w:r w:rsidRPr="002A0D4F">
        <w:t>Zdroj: Souhrnné přehledy o půdním fondu z údajů katastru nemovitostí České republiky (2018), vlastní výpočty</w:t>
      </w:r>
    </w:p>
    <w:bookmarkEnd w:id="336"/>
    <w:p w14:paraId="5D9AC5BE" w14:textId="77777777" w:rsidR="00A14B9B" w:rsidRPr="002A0D4F" w:rsidRDefault="00A14B9B" w:rsidP="00A14B9B">
      <w:pPr>
        <w:rPr>
          <w:lang w:val="cs-CZ"/>
        </w:rPr>
      </w:pPr>
    </w:p>
    <w:p w14:paraId="15A0F759" w14:textId="77777777" w:rsidR="00A14B9B" w:rsidRPr="002A0D4F" w:rsidRDefault="00A14B9B" w:rsidP="00A14B9B">
      <w:pPr>
        <w:rPr>
          <w:lang w:val="cs-CZ"/>
        </w:rPr>
      </w:pPr>
    </w:p>
    <w:p w14:paraId="5B3DC555" w14:textId="77777777" w:rsidR="00A14B9B" w:rsidRPr="002A0D4F" w:rsidRDefault="00A14B9B" w:rsidP="00A14B9B">
      <w:pPr>
        <w:rPr>
          <w:lang w:val="cs-CZ"/>
        </w:rPr>
      </w:pPr>
    </w:p>
    <w:p w14:paraId="5B703817" w14:textId="2F6E7039" w:rsidR="00A14B9B" w:rsidRPr="002A0D4F" w:rsidRDefault="00632CC5" w:rsidP="00632CC5">
      <w:pPr>
        <w:spacing w:after="160" w:line="259" w:lineRule="auto"/>
        <w:jc w:val="left"/>
        <w:rPr>
          <w:lang w:val="cs-CZ"/>
        </w:rPr>
      </w:pPr>
      <w:r>
        <w:rPr>
          <w:lang w:val="cs-CZ"/>
        </w:rPr>
        <w:br w:type="page"/>
      </w:r>
    </w:p>
    <w:p w14:paraId="61D6FD10" w14:textId="0485FBB3" w:rsidR="00A14B9B" w:rsidRPr="000D63DA" w:rsidRDefault="008C5D6D" w:rsidP="000D63DA">
      <w:pPr>
        <w:pStyle w:val="UZEINadpis4st"/>
      </w:pPr>
      <w:bookmarkStart w:id="342" w:name="_Toc25919705"/>
      <w:bookmarkStart w:id="343" w:name="_Toc25919789"/>
      <w:bookmarkStart w:id="344" w:name="_Toc81815679"/>
      <w:bookmarkStart w:id="345" w:name="_Toc81816216"/>
      <w:bookmarkStart w:id="346" w:name="_Toc81817311"/>
      <w:r w:rsidRPr="000D63DA">
        <w:rPr>
          <w:rStyle w:val="UZEINadpis4stChar"/>
          <w:b/>
          <w:bCs/>
        </w:rPr>
        <w:lastRenderedPageBreak/>
        <w:t xml:space="preserve">Příloha </w:t>
      </w:r>
      <w:r w:rsidR="00632CC5" w:rsidRPr="000D63DA">
        <w:rPr>
          <w:rStyle w:val="UZEINadpis4stChar"/>
          <w:b/>
          <w:bCs/>
        </w:rPr>
        <w:t xml:space="preserve">3 </w:t>
      </w:r>
      <w:r w:rsidR="00A14B9B" w:rsidRPr="000D63DA">
        <w:rPr>
          <w:rStyle w:val="UZEINadpis4stChar"/>
          <w:b/>
          <w:bCs/>
        </w:rPr>
        <w:t>Ekonomika a podnikatelská struktura ve vztahu k venkovu</w:t>
      </w:r>
      <w:bookmarkEnd w:id="342"/>
      <w:bookmarkEnd w:id="343"/>
      <w:bookmarkEnd w:id="344"/>
      <w:bookmarkEnd w:id="345"/>
      <w:bookmarkEnd w:id="346"/>
      <w:r w:rsidR="00632CC5" w:rsidRPr="000D63DA">
        <w:t xml:space="preserve"> </w:t>
      </w:r>
    </w:p>
    <w:p w14:paraId="0FB7285B" w14:textId="77777777" w:rsidR="00A14B9B" w:rsidRPr="002A0D4F" w:rsidRDefault="00A14B9B" w:rsidP="005D59D7">
      <w:pPr>
        <w:pStyle w:val="UZEINormaln"/>
        <w:rPr>
          <w:color w:val="000000" w:themeColor="text1"/>
        </w:rPr>
      </w:pPr>
      <w:r w:rsidRPr="002A0D4F">
        <w:t>Hrubý domácí produkt (HDP) je peněžním vyjádřením celkové hodnoty statků a služeb nově vytvořených v daném období na určitém území. HDP je klíčovým ukazatelem vývoje národního hospodářství a vypovídá o výkonnosti ekonomiky (ČSÚ, 2018).</w:t>
      </w:r>
    </w:p>
    <w:p w14:paraId="0093E0DC" w14:textId="7DE91E5A" w:rsidR="00A14B9B" w:rsidRPr="002A0D4F" w:rsidRDefault="00A14B9B" w:rsidP="005D59D7">
      <w:pPr>
        <w:pStyle w:val="UZEINormaln"/>
      </w:pPr>
      <w:r w:rsidRPr="002A0D4F">
        <w:rPr>
          <w:color w:val="000000" w:themeColor="text1"/>
        </w:rPr>
        <w:t>V </w:t>
      </w:r>
      <w:r w:rsidR="00573AB3">
        <w:rPr>
          <w:color w:val="000000" w:themeColor="text1"/>
        </w:rPr>
        <w:fldChar w:fldCharType="begin"/>
      </w:r>
      <w:r w:rsidR="00573AB3">
        <w:rPr>
          <w:color w:val="000000" w:themeColor="text1"/>
        </w:rPr>
        <w:instrText xml:space="preserve"> REF _Ref81777927 \r \h </w:instrText>
      </w:r>
      <w:r w:rsidR="00573AB3">
        <w:rPr>
          <w:color w:val="000000" w:themeColor="text1"/>
        </w:rPr>
      </w:r>
      <w:r w:rsidR="00573AB3">
        <w:rPr>
          <w:color w:val="000000" w:themeColor="text1"/>
        </w:rPr>
        <w:fldChar w:fldCharType="separate"/>
      </w:r>
      <w:r w:rsidR="00573AB3">
        <w:rPr>
          <w:color w:val="000000" w:themeColor="text1"/>
        </w:rPr>
        <w:t>Tabulka 5</w:t>
      </w:r>
      <w:r w:rsidR="00573AB3">
        <w:rPr>
          <w:color w:val="000000" w:themeColor="text1"/>
        </w:rPr>
        <w:fldChar w:fldCharType="end"/>
      </w:r>
      <w:r w:rsidR="00573AB3">
        <w:rPr>
          <w:color w:val="000000" w:themeColor="text1"/>
        </w:rPr>
        <w:t xml:space="preserve"> </w:t>
      </w:r>
      <w:r w:rsidRPr="002A0D4F">
        <w:rPr>
          <w:color w:val="000000" w:themeColor="text1"/>
        </w:rPr>
        <w:t xml:space="preserve">lze </w:t>
      </w:r>
      <w:r w:rsidRPr="002A0D4F">
        <w:t>vidět vývoj HDP v cenách předchozího roku dle typologie městských a venkovských regionů (NUTS3). Růst HDP v České republice činil v průměru od roku 2009 do roku 2019 3,7 %, v roce 2015, kdy nejvýrazněji posílila ekonomika, dosáhl nejvyšší hodnoty (8,1 %) a nejnižší hodnoty (ve výši -0,8 % v roce 2012). Z hlediska regionů dle typologie městských a venkovských regionů je největší průměrný růst HDP v cenách předchozího roku u regionů převážně městských (4,2 %), následovaný regiony převážně venkovskými (3,6 %) a regiony smíšenými (3,3 %)</w:t>
      </w:r>
      <w:r w:rsidR="00313F36">
        <w:t xml:space="preserve">. </w:t>
      </w:r>
      <w:r w:rsidRPr="002A0D4F">
        <w:t xml:space="preserve">V roce 2019 došlo oproti předchozímu roku ke zvýšení tempa růstu HDP v cenách předchozího roku o 0,4 p. </w:t>
      </w:r>
      <w:proofErr w:type="gramStart"/>
      <w:r w:rsidRPr="002A0D4F">
        <w:t>b – z</w:t>
      </w:r>
      <w:proofErr w:type="gramEnd"/>
      <w:r w:rsidRPr="002A0D4F">
        <w:t xml:space="preserve"> 4,5 % na 4,9 %. </w:t>
      </w:r>
    </w:p>
    <w:p w14:paraId="44261B6F" w14:textId="7E27B106" w:rsidR="00A14B9B" w:rsidRPr="00C37B4B" w:rsidRDefault="00C37B4B" w:rsidP="00C37B4B">
      <w:pPr>
        <w:pStyle w:val="UZEITaB"/>
        <w:rPr>
          <w:rFonts w:eastAsiaTheme="majorEastAsia"/>
        </w:rPr>
      </w:pPr>
      <w:bookmarkStart w:id="347" w:name="_Toc25919999"/>
      <w:r w:rsidRPr="00C37B4B">
        <w:rPr>
          <w:rFonts w:eastAsiaTheme="majorEastAsia"/>
        </w:rPr>
        <w:t xml:space="preserve"> </w:t>
      </w:r>
      <w:bookmarkStart w:id="348" w:name="_Ref81777927"/>
      <w:bookmarkStart w:id="349" w:name="_Toc81815322"/>
      <w:bookmarkStart w:id="350" w:name="_Toc81817000"/>
      <w:bookmarkStart w:id="351" w:name="_Toc81817513"/>
      <w:r w:rsidR="00A14B9B" w:rsidRPr="00C37B4B">
        <w:rPr>
          <w:rFonts w:eastAsiaTheme="majorEastAsia"/>
        </w:rPr>
        <w:t>Vývoj HDP v cenách předchozího roku v krajích ČR v letech 2009–2019 v mil. Kč</w:t>
      </w:r>
      <w:bookmarkEnd w:id="347"/>
      <w:bookmarkEnd w:id="348"/>
      <w:bookmarkEnd w:id="349"/>
      <w:bookmarkEnd w:id="350"/>
      <w:bookmarkEnd w:id="351"/>
    </w:p>
    <w:p w14:paraId="04F73E0E" w14:textId="77777777" w:rsidR="00A14B9B" w:rsidRPr="002A0D4F" w:rsidRDefault="00A14B9B" w:rsidP="00464AA2">
      <w:pPr>
        <w:pStyle w:val="UZEIZdroj"/>
      </w:pPr>
      <w:r w:rsidRPr="002A0D4F">
        <w:rPr>
          <w:noProof/>
          <w:lang w:eastAsia="cs-CZ"/>
        </w:rPr>
        <w:drawing>
          <wp:inline distT="0" distB="0" distL="0" distR="0" wp14:anchorId="1450BD14" wp14:editId="787273F1">
            <wp:extent cx="5760720" cy="2117725"/>
            <wp:effectExtent l="0" t="0" r="0" b="0"/>
            <wp:docPr id="1858804145" name="Obráze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9"/>
                    <pic:cNvPicPr/>
                  </pic:nvPicPr>
                  <pic:blipFill>
                    <a:blip r:embed="rId37">
                      <a:extLst>
                        <a:ext uri="{28A0092B-C50C-407E-A947-70E740481C1C}">
                          <a14:useLocalDpi xmlns:a14="http://schemas.microsoft.com/office/drawing/2010/main" val="0"/>
                        </a:ext>
                      </a:extLst>
                    </a:blip>
                    <a:stretch>
                      <a:fillRect/>
                    </a:stretch>
                  </pic:blipFill>
                  <pic:spPr>
                    <a:xfrm>
                      <a:off x="0" y="0"/>
                      <a:ext cx="5760720" cy="2117725"/>
                    </a:xfrm>
                    <a:prstGeom prst="rect">
                      <a:avLst/>
                    </a:prstGeom>
                  </pic:spPr>
                </pic:pic>
              </a:graphicData>
            </a:graphic>
          </wp:inline>
        </w:drawing>
      </w:r>
      <w:r w:rsidRPr="002A0D4F">
        <w:rPr>
          <w:noProof/>
          <w:lang w:eastAsia="cs-CZ"/>
        </w:rPr>
        <w:drawing>
          <wp:inline distT="0" distB="0" distL="0" distR="0" wp14:anchorId="59D6CFEC" wp14:editId="20F375D1">
            <wp:extent cx="5753098" cy="2286000"/>
            <wp:effectExtent l="0" t="0" r="0" b="0"/>
            <wp:docPr id="1016763725" name="Obrázek 1016763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016763725"/>
                    <pic:cNvPicPr/>
                  </pic:nvPicPr>
                  <pic:blipFill>
                    <a:blip r:embed="rId38">
                      <a:extLst>
                        <a:ext uri="{28A0092B-C50C-407E-A947-70E740481C1C}">
                          <a14:useLocalDpi xmlns:a14="http://schemas.microsoft.com/office/drawing/2010/main" val="0"/>
                        </a:ext>
                      </a:extLst>
                    </a:blip>
                    <a:stretch>
                      <a:fillRect/>
                    </a:stretch>
                  </pic:blipFill>
                  <pic:spPr>
                    <a:xfrm>
                      <a:off x="0" y="0"/>
                      <a:ext cx="5753098" cy="2286000"/>
                    </a:xfrm>
                    <a:prstGeom prst="rect">
                      <a:avLst/>
                    </a:prstGeom>
                  </pic:spPr>
                </pic:pic>
              </a:graphicData>
            </a:graphic>
          </wp:inline>
        </w:drawing>
      </w:r>
      <w:r w:rsidRPr="002A0D4F">
        <w:t>Zdroj: ČSÚ (Národní účty)</w:t>
      </w:r>
    </w:p>
    <w:p w14:paraId="5467FC32" w14:textId="0D1EC07E" w:rsidR="00A14B9B" w:rsidRPr="002A0D4F" w:rsidRDefault="00A14B9B" w:rsidP="00464AA2">
      <w:pPr>
        <w:pStyle w:val="UZEINormaln"/>
      </w:pPr>
      <w:r w:rsidRPr="002A0D4F">
        <w:t xml:space="preserve">Podíl HDP v cenách přechozího </w:t>
      </w:r>
      <w:r w:rsidRPr="002A0D4F">
        <w:rPr>
          <w:color w:val="000000" w:themeColor="text1"/>
        </w:rPr>
        <w:t>roku (</w:t>
      </w:r>
      <w:r w:rsidR="00AC0B8C">
        <w:rPr>
          <w:color w:val="000000" w:themeColor="text1"/>
        </w:rPr>
        <w:fldChar w:fldCharType="begin"/>
      </w:r>
      <w:r w:rsidR="00AC0B8C">
        <w:rPr>
          <w:color w:val="000000" w:themeColor="text1"/>
        </w:rPr>
        <w:instrText xml:space="preserve"> REF _Ref81777949 \r \h </w:instrText>
      </w:r>
      <w:r w:rsidR="00AC0B8C">
        <w:rPr>
          <w:color w:val="000000" w:themeColor="text1"/>
        </w:rPr>
      </w:r>
      <w:r w:rsidR="00AC0B8C">
        <w:rPr>
          <w:color w:val="000000" w:themeColor="text1"/>
        </w:rPr>
        <w:fldChar w:fldCharType="separate"/>
      </w:r>
      <w:r w:rsidR="00AC0B8C">
        <w:rPr>
          <w:color w:val="000000" w:themeColor="text1"/>
        </w:rPr>
        <w:t>Tabulka 6</w:t>
      </w:r>
      <w:r w:rsidR="00AC0B8C">
        <w:rPr>
          <w:color w:val="000000" w:themeColor="text1"/>
        </w:rPr>
        <w:fldChar w:fldCharType="end"/>
      </w:r>
      <w:r w:rsidRPr="002A0D4F">
        <w:rPr>
          <w:color w:val="000000" w:themeColor="text1"/>
        </w:rPr>
        <w:t xml:space="preserve">; </w:t>
      </w:r>
      <w:r w:rsidR="00AC0B8C">
        <w:rPr>
          <w:color w:val="000000" w:themeColor="text1"/>
        </w:rPr>
        <w:fldChar w:fldCharType="begin"/>
      </w:r>
      <w:r w:rsidR="00AC0B8C">
        <w:rPr>
          <w:color w:val="000000" w:themeColor="text1"/>
        </w:rPr>
        <w:instrText xml:space="preserve"> REF _Ref81777957 \r \h </w:instrText>
      </w:r>
      <w:r w:rsidR="00AC0B8C">
        <w:rPr>
          <w:color w:val="000000" w:themeColor="text1"/>
        </w:rPr>
      </w:r>
      <w:r w:rsidR="00AC0B8C">
        <w:rPr>
          <w:color w:val="000000" w:themeColor="text1"/>
        </w:rPr>
        <w:fldChar w:fldCharType="separate"/>
      </w:r>
      <w:r w:rsidR="00AC0B8C">
        <w:rPr>
          <w:color w:val="000000" w:themeColor="text1"/>
        </w:rPr>
        <w:t>Obrázek 16</w:t>
      </w:r>
      <w:r w:rsidR="00AC0B8C">
        <w:rPr>
          <w:color w:val="000000" w:themeColor="text1"/>
        </w:rPr>
        <w:fldChar w:fldCharType="end"/>
      </w:r>
      <w:r w:rsidRPr="002A0D4F">
        <w:rPr>
          <w:color w:val="000000" w:themeColor="text1"/>
        </w:rPr>
        <w:t xml:space="preserve">) </w:t>
      </w:r>
      <w:r w:rsidRPr="002A0D4F">
        <w:t xml:space="preserve">je v převážně venkovských regionech nižší, než v regionech převážně městských a smíšených (26,7 % v převážně venkovských proti 38,8 % v převážně městských a 34,5 % v regionech smíšených). Oproti roku 2018 zůstal podíl HDP v cenách předchozího roku stejný ve všech uvedených regionech. </w:t>
      </w:r>
    </w:p>
    <w:p w14:paraId="27BA367F" w14:textId="77777777" w:rsidR="00A00A26" w:rsidRDefault="00A00A26">
      <w:pPr>
        <w:spacing w:after="160" w:line="259" w:lineRule="auto"/>
        <w:jc w:val="left"/>
        <w:rPr>
          <w:rFonts w:eastAsiaTheme="majorEastAsia" w:cs="Arial"/>
          <w:b/>
          <w:color w:val="000000" w:themeColor="text1"/>
          <w:sz w:val="20"/>
          <w:szCs w:val="20"/>
          <w:lang w:val="cs-CZ" w:eastAsia="cs-CZ"/>
        </w:rPr>
      </w:pPr>
      <w:bookmarkStart w:id="352" w:name="_Toc25920000"/>
      <w:r>
        <w:rPr>
          <w:rFonts w:eastAsiaTheme="majorEastAsia"/>
        </w:rPr>
        <w:br w:type="page"/>
      </w:r>
    </w:p>
    <w:p w14:paraId="3442F935" w14:textId="55E75BD1" w:rsidR="00A14B9B" w:rsidRPr="002A0D4F" w:rsidRDefault="00A00A26" w:rsidP="00A00A26">
      <w:pPr>
        <w:pStyle w:val="UZEITaB"/>
        <w:ind w:left="0" w:firstLine="0"/>
        <w:rPr>
          <w:rFonts w:eastAsiaTheme="majorEastAsia"/>
        </w:rPr>
      </w:pPr>
      <w:r w:rsidRPr="002A0D4F">
        <w:rPr>
          <w:rFonts w:eastAsiaTheme="majorEastAsia"/>
        </w:rPr>
        <w:lastRenderedPageBreak/>
        <w:t xml:space="preserve"> </w:t>
      </w:r>
      <w:bookmarkStart w:id="353" w:name="_Ref81777949"/>
      <w:bookmarkStart w:id="354" w:name="_Toc81815323"/>
      <w:bookmarkStart w:id="355" w:name="_Toc81817001"/>
      <w:bookmarkStart w:id="356" w:name="_Toc81817514"/>
      <w:r w:rsidR="00A14B9B" w:rsidRPr="002A0D4F">
        <w:rPr>
          <w:rFonts w:eastAsiaTheme="majorEastAsia"/>
        </w:rPr>
        <w:t xml:space="preserve">Vývoj podílu HDP v cenách předchozího roku dle typologie městských a venkovských regionů (NUTS3) na celkovém HDP v ČR v letech </w:t>
      </w:r>
      <w:bookmarkEnd w:id="352"/>
      <w:r w:rsidR="00A14B9B" w:rsidRPr="002A0D4F">
        <w:rPr>
          <w:rFonts w:eastAsiaTheme="majorEastAsia"/>
        </w:rPr>
        <w:t>2009-2019 (%)</w:t>
      </w:r>
      <w:bookmarkEnd w:id="353"/>
      <w:bookmarkEnd w:id="354"/>
      <w:bookmarkEnd w:id="355"/>
      <w:bookmarkEnd w:id="356"/>
    </w:p>
    <w:p w14:paraId="085F4771" w14:textId="77777777" w:rsidR="00A14B9B" w:rsidRPr="002A0D4F" w:rsidRDefault="00A14B9B" w:rsidP="00A14B9B">
      <w:pPr>
        <w:rPr>
          <w:lang w:val="cs-CZ"/>
        </w:rPr>
      </w:pPr>
    </w:p>
    <w:p w14:paraId="4A445DB7" w14:textId="77777777" w:rsidR="00A14B9B" w:rsidRPr="002A0D4F" w:rsidRDefault="00A14B9B" w:rsidP="00A00A26">
      <w:pPr>
        <w:pStyle w:val="UZEIZdroj"/>
      </w:pPr>
      <w:r w:rsidRPr="002A0D4F">
        <w:rPr>
          <w:noProof/>
          <w:lang w:eastAsia="cs-CZ"/>
        </w:rPr>
        <w:drawing>
          <wp:inline distT="0" distB="0" distL="0" distR="0" wp14:anchorId="36FB87AD" wp14:editId="6A90CCE4">
            <wp:extent cx="5760720" cy="521335"/>
            <wp:effectExtent l="0" t="0" r="0" b="0"/>
            <wp:docPr id="1674484797" name="Obráze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4"/>
                    <pic:cNvPicPr/>
                  </pic:nvPicPr>
                  <pic:blipFill>
                    <a:blip r:embed="rId39">
                      <a:extLst>
                        <a:ext uri="{28A0092B-C50C-407E-A947-70E740481C1C}">
                          <a14:useLocalDpi xmlns:a14="http://schemas.microsoft.com/office/drawing/2010/main" val="0"/>
                        </a:ext>
                      </a:extLst>
                    </a:blip>
                    <a:stretch>
                      <a:fillRect/>
                    </a:stretch>
                  </pic:blipFill>
                  <pic:spPr>
                    <a:xfrm>
                      <a:off x="0" y="0"/>
                      <a:ext cx="5760720" cy="521335"/>
                    </a:xfrm>
                    <a:prstGeom prst="rect">
                      <a:avLst/>
                    </a:prstGeom>
                  </pic:spPr>
                </pic:pic>
              </a:graphicData>
            </a:graphic>
          </wp:inline>
        </w:drawing>
      </w:r>
      <w:r w:rsidRPr="002A0D4F">
        <w:br/>
      </w:r>
      <w:r w:rsidRPr="002A0D4F">
        <w:rPr>
          <w:noProof/>
          <w:lang w:eastAsia="cs-CZ"/>
        </w:rPr>
        <w:drawing>
          <wp:inline distT="0" distB="0" distL="0" distR="0" wp14:anchorId="501126E3" wp14:editId="3D0DA70F">
            <wp:extent cx="5753098" cy="485775"/>
            <wp:effectExtent l="0" t="0" r="0" b="0"/>
            <wp:docPr id="2114481039" name="Obrázek 2114481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114481039"/>
                    <pic:cNvPicPr/>
                  </pic:nvPicPr>
                  <pic:blipFill>
                    <a:blip r:embed="rId40">
                      <a:extLst>
                        <a:ext uri="{28A0092B-C50C-407E-A947-70E740481C1C}">
                          <a14:useLocalDpi xmlns:a14="http://schemas.microsoft.com/office/drawing/2010/main" val="0"/>
                        </a:ext>
                      </a:extLst>
                    </a:blip>
                    <a:stretch>
                      <a:fillRect/>
                    </a:stretch>
                  </pic:blipFill>
                  <pic:spPr>
                    <a:xfrm>
                      <a:off x="0" y="0"/>
                      <a:ext cx="5753098" cy="485775"/>
                    </a:xfrm>
                    <a:prstGeom prst="rect">
                      <a:avLst/>
                    </a:prstGeom>
                  </pic:spPr>
                </pic:pic>
              </a:graphicData>
            </a:graphic>
          </wp:inline>
        </w:drawing>
      </w:r>
      <w:r w:rsidRPr="002A0D4F">
        <w:t>Zdroj: ČSÚ (Národní účty)</w:t>
      </w:r>
    </w:p>
    <w:p w14:paraId="3BCC2101" w14:textId="77777777" w:rsidR="00A14B9B" w:rsidRPr="002A0D4F" w:rsidRDefault="00A14B9B" w:rsidP="00A00A26">
      <w:pPr>
        <w:pStyle w:val="UZEIZdroj"/>
      </w:pPr>
      <w:r w:rsidRPr="002A0D4F">
        <w:t xml:space="preserve">Zpracování: ÚZEI </w:t>
      </w:r>
    </w:p>
    <w:p w14:paraId="2173BC75" w14:textId="3EAF794E" w:rsidR="00A14B9B" w:rsidRPr="002A0D4F" w:rsidRDefault="00A14B9B" w:rsidP="00A00A26">
      <w:pPr>
        <w:pStyle w:val="UZEIObr"/>
        <w:ind w:left="0" w:firstLine="0"/>
        <w:rPr>
          <w:rFonts w:eastAsiaTheme="majorEastAsia"/>
        </w:rPr>
      </w:pPr>
      <w:bookmarkStart w:id="357" w:name="_Toc525727628"/>
      <w:bookmarkStart w:id="358" w:name="_Toc525735915"/>
      <w:bookmarkStart w:id="359" w:name="_Toc25919858"/>
      <w:bookmarkStart w:id="360" w:name="_Ref81777957"/>
      <w:bookmarkStart w:id="361" w:name="_Toc81815397"/>
      <w:bookmarkStart w:id="362" w:name="_Toc81817602"/>
      <w:r w:rsidRPr="002A0D4F">
        <w:rPr>
          <w:rFonts w:eastAsiaTheme="majorEastAsia"/>
        </w:rPr>
        <w:t>Vývoj podílu HDP v cenách předchozího roku dle typologie městských a venkovských regionů (NUTS3) na celkovém HDP v ČR v letech 2009–2019 (%)</w:t>
      </w:r>
      <w:bookmarkEnd w:id="357"/>
      <w:bookmarkEnd w:id="358"/>
      <w:bookmarkEnd w:id="359"/>
      <w:bookmarkEnd w:id="360"/>
      <w:bookmarkEnd w:id="361"/>
      <w:bookmarkEnd w:id="362"/>
    </w:p>
    <w:p w14:paraId="7011880D" w14:textId="77777777" w:rsidR="00A14B9B" w:rsidRPr="002A0D4F" w:rsidRDefault="00A14B9B" w:rsidP="00A00A26">
      <w:pPr>
        <w:pStyle w:val="UZEIZdroj"/>
      </w:pPr>
      <w:r w:rsidRPr="002A0D4F">
        <w:rPr>
          <w:noProof/>
          <w:lang w:eastAsia="cs-CZ"/>
        </w:rPr>
        <w:drawing>
          <wp:inline distT="0" distB="0" distL="0" distR="0" wp14:anchorId="4FCEC70F" wp14:editId="4AB777C5">
            <wp:extent cx="5000625" cy="1866900"/>
            <wp:effectExtent l="0" t="0" r="0" b="0"/>
            <wp:docPr id="1085196515" name="Obrázek 1085196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085196515"/>
                    <pic:cNvPicPr/>
                  </pic:nvPicPr>
                  <pic:blipFill>
                    <a:blip r:embed="rId41">
                      <a:extLst>
                        <a:ext uri="{28A0092B-C50C-407E-A947-70E740481C1C}">
                          <a14:useLocalDpi xmlns:a14="http://schemas.microsoft.com/office/drawing/2010/main" val="0"/>
                        </a:ext>
                      </a:extLst>
                    </a:blip>
                    <a:stretch>
                      <a:fillRect/>
                    </a:stretch>
                  </pic:blipFill>
                  <pic:spPr>
                    <a:xfrm>
                      <a:off x="0" y="0"/>
                      <a:ext cx="5000625" cy="1866900"/>
                    </a:xfrm>
                    <a:prstGeom prst="rect">
                      <a:avLst/>
                    </a:prstGeom>
                  </pic:spPr>
                </pic:pic>
              </a:graphicData>
            </a:graphic>
          </wp:inline>
        </w:drawing>
      </w:r>
      <w:r w:rsidRPr="002A0D4F">
        <w:br/>
        <w:t>Zdroj: ČSÚ (Národní účty)</w:t>
      </w:r>
    </w:p>
    <w:p w14:paraId="0E8809EB" w14:textId="434AB1CF" w:rsidR="00A14B9B" w:rsidRPr="002A0D4F" w:rsidRDefault="00A14B9B" w:rsidP="00A00A26">
      <w:pPr>
        <w:pStyle w:val="UZEINormaln"/>
      </w:pPr>
      <w:r w:rsidRPr="002A0D4F">
        <w:t xml:space="preserve">Pro reálné srovnání ekonomické úrovně zemí EU se obvykle používá měrná jednotka PPS (standard kupní síly). Dle </w:t>
      </w:r>
      <w:proofErr w:type="spellStart"/>
      <w:r w:rsidRPr="002A0D4F">
        <w:t>Eurostatu</w:t>
      </w:r>
      <w:proofErr w:type="spellEnd"/>
      <w:r w:rsidRPr="002A0D4F">
        <w:t xml:space="preserve"> (</w:t>
      </w:r>
      <w:r w:rsidR="00AC0B8C">
        <w:fldChar w:fldCharType="begin"/>
      </w:r>
      <w:r w:rsidR="00AC0B8C">
        <w:instrText xml:space="preserve"> REF _Ref81777973 \r \h </w:instrText>
      </w:r>
      <w:r w:rsidR="00AC0B8C">
        <w:fldChar w:fldCharType="separate"/>
      </w:r>
      <w:r w:rsidR="00AC0B8C">
        <w:t>Tabulka 7</w:t>
      </w:r>
      <w:r w:rsidR="00AC0B8C">
        <w:fldChar w:fldCharType="end"/>
      </w:r>
      <w:r w:rsidRPr="002A0D4F">
        <w:t>) byl reálný ekonomický výkon celé ČR v roce 2019 na 92,2 % průměru celé EU. Nad 75 % se umístily kraje Středočeský, Plzeňský, Zlínský, Královéhradecký, Jihomoravský i hlavní město Praha. Praha, jakožto šestý nejrozvinutější region v Evropské unii (ČSÚ, 2016), vykazovala v roce 2019 reálný ekonomický výkon na necelých 204 % průměru celé EU. Regionem s nejnižším ekonomickým výkonem (ve srovnání s EU) byl region Karlovarský (58,4 %).</w:t>
      </w:r>
    </w:p>
    <w:p w14:paraId="45A132FF" w14:textId="77777777" w:rsidR="00A00A26" w:rsidRDefault="00A00A26">
      <w:pPr>
        <w:spacing w:after="160" w:line="259" w:lineRule="auto"/>
        <w:jc w:val="left"/>
        <w:rPr>
          <w:rFonts w:eastAsiaTheme="majorEastAsia" w:cs="Arial"/>
          <w:b/>
          <w:color w:val="000000" w:themeColor="text1"/>
          <w:sz w:val="20"/>
          <w:szCs w:val="20"/>
          <w:lang w:val="cs-CZ" w:eastAsia="cs-CZ"/>
        </w:rPr>
      </w:pPr>
      <w:bookmarkStart w:id="363" w:name="_Toc25920001"/>
      <w:r>
        <w:rPr>
          <w:rFonts w:eastAsiaTheme="majorEastAsia"/>
        </w:rPr>
        <w:br w:type="page"/>
      </w:r>
    </w:p>
    <w:p w14:paraId="262470BF" w14:textId="76B98145" w:rsidR="00A14B9B" w:rsidRPr="00A00A26" w:rsidRDefault="00A14B9B" w:rsidP="00A00A26">
      <w:pPr>
        <w:pStyle w:val="UZEITaB"/>
        <w:ind w:left="0" w:firstLine="0"/>
        <w:rPr>
          <w:rFonts w:eastAsiaTheme="majorEastAsia"/>
        </w:rPr>
      </w:pPr>
      <w:bookmarkStart w:id="364" w:name="_Ref81777973"/>
      <w:bookmarkStart w:id="365" w:name="_Toc81815324"/>
      <w:bookmarkStart w:id="366" w:name="_Toc81817002"/>
      <w:bookmarkStart w:id="367" w:name="_Toc81817515"/>
      <w:r w:rsidRPr="00A00A26">
        <w:rPr>
          <w:rFonts w:eastAsiaTheme="majorEastAsia"/>
        </w:rPr>
        <w:lastRenderedPageBreak/>
        <w:t>Hrubý domácí produkt na 1 obyvatele ve standardu kupní síly (PPS) v letech 2009–2019 dle typologie městských a venkovských regionů (NUTS3). (V %; EU 28 = 100 %)</w:t>
      </w:r>
      <w:bookmarkEnd w:id="363"/>
      <w:bookmarkEnd w:id="364"/>
      <w:bookmarkEnd w:id="365"/>
      <w:bookmarkEnd w:id="366"/>
      <w:bookmarkEnd w:id="367"/>
      <w:r w:rsidRPr="00A00A26">
        <w:rPr>
          <w:rFonts w:eastAsiaTheme="majorEastAsia"/>
        </w:rPr>
        <w:t xml:space="preserve"> </w:t>
      </w:r>
    </w:p>
    <w:p w14:paraId="0A6E277D" w14:textId="77777777" w:rsidR="00A14B9B" w:rsidRPr="002A0D4F" w:rsidRDefault="00A14B9B" w:rsidP="007D6547">
      <w:pPr>
        <w:pStyle w:val="UZEINormaln"/>
        <w:rPr>
          <w:rFonts w:eastAsiaTheme="majorEastAsia"/>
          <w:i/>
          <w:iCs/>
        </w:rPr>
      </w:pPr>
      <w:r w:rsidRPr="002A0D4F">
        <w:rPr>
          <w:rFonts w:eastAsiaTheme="majorEastAsia"/>
          <w:noProof/>
        </w:rPr>
        <w:drawing>
          <wp:inline distT="0" distB="0" distL="0" distR="0" wp14:anchorId="7B7A9AED" wp14:editId="2996788D">
            <wp:extent cx="5760720" cy="2974729"/>
            <wp:effectExtent l="0" t="0" r="0" b="0"/>
            <wp:docPr id="3022920" name="Obrázek 3022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760720" cy="2974729"/>
                    </a:xfrm>
                    <a:prstGeom prst="rect">
                      <a:avLst/>
                    </a:prstGeom>
                    <a:noFill/>
                    <a:ln>
                      <a:noFill/>
                    </a:ln>
                  </pic:spPr>
                </pic:pic>
              </a:graphicData>
            </a:graphic>
          </wp:inline>
        </w:drawing>
      </w:r>
      <w:r w:rsidRPr="007D6547">
        <w:rPr>
          <w:noProof/>
        </w:rPr>
        <w:drawing>
          <wp:inline distT="0" distB="0" distL="0" distR="0" wp14:anchorId="0C9B75D8" wp14:editId="430490EC">
            <wp:extent cx="5753098" cy="2962275"/>
            <wp:effectExtent l="0" t="0" r="0" b="0"/>
            <wp:docPr id="928735269" name="Picture 1692106848" title="Vkládá se obráze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2106848"/>
                    <pic:cNvPicPr/>
                  </pic:nvPicPr>
                  <pic:blipFill>
                    <a:blip r:embed="rId43">
                      <a:extLst>
                        <a:ext uri="{28A0092B-C50C-407E-A947-70E740481C1C}">
                          <a14:useLocalDpi xmlns:a14="http://schemas.microsoft.com/office/drawing/2010/main" val="0"/>
                        </a:ext>
                      </a:extLst>
                    </a:blip>
                    <a:stretch>
                      <a:fillRect/>
                    </a:stretch>
                  </pic:blipFill>
                  <pic:spPr>
                    <a:xfrm>
                      <a:off x="0" y="0"/>
                      <a:ext cx="5753098" cy="2962275"/>
                    </a:xfrm>
                    <a:prstGeom prst="rect">
                      <a:avLst/>
                    </a:prstGeom>
                  </pic:spPr>
                </pic:pic>
              </a:graphicData>
            </a:graphic>
          </wp:inline>
        </w:drawing>
      </w:r>
      <w:r w:rsidRPr="007D6547">
        <w:rPr>
          <w:noProof/>
        </w:rPr>
        <w:lastRenderedPageBreak/>
        <w:drawing>
          <wp:inline distT="0" distB="0" distL="0" distR="0" wp14:anchorId="21388314" wp14:editId="10096BD6">
            <wp:extent cx="5753098" cy="3181350"/>
            <wp:effectExtent l="0" t="0" r="0" b="0"/>
            <wp:docPr id="226805611" name="Obrázek 226805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26805611"/>
                    <pic:cNvPicPr/>
                  </pic:nvPicPr>
                  <pic:blipFill>
                    <a:blip r:embed="rId44">
                      <a:extLst>
                        <a:ext uri="{28A0092B-C50C-407E-A947-70E740481C1C}">
                          <a14:useLocalDpi xmlns:a14="http://schemas.microsoft.com/office/drawing/2010/main" val="0"/>
                        </a:ext>
                      </a:extLst>
                    </a:blip>
                    <a:stretch>
                      <a:fillRect/>
                    </a:stretch>
                  </pic:blipFill>
                  <pic:spPr>
                    <a:xfrm>
                      <a:off x="0" y="0"/>
                      <a:ext cx="5753098" cy="3181350"/>
                    </a:xfrm>
                    <a:prstGeom prst="rect">
                      <a:avLst/>
                    </a:prstGeom>
                  </pic:spPr>
                </pic:pic>
              </a:graphicData>
            </a:graphic>
          </wp:inline>
        </w:drawing>
      </w:r>
      <w:r w:rsidRPr="00A00A26">
        <w:rPr>
          <w:rFonts w:eastAsiaTheme="majorEastAsia"/>
        </w:rPr>
        <w:t xml:space="preserve">Zdroj: </w:t>
      </w:r>
      <w:proofErr w:type="spellStart"/>
      <w:r w:rsidRPr="00A00A26">
        <w:rPr>
          <w:rFonts w:eastAsiaTheme="majorEastAsia"/>
        </w:rPr>
        <w:t>Eurostat</w:t>
      </w:r>
      <w:proofErr w:type="spellEnd"/>
    </w:p>
    <w:p w14:paraId="3EED9132" w14:textId="77777777" w:rsidR="00A14B9B" w:rsidRPr="002A0D4F" w:rsidRDefault="00A14B9B" w:rsidP="00A14B9B">
      <w:pPr>
        <w:spacing w:after="200" w:line="276" w:lineRule="auto"/>
        <w:rPr>
          <w:rFonts w:ascii="Arial" w:hAnsi="Arial" w:cs="Arial"/>
          <w:b/>
          <w:i/>
          <w:sz w:val="20"/>
          <w:highlight w:val="yellow"/>
          <w:lang w:val="cs-CZ"/>
        </w:rPr>
      </w:pPr>
    </w:p>
    <w:p w14:paraId="5207E8E1" w14:textId="77777777" w:rsidR="00A00A26" w:rsidRDefault="00A00A26">
      <w:pPr>
        <w:spacing w:after="160" w:line="259" w:lineRule="auto"/>
        <w:jc w:val="left"/>
        <w:rPr>
          <w:rFonts w:eastAsiaTheme="majorEastAsia" w:cs="Arial"/>
          <w:b/>
          <w:color w:val="000000" w:themeColor="text1"/>
          <w:sz w:val="20"/>
          <w:szCs w:val="20"/>
          <w:lang w:val="cs-CZ" w:eastAsia="cs-CZ"/>
        </w:rPr>
      </w:pPr>
      <w:bookmarkStart w:id="368" w:name="_Toc25920002"/>
      <w:r>
        <w:rPr>
          <w:rFonts w:eastAsiaTheme="majorEastAsia"/>
        </w:rPr>
        <w:br w:type="page"/>
      </w:r>
    </w:p>
    <w:p w14:paraId="3AE7FA24" w14:textId="3A866CC7" w:rsidR="00A14B9B" w:rsidRPr="00A00A26" w:rsidRDefault="00A14B9B" w:rsidP="00A00A26">
      <w:pPr>
        <w:pStyle w:val="UZEITaB"/>
        <w:ind w:left="0" w:firstLine="0"/>
        <w:rPr>
          <w:rFonts w:eastAsiaTheme="majorEastAsia"/>
        </w:rPr>
      </w:pPr>
      <w:bookmarkStart w:id="369" w:name="_Ref81778008"/>
      <w:bookmarkStart w:id="370" w:name="_Toc81815325"/>
      <w:bookmarkStart w:id="371" w:name="_Toc81817003"/>
      <w:bookmarkStart w:id="372" w:name="_Toc81817516"/>
      <w:r w:rsidRPr="00A00A26">
        <w:rPr>
          <w:rFonts w:eastAsiaTheme="majorEastAsia"/>
        </w:rPr>
        <w:lastRenderedPageBreak/>
        <w:t>Vývoj HDP na obyvatele v běžných cenách dle typologie městských a venkovských regionů (NUTS3) v letech 2009-2019 v tis. Kč</w:t>
      </w:r>
      <w:bookmarkEnd w:id="368"/>
      <w:bookmarkEnd w:id="369"/>
      <w:bookmarkEnd w:id="370"/>
      <w:bookmarkEnd w:id="371"/>
      <w:bookmarkEnd w:id="372"/>
    </w:p>
    <w:p w14:paraId="447226CF" w14:textId="77777777" w:rsidR="007D6547" w:rsidRDefault="00A14B9B" w:rsidP="007D6547">
      <w:pPr>
        <w:pStyle w:val="UZEINormaln"/>
        <w:rPr>
          <w:rFonts w:asciiTheme="majorHAnsi" w:eastAsiaTheme="majorEastAsia" w:hAnsiTheme="majorHAnsi" w:cstheme="majorBidi"/>
          <w:i/>
          <w:iCs/>
          <w:sz w:val="18"/>
          <w:szCs w:val="18"/>
        </w:rPr>
      </w:pPr>
      <w:r w:rsidRPr="002A0D4F">
        <w:rPr>
          <w:rFonts w:eastAsiaTheme="majorEastAsia"/>
          <w:noProof/>
        </w:rPr>
        <w:drawing>
          <wp:inline distT="0" distB="0" distL="0" distR="0" wp14:anchorId="547AB4DA" wp14:editId="0278ED4F">
            <wp:extent cx="5760720" cy="2857103"/>
            <wp:effectExtent l="0" t="0" r="0" b="635"/>
            <wp:docPr id="3022921" name="Obrázek 3022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760720" cy="2857103"/>
                    </a:xfrm>
                    <a:prstGeom prst="rect">
                      <a:avLst/>
                    </a:prstGeom>
                    <a:noFill/>
                    <a:ln>
                      <a:noFill/>
                    </a:ln>
                  </pic:spPr>
                </pic:pic>
              </a:graphicData>
            </a:graphic>
          </wp:inline>
        </w:drawing>
      </w:r>
      <w:r w:rsidRPr="007D6547">
        <w:rPr>
          <w:noProof/>
        </w:rPr>
        <w:drawing>
          <wp:inline distT="0" distB="0" distL="0" distR="0" wp14:anchorId="7434A891" wp14:editId="2333BDB6">
            <wp:extent cx="5753098" cy="2638425"/>
            <wp:effectExtent l="0" t="0" r="0" b="0"/>
            <wp:docPr id="321572092" name="Picture 1738786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8786336"/>
                    <pic:cNvPicPr/>
                  </pic:nvPicPr>
                  <pic:blipFill>
                    <a:blip r:embed="rId46">
                      <a:extLst>
                        <a:ext uri="{28A0092B-C50C-407E-A947-70E740481C1C}">
                          <a14:useLocalDpi xmlns:a14="http://schemas.microsoft.com/office/drawing/2010/main" val="0"/>
                        </a:ext>
                      </a:extLst>
                    </a:blip>
                    <a:stretch>
                      <a:fillRect/>
                    </a:stretch>
                  </pic:blipFill>
                  <pic:spPr>
                    <a:xfrm>
                      <a:off x="0" y="0"/>
                      <a:ext cx="5753098" cy="2638425"/>
                    </a:xfrm>
                    <a:prstGeom prst="rect">
                      <a:avLst/>
                    </a:prstGeom>
                  </pic:spPr>
                </pic:pic>
              </a:graphicData>
            </a:graphic>
          </wp:inline>
        </w:drawing>
      </w:r>
      <w:r w:rsidRPr="007D6547">
        <w:rPr>
          <w:noProof/>
        </w:rPr>
        <w:drawing>
          <wp:inline distT="0" distB="0" distL="0" distR="0" wp14:anchorId="1301C36A" wp14:editId="45B27A3F">
            <wp:extent cx="5753098" cy="2724150"/>
            <wp:effectExtent l="0" t="0" r="0" b="0"/>
            <wp:docPr id="1221710901" name="Obrázek 1221710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221710901"/>
                    <pic:cNvPicPr/>
                  </pic:nvPicPr>
                  <pic:blipFill>
                    <a:blip r:embed="rId47">
                      <a:extLst>
                        <a:ext uri="{28A0092B-C50C-407E-A947-70E740481C1C}">
                          <a14:useLocalDpi xmlns:a14="http://schemas.microsoft.com/office/drawing/2010/main" val="0"/>
                        </a:ext>
                      </a:extLst>
                    </a:blip>
                    <a:stretch>
                      <a:fillRect/>
                    </a:stretch>
                  </pic:blipFill>
                  <pic:spPr>
                    <a:xfrm>
                      <a:off x="0" y="0"/>
                      <a:ext cx="5753098" cy="2724150"/>
                    </a:xfrm>
                    <a:prstGeom prst="rect">
                      <a:avLst/>
                    </a:prstGeom>
                  </pic:spPr>
                </pic:pic>
              </a:graphicData>
            </a:graphic>
          </wp:inline>
        </w:drawing>
      </w:r>
      <w:r w:rsidRPr="002A0D4F">
        <w:rPr>
          <w:rFonts w:asciiTheme="majorHAnsi" w:eastAsiaTheme="majorEastAsia" w:hAnsiTheme="majorHAnsi" w:cstheme="majorBidi"/>
          <w:i/>
          <w:iCs/>
          <w:sz w:val="18"/>
          <w:szCs w:val="18"/>
        </w:rPr>
        <w:t>Zdroj: ČSÚ (Národní účty)</w:t>
      </w:r>
    </w:p>
    <w:p w14:paraId="0E37AF39" w14:textId="4E65EEA8" w:rsidR="00A14B9B" w:rsidRPr="00A00A26" w:rsidRDefault="00A14B9B" w:rsidP="007D6547">
      <w:pPr>
        <w:pStyle w:val="UZEINormaln"/>
        <w:rPr>
          <w:rFonts w:asciiTheme="majorHAnsi" w:eastAsiaTheme="majorEastAsia" w:hAnsiTheme="majorHAnsi" w:cstheme="majorBidi"/>
          <w:i/>
          <w:iCs/>
          <w:sz w:val="18"/>
          <w:szCs w:val="18"/>
        </w:rPr>
      </w:pPr>
      <w:r w:rsidRPr="00A00A26">
        <w:rPr>
          <w:rStyle w:val="UZEINormalnChar"/>
        </w:rPr>
        <w:lastRenderedPageBreak/>
        <w:t xml:space="preserve">Vývoj HDP na obyvatele v běžných cenách, který je číselně zobrazen v </w:t>
      </w:r>
      <w:r w:rsidR="00AC0B8C">
        <w:rPr>
          <w:rStyle w:val="UZEINormalnChar"/>
        </w:rPr>
        <w:fldChar w:fldCharType="begin"/>
      </w:r>
      <w:r w:rsidR="00AC0B8C">
        <w:rPr>
          <w:rStyle w:val="UZEINormalnChar"/>
        </w:rPr>
        <w:instrText xml:space="preserve"> REF _Ref81778008 \r \h </w:instrText>
      </w:r>
      <w:r w:rsidR="00AC0B8C">
        <w:rPr>
          <w:rStyle w:val="UZEINormalnChar"/>
        </w:rPr>
      </w:r>
      <w:r w:rsidR="00AC0B8C">
        <w:rPr>
          <w:rStyle w:val="UZEINormalnChar"/>
        </w:rPr>
        <w:fldChar w:fldCharType="separate"/>
      </w:r>
      <w:r w:rsidR="00AC0B8C">
        <w:rPr>
          <w:rStyle w:val="UZEINormalnChar"/>
        </w:rPr>
        <w:t>Tabulka 8</w:t>
      </w:r>
      <w:r w:rsidR="00AC0B8C">
        <w:rPr>
          <w:rStyle w:val="UZEINormalnChar"/>
        </w:rPr>
        <w:fldChar w:fldCharType="end"/>
      </w:r>
      <w:r w:rsidRPr="00A00A26">
        <w:rPr>
          <w:rStyle w:val="UZEINormalnChar"/>
        </w:rPr>
        <w:t xml:space="preserve"> a graficky znázorněn na </w:t>
      </w:r>
      <w:r w:rsidR="00AC0B8C">
        <w:rPr>
          <w:rStyle w:val="UZEINormalnChar"/>
        </w:rPr>
        <w:fldChar w:fldCharType="begin"/>
      </w:r>
      <w:r w:rsidR="00AC0B8C">
        <w:rPr>
          <w:rStyle w:val="UZEINormalnChar"/>
        </w:rPr>
        <w:instrText xml:space="preserve"> REF _Ref81778000 \r \h </w:instrText>
      </w:r>
      <w:r w:rsidR="00AC0B8C">
        <w:rPr>
          <w:rStyle w:val="UZEINormalnChar"/>
        </w:rPr>
      </w:r>
      <w:r w:rsidR="00AC0B8C">
        <w:rPr>
          <w:rStyle w:val="UZEINormalnChar"/>
        </w:rPr>
        <w:fldChar w:fldCharType="separate"/>
      </w:r>
      <w:r w:rsidR="00AC0B8C">
        <w:rPr>
          <w:rStyle w:val="UZEINormalnChar"/>
        </w:rPr>
        <w:t>Obrázek 17</w:t>
      </w:r>
      <w:r w:rsidR="00AC0B8C">
        <w:rPr>
          <w:rStyle w:val="UZEINormalnChar"/>
        </w:rPr>
        <w:fldChar w:fldCharType="end"/>
      </w:r>
      <w:r w:rsidRPr="00A00A26">
        <w:rPr>
          <w:rStyle w:val="UZEINormalnChar"/>
        </w:rPr>
        <w:t>, ukazuje dlouhodobý trend růstu, zaznamenávající poměrně dynamický růst po celé sledované období téměř ve všech krajích ČR. Z pohledu typologie městských a venkovských regionů (NUTS3) jsou na tom nejlépe regiony převážně městské – primárně kvůli regionu Hlavní město Praha, kde je HDP na obyvatele více než dvojnásobek (1,19 mil. Kč) HDP na obyvatele regionu Středočeského (484 tis. Kč). O něco lépe než regiony</w:t>
      </w:r>
      <w:r w:rsidR="00A00A26">
        <w:t xml:space="preserve"> </w:t>
      </w:r>
      <w:r w:rsidRPr="002A0D4F">
        <w:t>smíšené (v roce 2019 je průměrný HDP na obyvatele v regionech smíšených 426 tis. Kč) jsou na tom regiony převážně venkovské (v roce 2019 v průměru 441 tis. Kč).</w:t>
      </w:r>
    </w:p>
    <w:p w14:paraId="6F976D7E" w14:textId="1BEB2DA2" w:rsidR="00A14B9B" w:rsidRPr="007D6547" w:rsidRDefault="00A14B9B" w:rsidP="007D6547">
      <w:pPr>
        <w:pStyle w:val="UZEIObr"/>
        <w:rPr>
          <w:rFonts w:eastAsiaTheme="majorEastAsia"/>
        </w:rPr>
      </w:pPr>
      <w:bookmarkStart w:id="373" w:name="_Toc525727629"/>
      <w:bookmarkStart w:id="374" w:name="_Toc525735916"/>
      <w:bookmarkStart w:id="375" w:name="_Toc25919859"/>
      <w:bookmarkStart w:id="376" w:name="_Ref81778000"/>
      <w:bookmarkStart w:id="377" w:name="_Toc81815398"/>
      <w:bookmarkStart w:id="378" w:name="_Toc81817603"/>
      <w:r w:rsidRPr="007D6547">
        <w:rPr>
          <w:rFonts w:eastAsiaTheme="majorEastAsia"/>
        </w:rPr>
        <w:t>Vývoj HDP na obyvatele v běžných cenách v krajích ČR v letech 2009-2019 v tis. Kč</w:t>
      </w:r>
      <w:bookmarkEnd w:id="373"/>
      <w:bookmarkEnd w:id="374"/>
      <w:bookmarkEnd w:id="375"/>
      <w:bookmarkEnd w:id="376"/>
      <w:bookmarkEnd w:id="377"/>
      <w:bookmarkEnd w:id="378"/>
      <w:r w:rsidRPr="007D6547">
        <w:rPr>
          <w:rFonts w:eastAsiaTheme="majorEastAsia"/>
        </w:rPr>
        <w:t xml:space="preserve"> </w:t>
      </w:r>
    </w:p>
    <w:p w14:paraId="1F507EF3" w14:textId="77777777" w:rsidR="00A14B9B" w:rsidRPr="002A0D4F" w:rsidRDefault="00A14B9B" w:rsidP="00A14B9B">
      <w:pPr>
        <w:rPr>
          <w:lang w:val="cs-CZ"/>
        </w:rPr>
      </w:pPr>
      <w:r w:rsidRPr="002A0D4F">
        <w:rPr>
          <w:noProof/>
          <w:lang w:val="cs-CZ" w:eastAsia="cs-CZ"/>
        </w:rPr>
        <w:drawing>
          <wp:inline distT="0" distB="0" distL="0" distR="0" wp14:anchorId="6B089A53" wp14:editId="44156161">
            <wp:extent cx="5753098" cy="2162175"/>
            <wp:effectExtent l="0" t="0" r="0" b="0"/>
            <wp:docPr id="778550089" name="Picture 697328288" title="Vkládá se obráze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7328288"/>
                    <pic:cNvPicPr/>
                  </pic:nvPicPr>
                  <pic:blipFill>
                    <a:blip r:embed="rId48">
                      <a:extLst>
                        <a:ext uri="{28A0092B-C50C-407E-A947-70E740481C1C}">
                          <a14:useLocalDpi xmlns:a14="http://schemas.microsoft.com/office/drawing/2010/main" val="0"/>
                        </a:ext>
                      </a:extLst>
                    </a:blip>
                    <a:stretch>
                      <a:fillRect/>
                    </a:stretch>
                  </pic:blipFill>
                  <pic:spPr>
                    <a:xfrm>
                      <a:off x="0" y="0"/>
                      <a:ext cx="5753098" cy="2162175"/>
                    </a:xfrm>
                    <a:prstGeom prst="rect">
                      <a:avLst/>
                    </a:prstGeom>
                  </pic:spPr>
                </pic:pic>
              </a:graphicData>
            </a:graphic>
          </wp:inline>
        </w:drawing>
      </w:r>
      <w:r w:rsidRPr="002A0D4F">
        <w:rPr>
          <w:noProof/>
          <w:lang w:val="cs-CZ" w:eastAsia="cs-CZ"/>
        </w:rPr>
        <w:drawing>
          <wp:inline distT="0" distB="0" distL="0" distR="0" wp14:anchorId="0345B091" wp14:editId="2393547D">
            <wp:extent cx="5753098" cy="2381250"/>
            <wp:effectExtent l="0" t="0" r="0" b="0"/>
            <wp:docPr id="1958691571" name="Obrázek 1958691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958691571"/>
                    <pic:cNvPicPr/>
                  </pic:nvPicPr>
                  <pic:blipFill>
                    <a:blip r:embed="rId49">
                      <a:extLst>
                        <a:ext uri="{28A0092B-C50C-407E-A947-70E740481C1C}">
                          <a14:useLocalDpi xmlns:a14="http://schemas.microsoft.com/office/drawing/2010/main" val="0"/>
                        </a:ext>
                      </a:extLst>
                    </a:blip>
                    <a:stretch>
                      <a:fillRect/>
                    </a:stretch>
                  </pic:blipFill>
                  <pic:spPr>
                    <a:xfrm>
                      <a:off x="0" y="0"/>
                      <a:ext cx="5753098" cy="2381250"/>
                    </a:xfrm>
                    <a:prstGeom prst="rect">
                      <a:avLst/>
                    </a:prstGeom>
                  </pic:spPr>
                </pic:pic>
              </a:graphicData>
            </a:graphic>
          </wp:inline>
        </w:drawing>
      </w:r>
    </w:p>
    <w:p w14:paraId="6E22F3A3" w14:textId="77777777" w:rsidR="00A14B9B" w:rsidRPr="002A0D4F" w:rsidRDefault="00A14B9B" w:rsidP="00B752A2">
      <w:pPr>
        <w:pStyle w:val="UZEIZdroj"/>
      </w:pPr>
      <w:r w:rsidRPr="002A0D4F">
        <w:t>Zdroj: ČSÚ (Národní účty)</w:t>
      </w:r>
    </w:p>
    <w:p w14:paraId="4DE9995E" w14:textId="77777777" w:rsidR="00A14B9B" w:rsidRPr="002A0D4F" w:rsidRDefault="00A14B9B" w:rsidP="00B752A2">
      <w:pPr>
        <w:pStyle w:val="UZEIZdroj"/>
        <w:rPr>
          <w:sz w:val="18"/>
          <w:szCs w:val="18"/>
        </w:rPr>
      </w:pPr>
      <w:r w:rsidRPr="002A0D4F">
        <w:rPr>
          <w:sz w:val="18"/>
          <w:szCs w:val="18"/>
        </w:rPr>
        <w:t>Zpracování: ÚZEI</w:t>
      </w:r>
    </w:p>
    <w:p w14:paraId="3E15A119" w14:textId="77777777" w:rsidR="00A14B9B" w:rsidRPr="002A0D4F" w:rsidRDefault="00A14B9B" w:rsidP="00B752A2">
      <w:pPr>
        <w:pStyle w:val="UZEINormaln"/>
      </w:pPr>
      <w:r w:rsidRPr="002A0D4F">
        <w:t xml:space="preserve">Hrubá přidaná hodnota (HPH) je rozdílem mezi produkcí a </w:t>
      </w:r>
      <w:proofErr w:type="spellStart"/>
      <w:r w:rsidRPr="002A0D4F">
        <w:t>mezispotřebou</w:t>
      </w:r>
      <w:proofErr w:type="spellEnd"/>
      <w:r w:rsidRPr="002A0D4F">
        <w:t xml:space="preserve"> a od HDP se odlišuje pouze tzv. čistými daněmi na produkty. Jinými slovy: HDP se počítá jako součet hrubé přidané hodnoty jednotlivých odvětví a čistých daní na produkty, které však nejsou rozvrženy do odvětví. Proto nelze přesně rozdělit do jednotlivých odvětví ani HDP. O významu odvětví v národním hospodářství tak vypovídá nejlépe podíl jednotlivých odvětví na HPH (ČSÚ, 2018).</w:t>
      </w:r>
    </w:p>
    <w:p w14:paraId="5ED21445" w14:textId="77777777" w:rsidR="00A14B9B" w:rsidRPr="002A0D4F" w:rsidRDefault="00A14B9B" w:rsidP="00A14B9B">
      <w:pPr>
        <w:pStyle w:val="Titulek"/>
        <w:spacing w:after="0"/>
        <w:rPr>
          <w:rFonts w:asciiTheme="majorHAnsi" w:eastAsiaTheme="majorEastAsia" w:hAnsiTheme="majorHAnsi" w:cstheme="majorBidi"/>
          <w:b w:val="0"/>
          <w:bCs w:val="0"/>
          <w:i/>
          <w:iCs/>
          <w:sz w:val="22"/>
          <w:szCs w:val="22"/>
        </w:rPr>
      </w:pPr>
    </w:p>
    <w:p w14:paraId="1E270D01" w14:textId="77777777" w:rsidR="00B752A2" w:rsidRDefault="00B752A2">
      <w:pPr>
        <w:spacing w:after="160" w:line="259" w:lineRule="auto"/>
        <w:jc w:val="left"/>
        <w:rPr>
          <w:rFonts w:eastAsiaTheme="majorEastAsia" w:cs="Arial"/>
          <w:b/>
          <w:color w:val="000000" w:themeColor="text1"/>
          <w:sz w:val="20"/>
          <w:szCs w:val="20"/>
          <w:lang w:val="cs-CZ" w:eastAsia="cs-CZ"/>
        </w:rPr>
      </w:pPr>
      <w:bookmarkStart w:id="379" w:name="_Toc25920003"/>
      <w:r>
        <w:rPr>
          <w:rFonts w:eastAsiaTheme="majorEastAsia"/>
        </w:rPr>
        <w:br w:type="page"/>
      </w:r>
    </w:p>
    <w:p w14:paraId="3C609340" w14:textId="2AFBEFB0" w:rsidR="00A14B9B" w:rsidRPr="00B752A2" w:rsidRDefault="00A14B9B" w:rsidP="00B752A2">
      <w:pPr>
        <w:pStyle w:val="UZEITaB"/>
        <w:ind w:left="0" w:firstLine="0"/>
        <w:rPr>
          <w:rFonts w:eastAsiaTheme="majorEastAsia"/>
        </w:rPr>
      </w:pPr>
      <w:bookmarkStart w:id="380" w:name="_Ref81778048"/>
      <w:bookmarkStart w:id="381" w:name="_Toc81815326"/>
      <w:bookmarkStart w:id="382" w:name="_Toc81817004"/>
      <w:bookmarkStart w:id="383" w:name="_Toc81817517"/>
      <w:r w:rsidRPr="00B752A2">
        <w:rPr>
          <w:rFonts w:eastAsiaTheme="majorEastAsia"/>
        </w:rPr>
        <w:lastRenderedPageBreak/>
        <w:t>Podíly hrubé přidané hodnoty v sektorech na celkové hrubé přidané hodnotě v NH dle typologie městských a venkovských regionů (NUTS3) v letech 2009–2019 (%).</w:t>
      </w:r>
      <w:bookmarkEnd w:id="379"/>
      <w:bookmarkEnd w:id="380"/>
      <w:bookmarkEnd w:id="381"/>
      <w:bookmarkEnd w:id="382"/>
      <w:bookmarkEnd w:id="383"/>
    </w:p>
    <w:p w14:paraId="5FFDE593" w14:textId="77777777" w:rsidR="00A14B9B" w:rsidRPr="002A0D4F" w:rsidRDefault="00A14B9B" w:rsidP="00B752A2">
      <w:pPr>
        <w:pStyle w:val="UZEIZdroj"/>
      </w:pPr>
      <w:r w:rsidRPr="002A0D4F">
        <w:rPr>
          <w:noProof/>
          <w:lang w:eastAsia="cs-CZ"/>
        </w:rPr>
        <w:drawing>
          <wp:inline distT="0" distB="0" distL="0" distR="0" wp14:anchorId="661D0086" wp14:editId="01A9FF9B">
            <wp:extent cx="5760720" cy="1825958"/>
            <wp:effectExtent l="0" t="0" r="0" b="3175"/>
            <wp:docPr id="3022923" name="Obrázek 3022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760720" cy="1825958"/>
                    </a:xfrm>
                    <a:prstGeom prst="rect">
                      <a:avLst/>
                    </a:prstGeom>
                    <a:noFill/>
                    <a:ln>
                      <a:noFill/>
                    </a:ln>
                  </pic:spPr>
                </pic:pic>
              </a:graphicData>
            </a:graphic>
          </wp:inline>
        </w:drawing>
      </w:r>
      <w:r w:rsidRPr="002A0D4F">
        <w:rPr>
          <w:noProof/>
          <w:lang w:eastAsia="cs-CZ"/>
        </w:rPr>
        <w:drawing>
          <wp:inline distT="0" distB="0" distL="0" distR="0" wp14:anchorId="71BF9880" wp14:editId="5E4A535F">
            <wp:extent cx="5753098" cy="1819275"/>
            <wp:effectExtent l="0" t="0" r="0" b="0"/>
            <wp:docPr id="198436166" name="Picture 1726146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6146563"/>
                    <pic:cNvPicPr/>
                  </pic:nvPicPr>
                  <pic:blipFill>
                    <a:blip r:embed="rId51">
                      <a:extLst>
                        <a:ext uri="{28A0092B-C50C-407E-A947-70E740481C1C}">
                          <a14:useLocalDpi xmlns:a14="http://schemas.microsoft.com/office/drawing/2010/main" val="0"/>
                        </a:ext>
                      </a:extLst>
                    </a:blip>
                    <a:stretch>
                      <a:fillRect/>
                    </a:stretch>
                  </pic:blipFill>
                  <pic:spPr>
                    <a:xfrm>
                      <a:off x="0" y="0"/>
                      <a:ext cx="5753098" cy="1819275"/>
                    </a:xfrm>
                    <a:prstGeom prst="rect">
                      <a:avLst/>
                    </a:prstGeom>
                  </pic:spPr>
                </pic:pic>
              </a:graphicData>
            </a:graphic>
          </wp:inline>
        </w:drawing>
      </w:r>
      <w:r w:rsidRPr="002A0D4F">
        <w:rPr>
          <w:noProof/>
          <w:lang w:eastAsia="cs-CZ"/>
        </w:rPr>
        <w:drawing>
          <wp:inline distT="0" distB="0" distL="0" distR="0" wp14:anchorId="646D460A" wp14:editId="4F24E85D">
            <wp:extent cx="5753098" cy="1952625"/>
            <wp:effectExtent l="0" t="0" r="0" b="0"/>
            <wp:docPr id="2122039494" name="Obrázek 2122039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122039494"/>
                    <pic:cNvPicPr/>
                  </pic:nvPicPr>
                  <pic:blipFill>
                    <a:blip r:embed="rId52">
                      <a:extLst>
                        <a:ext uri="{28A0092B-C50C-407E-A947-70E740481C1C}">
                          <a14:useLocalDpi xmlns:a14="http://schemas.microsoft.com/office/drawing/2010/main" val="0"/>
                        </a:ext>
                      </a:extLst>
                    </a:blip>
                    <a:stretch>
                      <a:fillRect/>
                    </a:stretch>
                  </pic:blipFill>
                  <pic:spPr>
                    <a:xfrm>
                      <a:off x="0" y="0"/>
                      <a:ext cx="5753098" cy="1952625"/>
                    </a:xfrm>
                    <a:prstGeom prst="rect">
                      <a:avLst/>
                    </a:prstGeom>
                  </pic:spPr>
                </pic:pic>
              </a:graphicData>
            </a:graphic>
          </wp:inline>
        </w:drawing>
      </w:r>
      <w:r w:rsidRPr="002A0D4F">
        <w:t>Pozn.: Zemědělství, lesnictví a rybářství (CZ-NACE A), průmysl (CZ-NACE B-F) a služby (CZ-NACE G-U)</w:t>
      </w:r>
    </w:p>
    <w:p w14:paraId="2A5D24C0" w14:textId="77777777" w:rsidR="00A14B9B" w:rsidRPr="002A0D4F" w:rsidRDefault="00A14B9B" w:rsidP="00B752A2">
      <w:pPr>
        <w:pStyle w:val="UZEIZdroj"/>
      </w:pPr>
      <w:r w:rsidRPr="002A0D4F">
        <w:t>Zdroj: ČSÚ (Národní účty)</w:t>
      </w:r>
    </w:p>
    <w:p w14:paraId="5257A640" w14:textId="77777777" w:rsidR="00A14B9B" w:rsidRPr="002A0D4F" w:rsidRDefault="00A14B9B" w:rsidP="00B752A2">
      <w:pPr>
        <w:pStyle w:val="UZEIZdroj"/>
      </w:pPr>
      <w:r w:rsidRPr="002A0D4F">
        <w:t>Zpracování: ÚZEI</w:t>
      </w:r>
    </w:p>
    <w:p w14:paraId="7FFA68E4" w14:textId="0EE6F87A" w:rsidR="00A14B9B" w:rsidRPr="002A0D4F" w:rsidRDefault="00A14B9B" w:rsidP="00B752A2">
      <w:pPr>
        <w:pStyle w:val="UZEINormaln"/>
      </w:pPr>
      <w:bookmarkStart w:id="384" w:name="_Toc525727630"/>
      <w:bookmarkStart w:id="385" w:name="_Toc525735917"/>
      <w:r w:rsidRPr="002A0D4F">
        <w:t>Podíl hrubé přidané hodnoty v zemědělství, lesnictví a rybářství (CZ-NACE A) na celkové hrubé přidané hodnotě v NH je oproti ostatním sektorům nejnižší ve všech třech regionech dle typologie městských a venkovských regionů (převážně městské v průměru let 2009–2019 1,1 %, převážně venkovské 3,8 % a smíšené 2,3 %). Zároveň je tento podíl ze všech tří regionů nejvyšší u regionů převážně venkovských – v roce 2019 je tento podíl 3,8 % (</w:t>
      </w:r>
      <w:r w:rsidR="0021233C">
        <w:fldChar w:fldCharType="begin"/>
      </w:r>
      <w:r w:rsidR="0021233C">
        <w:instrText xml:space="preserve"> REF _Ref81778048 \r \h </w:instrText>
      </w:r>
      <w:r w:rsidR="0021233C">
        <w:fldChar w:fldCharType="separate"/>
      </w:r>
      <w:r w:rsidR="0021233C">
        <w:t>Tabulka 9</w:t>
      </w:r>
      <w:r w:rsidR="0021233C">
        <w:fldChar w:fldCharType="end"/>
      </w:r>
      <w:r w:rsidRPr="002A0D4F">
        <w:t>).</w:t>
      </w:r>
    </w:p>
    <w:p w14:paraId="4496F175" w14:textId="11B5CB26" w:rsidR="00A14B9B" w:rsidRPr="002A0D4F" w:rsidRDefault="00A14B9B" w:rsidP="00B752A2">
      <w:pPr>
        <w:pStyle w:val="UZEINormaln"/>
      </w:pPr>
      <w:r w:rsidRPr="002A0D4F">
        <w:t xml:space="preserve">Dle Souhrnného zemědělského účtu (ČSÚ), který je základním metodologickým nástrojem pro měření ekonomické velikosti a výkonnosti odvětví zemědělství, resp. zemědělské prvovýroby, v rámci národního hospodářství, lze zjistit vývoj hrubé přidané hodnoty (HPH) v letech 2009-2020. Hrubá přidaná hodnota zde reprezentuje výsledný efekt odvětví zemědělství měřený rozdílem konečné produkce zemědělského odvětví a </w:t>
      </w:r>
      <w:proofErr w:type="spellStart"/>
      <w:r w:rsidRPr="002A0D4F">
        <w:t>mezispotřeby</w:t>
      </w:r>
      <w:proofErr w:type="spellEnd"/>
      <w:r w:rsidRPr="002A0D4F">
        <w:t>. Vývoj hrubé přidané hodnoty v zemědělství mezi rokem 2009 a 2020 byl diferencovaný (</w:t>
      </w:r>
      <w:r w:rsidR="0021233C">
        <w:fldChar w:fldCharType="begin"/>
      </w:r>
      <w:r w:rsidR="0021233C">
        <w:instrText xml:space="preserve"> REF _Ref81778061 \r \h </w:instrText>
      </w:r>
      <w:r w:rsidR="0021233C">
        <w:fldChar w:fldCharType="separate"/>
      </w:r>
      <w:r w:rsidR="0021233C">
        <w:t>Obrázek 18</w:t>
      </w:r>
      <w:r w:rsidR="0021233C">
        <w:fldChar w:fldCharType="end"/>
      </w:r>
      <w:r w:rsidRPr="002A0D4F">
        <w:t xml:space="preserve">). Ve stálých cenách roku 2000 HPH střídavě roste a klesá (kromě let 2012-2014, kdy HPH pouze rostla, a </w:t>
      </w:r>
      <w:r w:rsidRPr="002A0D4F">
        <w:lastRenderedPageBreak/>
        <w:t>let 2016-2018, kdy pouze klesala).  V posledních dvou sledovaných letech (2019, 2020) lze vidět opětovný nárůst.</w:t>
      </w:r>
    </w:p>
    <w:p w14:paraId="10FD5632" w14:textId="7643ED75" w:rsidR="00A14B9B" w:rsidRPr="00AB1E98" w:rsidRDefault="00A14B9B" w:rsidP="00AB1E98">
      <w:pPr>
        <w:pStyle w:val="UZEIObr"/>
        <w:rPr>
          <w:rFonts w:eastAsiaTheme="majorEastAsia"/>
        </w:rPr>
      </w:pPr>
      <w:bookmarkStart w:id="386" w:name="_Toc25919860"/>
      <w:bookmarkStart w:id="387" w:name="_Ref81778061"/>
      <w:bookmarkStart w:id="388" w:name="_Toc81815399"/>
      <w:bookmarkStart w:id="389" w:name="_Toc81817604"/>
      <w:r w:rsidRPr="00AB1E98">
        <w:rPr>
          <w:rFonts w:eastAsiaTheme="majorEastAsia"/>
        </w:rPr>
        <w:t>Vývoj HPH – zemědělství (CZ-NACE 01)</w:t>
      </w:r>
      <w:bookmarkEnd w:id="384"/>
      <w:bookmarkEnd w:id="385"/>
      <w:bookmarkEnd w:id="386"/>
      <w:bookmarkEnd w:id="387"/>
      <w:bookmarkEnd w:id="388"/>
      <w:bookmarkEnd w:id="389"/>
    </w:p>
    <w:p w14:paraId="686FD8E5" w14:textId="77777777" w:rsidR="00A14B9B" w:rsidRPr="002A0D4F" w:rsidRDefault="00A14B9B" w:rsidP="00A14B9B">
      <w:pPr>
        <w:rPr>
          <w:lang w:val="cs-CZ"/>
        </w:rPr>
      </w:pPr>
      <w:r w:rsidRPr="002A0D4F">
        <w:rPr>
          <w:noProof/>
          <w:lang w:val="cs-CZ" w:eastAsia="cs-CZ"/>
        </w:rPr>
        <w:drawing>
          <wp:inline distT="0" distB="0" distL="0" distR="0" wp14:anchorId="55F325DB" wp14:editId="6C0015E0">
            <wp:extent cx="4610098" cy="2647950"/>
            <wp:effectExtent l="0" t="0" r="0" b="0"/>
            <wp:docPr id="575216011" name="Obrázek 575216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575216011"/>
                    <pic:cNvPicPr/>
                  </pic:nvPicPr>
                  <pic:blipFill>
                    <a:blip r:embed="rId53">
                      <a:extLst>
                        <a:ext uri="{28A0092B-C50C-407E-A947-70E740481C1C}">
                          <a14:useLocalDpi xmlns:a14="http://schemas.microsoft.com/office/drawing/2010/main" val="0"/>
                        </a:ext>
                      </a:extLst>
                    </a:blip>
                    <a:stretch>
                      <a:fillRect/>
                    </a:stretch>
                  </pic:blipFill>
                  <pic:spPr>
                    <a:xfrm>
                      <a:off x="0" y="0"/>
                      <a:ext cx="4610098" cy="2647950"/>
                    </a:xfrm>
                    <a:prstGeom prst="rect">
                      <a:avLst/>
                    </a:prstGeom>
                  </pic:spPr>
                </pic:pic>
              </a:graphicData>
            </a:graphic>
          </wp:inline>
        </w:drawing>
      </w:r>
    </w:p>
    <w:p w14:paraId="25E0A714" w14:textId="77777777" w:rsidR="00A14B9B" w:rsidRPr="002A0D4F" w:rsidRDefault="00A14B9B" w:rsidP="00AB1E98">
      <w:pPr>
        <w:pStyle w:val="UZEIZdroj"/>
      </w:pPr>
      <w:r w:rsidRPr="002A0D4F">
        <w:t>Pozn.: rok 2020 - předběžný údaj</w:t>
      </w:r>
    </w:p>
    <w:p w14:paraId="36767498" w14:textId="77777777" w:rsidR="00A14B9B" w:rsidRPr="002A0D4F" w:rsidRDefault="00A14B9B" w:rsidP="00AB1E98">
      <w:pPr>
        <w:pStyle w:val="UZEIZdroj"/>
      </w:pPr>
      <w:r w:rsidRPr="002A0D4F">
        <w:t>Zdroj: ČSÚ (Souhrnný zemědělský účet)</w:t>
      </w:r>
    </w:p>
    <w:p w14:paraId="7963CC3F" w14:textId="128482DC" w:rsidR="00A14B9B" w:rsidRPr="002A0D4F" w:rsidRDefault="00A14B9B" w:rsidP="00AB1E98">
      <w:pPr>
        <w:pStyle w:val="UZEINormaln"/>
      </w:pPr>
      <w:r w:rsidRPr="002A0D4F">
        <w:t>Úhrn hrubé přidané hodnoty (HPH) za celou ČR dle regionálně členěných údajů ČSÚ dosáhl za rok 2018 hodnoty 4 789,0 mld. Kč (při meziročním nárůstu shodným s předchozím rokem, tj. o 5,7 %), z toho v převážně venkovských regionech 1 298,2 mld. Kč (meziroční nárůst o 5,0 %) a v přechodných regionech 1 698,7 mld. Kč (nárůst o 5,9 %). Převážně venkovské regiony se tak svým úhrnným relativním nárůstem zaostaly o necelý 1 p. b. za regiony přechodnými a přesně o 1,0 p. b. za regiony převážně městskými (s meziročním nárůstem o 6,0 % na 1 792,1 mld. Kč).</w:t>
      </w:r>
      <w:r w:rsidR="00C61856">
        <w:t xml:space="preserve"> </w:t>
      </w:r>
      <w:r w:rsidRPr="002A0D4F">
        <w:t>V rámci všech krajů ČR dosáhl nejnižšího nárůstu kraj Královehradecký (2,2 %), nejvyššího pak kraj Jihomoravský (8,6 %), přičemž oba spadají do přechodných regionů. Podíl jednotlivých sektorů na tvorbě HPH se při porovnání převážně venkovských a přechodných regionů příliš neodlišoval; v obou skupinách minimálně polovinu tvoří služby (52,5 %, resp. 56,3 %) a významný podíl si uchovává průmysl včetně stavebnictví (43,7 %, resp. 41,5 %). Obecně nízký podíl zemědělství (včetně lesnictví a rybářství) v ČR byl pak jednoznačně vyšší v převážně venkovských (3,8 %) než v přechodných regionech (2,2 %), nejnižší pak v převážně městských regionech (1,0 %), kde naopak služby tvoří již necelé tři čtvrtiny HPH.</w:t>
      </w:r>
    </w:p>
    <w:p w14:paraId="049F95B6" w14:textId="2ACF90DC" w:rsidR="00A14B9B" w:rsidRPr="002A0D4F" w:rsidRDefault="00A14B9B" w:rsidP="00AB1E98">
      <w:pPr>
        <w:pStyle w:val="UZEINormaln"/>
      </w:pPr>
      <w:r w:rsidRPr="002A0D4F">
        <w:t>Podíly jednotlivých sektorů na celkové tvorbě HPH a na zaměstnanosti se v hodnocených typech regionů značně přibližují (nejvíce v převážně venkovských, kde jsou téměř totožné) a ve své kombinaci tak podávají více komplexní pohled na socioekonomickou situaci v regionech.</w:t>
      </w:r>
      <w:r w:rsidR="00223AC3">
        <w:t xml:space="preserve"> </w:t>
      </w:r>
      <w:r w:rsidRPr="002A0D4F">
        <w:t xml:space="preserve">V ekonomice převážně venkovských i přechodných regionů si dosud uchovává velmi silnou pozici průmysl včetně stavebnictví (i přes další meziroční oslabení). Zemědělství má v regionech ČR obecně velmi slabou pozici, je však nezbytné brát v úvahu, že na samotné zemědělské výrobě je dále závislá významná část průmyslu a služeb na vstupu a výstupu ze sektoru.  Pro převážně městské regiony je pak typická výrazná dominance služeb. Údaje o meziročních změnách z obou skupin dat pak umožňují celkové objektivní hodnocení socioekonomických změn v regionech. Z dat za rok 2018 je patrné, že ekonomika a zejména zaměstnanost rostla dynamičtěji v převážně městských regionech než v regionech převážně venkovských a přechodných. </w:t>
      </w:r>
    </w:p>
    <w:p w14:paraId="156DD004" w14:textId="77777777" w:rsidR="00AB1E98" w:rsidRDefault="00AB1E98">
      <w:pPr>
        <w:spacing w:after="160" w:line="259" w:lineRule="auto"/>
        <w:jc w:val="left"/>
        <w:rPr>
          <w:rFonts w:eastAsiaTheme="majorEastAsia" w:cstheme="minorHAnsi"/>
          <w:b/>
          <w:bCs/>
          <w:szCs w:val="24"/>
          <w:lang w:val="cs-CZ" w:eastAsia="cs-CZ"/>
        </w:rPr>
      </w:pPr>
      <w:r>
        <w:rPr>
          <w:rFonts w:eastAsiaTheme="majorEastAsia"/>
          <w:b/>
          <w:bCs/>
        </w:rPr>
        <w:br w:type="page"/>
      </w:r>
    </w:p>
    <w:p w14:paraId="793F0E4D" w14:textId="722BCD3F" w:rsidR="00A14B9B" w:rsidRPr="00AB1E98" w:rsidRDefault="00A14B9B" w:rsidP="00AB1E98">
      <w:pPr>
        <w:pStyle w:val="UZEINormaln"/>
        <w:rPr>
          <w:rFonts w:eastAsiaTheme="majorEastAsia"/>
          <w:b/>
          <w:bCs/>
        </w:rPr>
      </w:pPr>
      <w:r w:rsidRPr="00AB1E98">
        <w:rPr>
          <w:rFonts w:eastAsiaTheme="majorEastAsia"/>
          <w:b/>
          <w:bCs/>
        </w:rPr>
        <w:lastRenderedPageBreak/>
        <w:t>Mikropodniky</w:t>
      </w:r>
    </w:p>
    <w:p w14:paraId="0314A01B" w14:textId="77777777" w:rsidR="00A14B9B" w:rsidRPr="002A0D4F" w:rsidRDefault="00A14B9B" w:rsidP="00AB1E98">
      <w:pPr>
        <w:pStyle w:val="UZEINormaln"/>
      </w:pPr>
      <w:r w:rsidRPr="002A0D4F">
        <w:t>Problémem venkova již nebylo jen zachování zemědělství, ale také stabilizace obyvatelstva na venkově. Podíl pracovníků v zemědělském sektoru nebyl dostatečně stabilizujícím faktorem venkovského osídlení. Z tohoto důvodu byla nutná změna hospodářské struktury venkova a vytvoření atraktivního prostředí pro bydlení a podnikání, včetně podmínek pro malé podnikatele, tj. podpořit tvorbu nových pracovních míst diverzifikací činností mimo zemědělství a zlepšit kvalitu života ve venkovských oblastech. Bariérou pro zakládání mikropodniků na venkově zůstávala obava z podnikatelského rizika a nedostatek vstupního kapitálu.</w:t>
      </w:r>
    </w:p>
    <w:p w14:paraId="494ED04C" w14:textId="77777777" w:rsidR="00A14B9B" w:rsidRPr="002A0D4F" w:rsidRDefault="00A14B9B" w:rsidP="00AB1E98">
      <w:pPr>
        <w:pStyle w:val="UZEINormaln"/>
      </w:pPr>
      <w:r w:rsidRPr="002A0D4F">
        <w:t>K 31. 12. 2018</w:t>
      </w:r>
      <w:r w:rsidRPr="002A0D4F">
        <w:rPr>
          <w:rStyle w:val="Znakapoznpodarou"/>
        </w:rPr>
        <w:footnoteReference w:id="14"/>
      </w:r>
      <w:r w:rsidRPr="002A0D4F">
        <w:t xml:space="preserve"> bylo v ČR registrováno dle údajů ČSÚ celkem 2 889 422 podnikatelských subjektů. Podle velikosti subjektů nadále dominovaly podniky bez zaměstnanců</w:t>
      </w:r>
      <w:r w:rsidRPr="002A0D4F">
        <w:rPr>
          <w:rStyle w:val="Znakapoznpodarou"/>
        </w:rPr>
        <w:footnoteReference w:id="15"/>
      </w:r>
      <w:r w:rsidRPr="002A0D4F">
        <w:t xml:space="preserve"> (90,1 %) následované mikropodniky</w:t>
      </w:r>
      <w:r w:rsidRPr="002A0D4F">
        <w:rPr>
          <w:rStyle w:val="Znakapoznpodarou"/>
        </w:rPr>
        <w:footnoteReference w:id="16"/>
      </w:r>
      <w:r w:rsidRPr="002A0D4F">
        <w:t xml:space="preserve"> s podílem 7,9 % na celkovém počtu podniků (meziročně jejich podíl mírně oslabil, naopak posílily podniky bez zaměstnanců).</w:t>
      </w:r>
    </w:p>
    <w:p w14:paraId="6F99DF0E" w14:textId="77777777" w:rsidR="00A14B9B" w:rsidRPr="002A0D4F" w:rsidRDefault="00A14B9B" w:rsidP="00AB1E98">
      <w:pPr>
        <w:pStyle w:val="UZEINormaln"/>
      </w:pPr>
      <w:r w:rsidRPr="002A0D4F">
        <w:t>V průměrech za jednotlivé typy regionů rozdělených dle typologie EU</w:t>
      </w:r>
      <w:r w:rsidRPr="002A0D4F">
        <w:rPr>
          <w:rStyle w:val="Znakapoznpodarou"/>
        </w:rPr>
        <w:footnoteReference w:id="17"/>
      </w:r>
      <w:r w:rsidRPr="002A0D4F">
        <w:t xml:space="preserve"> se struktura podniků podle počtu zaměstnanců výrazně neliší, přičemž nejmenší rozdíly jsou mezi převážně venkovskými a přechodnými regiony (v obou skupinách činí podíl podniků bez zaměstnanců zhruba 90,3–90,7 %, mikropodniků 7,3–7,7 %, malých podniků</w:t>
      </w:r>
      <w:r w:rsidRPr="002A0D4F">
        <w:rPr>
          <w:rStyle w:val="Znakapoznpodarou"/>
        </w:rPr>
        <w:footnoteReference w:id="18"/>
      </w:r>
      <w:r w:rsidRPr="002A0D4F">
        <w:t xml:space="preserve"> kolem 1,5 % a podniků s 50 a více zaměstnanci zhruba 0,5 %). Převážně městské regiony pak vykazují poněkud nižší podíl podniků bez zaměstnanců (zhruba 90 %), a na druhé straně vyšší podíl mikropodniků (zhruba 9 %). Meziročně nedošlo k výraznějším změnám.</w:t>
      </w:r>
    </w:p>
    <w:p w14:paraId="7D0F1F0F" w14:textId="009CEA32" w:rsidR="00A14B9B" w:rsidRPr="002A0D4F" w:rsidRDefault="00A14B9B" w:rsidP="00AB1E98">
      <w:pPr>
        <w:pStyle w:val="UZEINormaln"/>
      </w:pPr>
      <w:r w:rsidRPr="002A0D4F">
        <w:t xml:space="preserve">Počty registrovaných mikropodniků připadající na tisíc obyvatel kraje se pohybují v převážně venkovských i přechodných regionech shodně v rozmezí zhruba 15–18 (poblíž spodní hranice rozmezí se nachází kraj Ústecký a Kraj Vysočina), tento rámec překračuje pouze Jihomoravský kraj (22), což je významně ovlivněno Brnem, tedy druhým největším městem ČR. V Hl. m. Praze je zaregistrován až trojnásobek hodnot (téměř 45) běžných v jiných krajích ČR (mj. jsou zde registrovány mnohé podniky s působností i v dalších regionech ČR). </w:t>
      </w:r>
    </w:p>
    <w:p w14:paraId="48276FC5" w14:textId="5D1570F6" w:rsidR="00A14B9B" w:rsidRPr="002A0D4F" w:rsidRDefault="00A14B9B" w:rsidP="00AB1E98">
      <w:pPr>
        <w:pStyle w:val="UZEINormaln"/>
      </w:pPr>
      <w:r w:rsidRPr="002A0D4F">
        <w:t xml:space="preserve">Výraznější odlišnosti mezi jednotlivými typy regionů vykazuje odvětvová struktura podniků. Podíl zemědělských podniků (vč. lesnických a rybářských) je nejvyšší v regionech převážně venkovských (6,5 %) a klesá pak se stupněm venkovskosti regionů (na 4,8 % v přechodných a 2,6 % v převážně městských regionech). Obdobně je tomu v případě zastoupení průmyslových i stavebních podniků (zde však při velmi malé diferenciaci mezi převážně venkovskými a přechodnými regiony). Naopak svými podniky všeobecně nejpočetněji zastoupené odvětví služeb, tj. velkoobchod a maloobchod (včetně oprav motorových vozidel), zaznamenává nejvyšší podíl ve struktuře podniků v regionech převážně městských, nejnižší v převážně venkovských.  Uvedené relace platí jak pro podniky celkem, tak pro mikropodniky (v nich podíl zmíněného obchodu dosáhl v převážně venkovských oblastech 18,8 %, v přechodných </w:t>
      </w:r>
      <w:r w:rsidRPr="002A0D4F">
        <w:lastRenderedPageBreak/>
        <w:t xml:space="preserve">20,2 %, v převážně městských pak 25,1 %). Podniky vyšších velikostních kategorií vykazují zcela odlišnou odvětvovou strukturu – mezi nimi zaujímá nejvyšší podíl průmysl, jenž má dokonce ve skupině největších podniků (250 a více zaměstnanců) nadpoloviční zastoupení v převážně venkovských (60,4 %) i přechodných regionech (naproti tomu jejich podíl v převážně městských regionech činil jen 21,0 %). </w:t>
      </w:r>
    </w:p>
    <w:p w14:paraId="589B106B" w14:textId="5344BA3A" w:rsidR="00A14B9B" w:rsidRPr="00AB1E98" w:rsidRDefault="00AB1E98" w:rsidP="00AB1E98">
      <w:pPr>
        <w:pStyle w:val="UZEITaB"/>
        <w:rPr>
          <w:rFonts w:eastAsiaTheme="majorEastAsia"/>
        </w:rPr>
      </w:pPr>
      <w:bookmarkStart w:id="390" w:name="_Toc25920004"/>
      <w:r>
        <w:rPr>
          <w:rFonts w:eastAsiaTheme="majorEastAsia"/>
        </w:rPr>
        <w:t xml:space="preserve"> </w:t>
      </w:r>
      <w:bookmarkStart w:id="391" w:name="_Toc81815327"/>
      <w:bookmarkStart w:id="392" w:name="_Toc81817005"/>
      <w:bookmarkStart w:id="393" w:name="_Toc81817518"/>
      <w:r w:rsidR="00A14B9B" w:rsidRPr="00AB1E98">
        <w:rPr>
          <w:rFonts w:eastAsiaTheme="majorEastAsia"/>
        </w:rPr>
        <w:t xml:space="preserve">Počet mikropodniků na 1 000 obyv. v krajích ČR k 31. 12. </w:t>
      </w:r>
      <w:bookmarkEnd w:id="390"/>
      <w:r w:rsidR="00A14B9B" w:rsidRPr="00AB1E98">
        <w:rPr>
          <w:rFonts w:eastAsiaTheme="majorEastAsia"/>
        </w:rPr>
        <w:t>2018</w:t>
      </w:r>
      <w:bookmarkEnd w:id="391"/>
      <w:bookmarkEnd w:id="392"/>
      <w:bookmarkEnd w:id="393"/>
    </w:p>
    <w:p w14:paraId="4FD1B7A8" w14:textId="77777777" w:rsidR="00A14B9B" w:rsidRPr="002A0D4F" w:rsidRDefault="00A14B9B" w:rsidP="00AB1E98">
      <w:pPr>
        <w:pStyle w:val="UZEIZdroj"/>
      </w:pPr>
      <w:r w:rsidRPr="002A0D4F">
        <w:rPr>
          <w:noProof/>
          <w:lang w:eastAsia="cs-CZ"/>
        </w:rPr>
        <w:drawing>
          <wp:inline distT="0" distB="0" distL="0" distR="0" wp14:anchorId="5A5431FA" wp14:editId="6B0E2A8B">
            <wp:extent cx="5760720" cy="2493362"/>
            <wp:effectExtent l="0" t="0" r="0" b="2540"/>
            <wp:docPr id="3022912" name="Obrázek 3022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760720" cy="2493362"/>
                    </a:xfrm>
                    <a:prstGeom prst="rect">
                      <a:avLst/>
                    </a:prstGeom>
                    <a:noFill/>
                    <a:ln>
                      <a:noFill/>
                    </a:ln>
                  </pic:spPr>
                </pic:pic>
              </a:graphicData>
            </a:graphic>
          </wp:inline>
        </w:drawing>
      </w:r>
      <w:r w:rsidRPr="002A0D4F">
        <w:rPr>
          <w:noProof/>
          <w:lang w:eastAsia="cs-CZ"/>
        </w:rPr>
        <w:drawing>
          <wp:inline distT="0" distB="0" distL="0" distR="0" wp14:anchorId="198317D3" wp14:editId="5535C0E8">
            <wp:extent cx="5753098" cy="2486025"/>
            <wp:effectExtent l="0" t="0" r="0" b="0"/>
            <wp:docPr id="1196445871" name="Picture 1488170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8170815"/>
                    <pic:cNvPicPr/>
                  </pic:nvPicPr>
                  <pic:blipFill>
                    <a:blip r:embed="rId55">
                      <a:extLst>
                        <a:ext uri="{28A0092B-C50C-407E-A947-70E740481C1C}">
                          <a14:useLocalDpi xmlns:a14="http://schemas.microsoft.com/office/drawing/2010/main" val="0"/>
                        </a:ext>
                      </a:extLst>
                    </a:blip>
                    <a:stretch>
                      <a:fillRect/>
                    </a:stretch>
                  </pic:blipFill>
                  <pic:spPr>
                    <a:xfrm>
                      <a:off x="0" y="0"/>
                      <a:ext cx="5753098" cy="2486025"/>
                    </a:xfrm>
                    <a:prstGeom prst="rect">
                      <a:avLst/>
                    </a:prstGeom>
                  </pic:spPr>
                </pic:pic>
              </a:graphicData>
            </a:graphic>
          </wp:inline>
        </w:drawing>
      </w:r>
      <w:r w:rsidRPr="002A0D4F">
        <w:t>Pozn.: 1) EU klasifikace: PR = převážně venkovský region; IN = přechodný region; PU = převážně městský region</w:t>
      </w:r>
    </w:p>
    <w:p w14:paraId="3B7F7941" w14:textId="77777777" w:rsidR="00A14B9B" w:rsidRPr="002A0D4F" w:rsidRDefault="00A14B9B" w:rsidP="00AB1E98">
      <w:pPr>
        <w:pStyle w:val="UZEIZdroj"/>
      </w:pPr>
      <w:r w:rsidRPr="002A0D4F">
        <w:t>Zdroj: Statistické ročenky krajů 2018, ČSÚ 2018</w:t>
      </w:r>
    </w:p>
    <w:p w14:paraId="245B888F" w14:textId="77777777" w:rsidR="00A14B9B" w:rsidRPr="002A0D4F" w:rsidRDefault="00A14B9B" w:rsidP="00AB1E98">
      <w:pPr>
        <w:pStyle w:val="UZEINormaln"/>
        <w:rPr>
          <w:rFonts w:eastAsiaTheme="minorEastAsia"/>
        </w:rPr>
      </w:pPr>
      <w:r w:rsidRPr="002A0D4F">
        <w:rPr>
          <w:rFonts w:eastAsiaTheme="minorEastAsia"/>
        </w:rPr>
        <w:t>Malé soukromé podniky a mikropodniky tvoří na venkově významnou příležitost pro podnikání a zaměstnávání lidí a zároveň představují významný inovační potenciál. Proto na jejich podporu byla v rámci PRV na období 2007–2013 zaměřena opatření spadající pod první prioritu osy III (tvorba pracovních příležitostí a podpora využívání obnovitelných zdrojů energie). Jejím cílem bylo vytvoření pracovních míst a zajištění vyšší příjmové úrovně obyvatel venkova rozvojem a diverzifikací aktivit na venkově a podporou venkovské turistiky a dále zajištění naplnění závazků ČR v oblasti využití obnovitelných zdrojů energie.</w:t>
      </w:r>
    </w:p>
    <w:p w14:paraId="66929689" w14:textId="77777777" w:rsidR="00A14B9B" w:rsidRPr="002A0D4F" w:rsidRDefault="00A14B9B" w:rsidP="00AB1E98">
      <w:pPr>
        <w:pStyle w:val="UZEINormaln"/>
        <w:rPr>
          <w:rFonts w:ascii="Arial" w:hAnsi="Arial" w:cs="Arial"/>
          <w:b/>
          <w:i/>
          <w:sz w:val="20"/>
        </w:rPr>
      </w:pPr>
    </w:p>
    <w:p w14:paraId="382C3E61" w14:textId="77777777" w:rsidR="00AB1E98" w:rsidRDefault="00AB1E98">
      <w:pPr>
        <w:spacing w:after="160" w:line="259" w:lineRule="auto"/>
        <w:jc w:val="left"/>
        <w:rPr>
          <w:rFonts w:eastAsiaTheme="majorEastAsia" w:cs="Arial"/>
          <w:b/>
          <w:noProof/>
          <w:sz w:val="20"/>
          <w:szCs w:val="20"/>
          <w:lang w:val="cs-CZ" w:eastAsia="cs-CZ"/>
        </w:rPr>
      </w:pPr>
      <w:bookmarkStart w:id="394" w:name="_Toc525727631"/>
      <w:bookmarkStart w:id="395" w:name="_Toc525735918"/>
      <w:bookmarkStart w:id="396" w:name="_Toc25919861"/>
      <w:r>
        <w:rPr>
          <w:rFonts w:eastAsiaTheme="majorEastAsia"/>
        </w:rPr>
        <w:br w:type="page"/>
      </w:r>
    </w:p>
    <w:p w14:paraId="20A5F5A4" w14:textId="0338E169" w:rsidR="00A14B9B" w:rsidRPr="00AB1E98" w:rsidRDefault="00A14B9B" w:rsidP="00AB1E98">
      <w:pPr>
        <w:pStyle w:val="UZEIObr"/>
        <w:ind w:left="0" w:firstLine="0"/>
        <w:rPr>
          <w:rFonts w:eastAsiaTheme="majorEastAsia"/>
        </w:rPr>
      </w:pPr>
      <w:bookmarkStart w:id="397" w:name="_Ref81778179"/>
      <w:bookmarkStart w:id="398" w:name="_Toc81815400"/>
      <w:bookmarkStart w:id="399" w:name="_Toc81817605"/>
      <w:r w:rsidRPr="00AB1E98">
        <w:rPr>
          <w:rFonts w:eastAsiaTheme="majorEastAsia"/>
        </w:rPr>
        <w:lastRenderedPageBreak/>
        <w:t>Počet mikropodniků na 1000 obyv. v krajích ČR v letech 2010-2019; Zemědělství, lesnictví a rybářství (CZ-NACE A)</w:t>
      </w:r>
      <w:bookmarkEnd w:id="394"/>
      <w:bookmarkEnd w:id="395"/>
      <w:bookmarkEnd w:id="396"/>
      <w:bookmarkEnd w:id="397"/>
      <w:bookmarkEnd w:id="398"/>
      <w:bookmarkEnd w:id="399"/>
    </w:p>
    <w:p w14:paraId="19CD4F53" w14:textId="77777777" w:rsidR="00A14B9B" w:rsidRPr="002A0D4F" w:rsidRDefault="00A14B9B" w:rsidP="00A14B9B">
      <w:pPr>
        <w:pStyle w:val="Titulek"/>
      </w:pPr>
      <w:r w:rsidRPr="002A0D4F">
        <w:rPr>
          <w:noProof/>
          <w:lang w:eastAsia="cs-CZ"/>
        </w:rPr>
        <w:drawing>
          <wp:inline distT="0" distB="0" distL="0" distR="0" wp14:anchorId="0A367A86" wp14:editId="04BAF94F">
            <wp:extent cx="5757491" cy="2581275"/>
            <wp:effectExtent l="0" t="0" r="0" b="0"/>
            <wp:docPr id="1428327102" name="Picture 741494163" title="Vkládá se obráze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1494163"/>
                    <pic:cNvPicPr/>
                  </pic:nvPicPr>
                  <pic:blipFill>
                    <a:blip r:embed="rId56">
                      <a:extLst>
                        <a:ext uri="{28A0092B-C50C-407E-A947-70E740481C1C}">
                          <a14:useLocalDpi xmlns:a14="http://schemas.microsoft.com/office/drawing/2010/main" val="0"/>
                        </a:ext>
                      </a:extLst>
                    </a:blip>
                    <a:stretch>
                      <a:fillRect/>
                    </a:stretch>
                  </pic:blipFill>
                  <pic:spPr>
                    <a:xfrm>
                      <a:off x="0" y="0"/>
                      <a:ext cx="5763711" cy="2584063"/>
                    </a:xfrm>
                    <a:prstGeom prst="rect">
                      <a:avLst/>
                    </a:prstGeom>
                  </pic:spPr>
                </pic:pic>
              </a:graphicData>
            </a:graphic>
          </wp:inline>
        </w:drawing>
      </w:r>
    </w:p>
    <w:p w14:paraId="77549542" w14:textId="0127BC5D" w:rsidR="00A14B9B" w:rsidRPr="00AB1E98" w:rsidRDefault="00A14B9B" w:rsidP="00AB1E98">
      <w:pPr>
        <w:pStyle w:val="UZEIZdroj"/>
        <w:rPr>
          <w:rFonts w:eastAsia="Times New Roman"/>
        </w:rPr>
      </w:pPr>
      <w:r w:rsidRPr="002A0D4F">
        <w:rPr>
          <w:noProof/>
          <w:lang w:eastAsia="cs-CZ"/>
        </w:rPr>
        <w:drawing>
          <wp:inline distT="0" distB="0" distL="0" distR="0" wp14:anchorId="14611AC7" wp14:editId="6C4D070D">
            <wp:extent cx="5753098" cy="2362200"/>
            <wp:effectExtent l="0" t="0" r="0" b="0"/>
            <wp:docPr id="1094949028" name="Obrázek 1094949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094949028"/>
                    <pic:cNvPicPr/>
                  </pic:nvPicPr>
                  <pic:blipFill>
                    <a:blip r:embed="rId57">
                      <a:extLst>
                        <a:ext uri="{28A0092B-C50C-407E-A947-70E740481C1C}">
                          <a14:useLocalDpi xmlns:a14="http://schemas.microsoft.com/office/drawing/2010/main" val="0"/>
                        </a:ext>
                      </a:extLst>
                    </a:blip>
                    <a:stretch>
                      <a:fillRect/>
                    </a:stretch>
                  </pic:blipFill>
                  <pic:spPr>
                    <a:xfrm>
                      <a:off x="0" y="0"/>
                      <a:ext cx="5753098" cy="2362200"/>
                    </a:xfrm>
                    <a:prstGeom prst="rect">
                      <a:avLst/>
                    </a:prstGeom>
                  </pic:spPr>
                </pic:pic>
              </a:graphicData>
            </a:graphic>
          </wp:inline>
        </w:drawing>
      </w:r>
      <w:r w:rsidRPr="002A0D4F">
        <w:t>Zdroj: ČSÚ</w:t>
      </w:r>
    </w:p>
    <w:p w14:paraId="58CEA10A" w14:textId="77777777" w:rsidR="00AB1E98" w:rsidRDefault="00AB1E98">
      <w:pPr>
        <w:spacing w:after="160" w:line="259" w:lineRule="auto"/>
        <w:jc w:val="left"/>
        <w:rPr>
          <w:rFonts w:eastAsiaTheme="majorEastAsia" w:cs="Arial"/>
          <w:b/>
          <w:noProof/>
          <w:sz w:val="20"/>
          <w:szCs w:val="20"/>
          <w:lang w:val="cs-CZ" w:eastAsia="cs-CZ"/>
        </w:rPr>
      </w:pPr>
      <w:bookmarkStart w:id="400" w:name="_Toc525727632"/>
      <w:bookmarkStart w:id="401" w:name="_Toc525735919"/>
      <w:bookmarkStart w:id="402" w:name="_Toc25919862"/>
      <w:r>
        <w:rPr>
          <w:rFonts w:eastAsiaTheme="majorEastAsia"/>
        </w:rPr>
        <w:br w:type="page"/>
      </w:r>
    </w:p>
    <w:p w14:paraId="7C41B78C" w14:textId="0DABEEF1" w:rsidR="00AB1E98" w:rsidRPr="00AB1E98" w:rsidRDefault="00A14B9B" w:rsidP="00AB1E98">
      <w:pPr>
        <w:pStyle w:val="UZEIObr"/>
        <w:ind w:left="0" w:firstLine="0"/>
        <w:rPr>
          <w:rFonts w:eastAsiaTheme="majorEastAsia"/>
        </w:rPr>
      </w:pPr>
      <w:bookmarkStart w:id="403" w:name="_Toc81815401"/>
      <w:bookmarkStart w:id="404" w:name="_Toc81817606"/>
      <w:r w:rsidRPr="00AB1E98">
        <w:rPr>
          <w:rFonts w:eastAsiaTheme="majorEastAsia"/>
        </w:rPr>
        <w:lastRenderedPageBreak/>
        <w:t>Počet mikropodniků na 1000 obyv. v krajích ČR v letech 2010-2019; Průmysl (CZ-NACE B-F)</w:t>
      </w:r>
      <w:bookmarkEnd w:id="400"/>
      <w:bookmarkEnd w:id="401"/>
      <w:bookmarkEnd w:id="402"/>
      <w:bookmarkEnd w:id="403"/>
      <w:bookmarkEnd w:id="404"/>
    </w:p>
    <w:p w14:paraId="24A11EBD" w14:textId="77777777" w:rsidR="00A14B9B" w:rsidRPr="002A0D4F" w:rsidRDefault="00A14B9B" w:rsidP="00A14B9B">
      <w:pPr>
        <w:rPr>
          <w:lang w:val="cs-CZ"/>
        </w:rPr>
      </w:pPr>
      <w:r w:rsidRPr="002A0D4F">
        <w:rPr>
          <w:noProof/>
          <w:lang w:val="cs-CZ" w:eastAsia="cs-CZ"/>
        </w:rPr>
        <w:drawing>
          <wp:inline distT="0" distB="0" distL="0" distR="0" wp14:anchorId="621477DB" wp14:editId="4646E965">
            <wp:extent cx="5753098" cy="2847975"/>
            <wp:effectExtent l="0" t="0" r="0" b="0"/>
            <wp:docPr id="1990076401" name="Picture 1990974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0974090"/>
                    <pic:cNvPicPr/>
                  </pic:nvPicPr>
                  <pic:blipFill>
                    <a:blip r:embed="rId58">
                      <a:extLst>
                        <a:ext uri="{28A0092B-C50C-407E-A947-70E740481C1C}">
                          <a14:useLocalDpi xmlns:a14="http://schemas.microsoft.com/office/drawing/2010/main" val="0"/>
                        </a:ext>
                      </a:extLst>
                    </a:blip>
                    <a:stretch>
                      <a:fillRect/>
                    </a:stretch>
                  </pic:blipFill>
                  <pic:spPr>
                    <a:xfrm>
                      <a:off x="0" y="0"/>
                      <a:ext cx="5753098" cy="2847975"/>
                    </a:xfrm>
                    <a:prstGeom prst="rect">
                      <a:avLst/>
                    </a:prstGeom>
                  </pic:spPr>
                </pic:pic>
              </a:graphicData>
            </a:graphic>
          </wp:inline>
        </w:drawing>
      </w:r>
      <w:r w:rsidRPr="002A0D4F">
        <w:rPr>
          <w:noProof/>
          <w:lang w:val="cs-CZ" w:eastAsia="cs-CZ"/>
        </w:rPr>
        <w:drawing>
          <wp:inline distT="0" distB="0" distL="0" distR="0" wp14:anchorId="2974A38E" wp14:editId="7AB34C95">
            <wp:extent cx="5753098" cy="2552700"/>
            <wp:effectExtent l="0" t="0" r="0" b="0"/>
            <wp:docPr id="286483516" name="Obrázek 286483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86483516"/>
                    <pic:cNvPicPr/>
                  </pic:nvPicPr>
                  <pic:blipFill>
                    <a:blip r:embed="rId59">
                      <a:extLst>
                        <a:ext uri="{28A0092B-C50C-407E-A947-70E740481C1C}">
                          <a14:useLocalDpi xmlns:a14="http://schemas.microsoft.com/office/drawing/2010/main" val="0"/>
                        </a:ext>
                      </a:extLst>
                    </a:blip>
                    <a:stretch>
                      <a:fillRect/>
                    </a:stretch>
                  </pic:blipFill>
                  <pic:spPr>
                    <a:xfrm>
                      <a:off x="0" y="0"/>
                      <a:ext cx="5753098" cy="2552700"/>
                    </a:xfrm>
                    <a:prstGeom prst="rect">
                      <a:avLst/>
                    </a:prstGeom>
                  </pic:spPr>
                </pic:pic>
              </a:graphicData>
            </a:graphic>
          </wp:inline>
        </w:drawing>
      </w:r>
    </w:p>
    <w:p w14:paraId="5424FF8B" w14:textId="1C1E43A3" w:rsidR="00A14B9B" w:rsidRPr="002A0D4F" w:rsidRDefault="00A14B9B" w:rsidP="00AB1E98">
      <w:pPr>
        <w:pStyle w:val="UZEIZdroj"/>
      </w:pPr>
      <w:r w:rsidRPr="002A0D4F">
        <w:t>Zdroj: ČSÚ</w:t>
      </w:r>
    </w:p>
    <w:p w14:paraId="0ACFEF20" w14:textId="069F7627" w:rsidR="00AB1E98" w:rsidRDefault="00AB1E98">
      <w:pPr>
        <w:spacing w:after="160" w:line="259" w:lineRule="auto"/>
        <w:jc w:val="left"/>
        <w:rPr>
          <w:rFonts w:eastAsiaTheme="majorEastAsia" w:cs="Arial"/>
          <w:b/>
          <w:noProof/>
          <w:sz w:val="20"/>
          <w:szCs w:val="20"/>
          <w:lang w:val="cs-CZ" w:eastAsia="cs-CZ"/>
        </w:rPr>
      </w:pPr>
      <w:bookmarkStart w:id="405" w:name="_Toc525727633"/>
      <w:bookmarkStart w:id="406" w:name="_Toc525735920"/>
      <w:bookmarkStart w:id="407" w:name="_Toc25919863"/>
      <w:r>
        <w:rPr>
          <w:rFonts w:eastAsiaTheme="majorEastAsia"/>
        </w:rPr>
        <w:br w:type="page"/>
      </w:r>
    </w:p>
    <w:p w14:paraId="2A6C61E5" w14:textId="1F33DA29" w:rsidR="00A14B9B" w:rsidRPr="00AB1E98" w:rsidRDefault="00A14B9B" w:rsidP="00AB1E98">
      <w:pPr>
        <w:pStyle w:val="UZEIObr"/>
        <w:rPr>
          <w:rFonts w:eastAsiaTheme="majorEastAsia"/>
        </w:rPr>
      </w:pPr>
      <w:bookmarkStart w:id="408" w:name="_Ref81778202"/>
      <w:bookmarkStart w:id="409" w:name="_Toc81815402"/>
      <w:bookmarkStart w:id="410" w:name="_Toc81817607"/>
      <w:r w:rsidRPr="00AB1E98">
        <w:rPr>
          <w:rFonts w:eastAsiaTheme="majorEastAsia"/>
        </w:rPr>
        <w:lastRenderedPageBreak/>
        <w:t>Počet mikropodniků na 1000 obyv. v krajích ČR v letech 2010-2019; Služby (CZ-NACE G-U)</w:t>
      </w:r>
      <w:bookmarkEnd w:id="405"/>
      <w:bookmarkEnd w:id="406"/>
      <w:bookmarkEnd w:id="407"/>
      <w:bookmarkEnd w:id="408"/>
      <w:bookmarkEnd w:id="409"/>
      <w:bookmarkEnd w:id="410"/>
    </w:p>
    <w:p w14:paraId="1AF46556" w14:textId="7336AA38" w:rsidR="00A14B9B" w:rsidRPr="002A0D4F" w:rsidRDefault="00A14B9B" w:rsidP="00A14B9B">
      <w:pPr>
        <w:pStyle w:val="Titulek"/>
        <w:spacing w:after="0"/>
      </w:pPr>
    </w:p>
    <w:p w14:paraId="34993F18" w14:textId="3F4272B0" w:rsidR="00A14B9B" w:rsidRPr="002A0D4F" w:rsidRDefault="00A14B9B" w:rsidP="00A14B9B">
      <w:pPr>
        <w:rPr>
          <w:rFonts w:eastAsia="Times New Roman" w:cs="Times New Roman"/>
          <w:lang w:val="cs-CZ"/>
        </w:rPr>
      </w:pPr>
      <w:r w:rsidRPr="002A0D4F">
        <w:rPr>
          <w:noProof/>
          <w:lang w:val="cs-CZ" w:eastAsia="cs-CZ"/>
        </w:rPr>
        <w:drawing>
          <wp:inline distT="0" distB="0" distL="0" distR="0" wp14:anchorId="4B8DF3B4" wp14:editId="1AAE25BB">
            <wp:extent cx="5753098" cy="2657475"/>
            <wp:effectExtent l="0" t="0" r="0" b="0"/>
            <wp:docPr id="547304833" name="Obrázek 547304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547304833"/>
                    <pic:cNvPicPr/>
                  </pic:nvPicPr>
                  <pic:blipFill>
                    <a:blip r:embed="rId60">
                      <a:extLst>
                        <a:ext uri="{28A0092B-C50C-407E-A947-70E740481C1C}">
                          <a14:useLocalDpi xmlns:a14="http://schemas.microsoft.com/office/drawing/2010/main" val="0"/>
                        </a:ext>
                      </a:extLst>
                    </a:blip>
                    <a:stretch>
                      <a:fillRect/>
                    </a:stretch>
                  </pic:blipFill>
                  <pic:spPr>
                    <a:xfrm>
                      <a:off x="0" y="0"/>
                      <a:ext cx="5753098" cy="2657475"/>
                    </a:xfrm>
                    <a:prstGeom prst="rect">
                      <a:avLst/>
                    </a:prstGeom>
                  </pic:spPr>
                </pic:pic>
              </a:graphicData>
            </a:graphic>
          </wp:inline>
        </w:drawing>
      </w:r>
    </w:p>
    <w:p w14:paraId="76163C74" w14:textId="77777777" w:rsidR="00A14B9B" w:rsidRPr="002A0D4F" w:rsidRDefault="00A14B9B" w:rsidP="00AB1E98">
      <w:pPr>
        <w:pStyle w:val="UZEIZdroj"/>
        <w:rPr>
          <w:rFonts w:eastAsiaTheme="minorEastAsia"/>
        </w:rPr>
      </w:pPr>
      <w:r w:rsidRPr="002A0D4F">
        <w:t>Zdroj: ČSÚ</w:t>
      </w:r>
    </w:p>
    <w:p w14:paraId="4E1A2BF2" w14:textId="3998D35C" w:rsidR="00A14B9B" w:rsidRPr="002A0D4F" w:rsidRDefault="00A14B9B" w:rsidP="00AB1E98">
      <w:pPr>
        <w:pStyle w:val="UZEINormaln"/>
      </w:pPr>
      <w:r w:rsidRPr="002A0D4F">
        <w:t xml:space="preserve">Počet mikropodniků na 1 000 obyvatel v krajích ČR a v odvětví ukazují </w:t>
      </w:r>
      <w:r w:rsidR="00223AC3">
        <w:fldChar w:fldCharType="begin"/>
      </w:r>
      <w:r w:rsidR="00223AC3">
        <w:instrText xml:space="preserve"> REF _Ref81778179 \r \h </w:instrText>
      </w:r>
      <w:r w:rsidR="00223AC3">
        <w:fldChar w:fldCharType="separate"/>
      </w:r>
      <w:r w:rsidR="00223AC3">
        <w:t>Obrázek 19</w:t>
      </w:r>
      <w:r w:rsidR="00223AC3">
        <w:fldChar w:fldCharType="end"/>
      </w:r>
      <w:r w:rsidRPr="002A0D4F">
        <w:t>-</w:t>
      </w:r>
      <w:r w:rsidR="00223AC3">
        <w:fldChar w:fldCharType="begin"/>
      </w:r>
      <w:r w:rsidR="00223AC3">
        <w:instrText xml:space="preserve"> REF _Ref81778202 \r \h </w:instrText>
      </w:r>
      <w:r w:rsidR="00223AC3">
        <w:fldChar w:fldCharType="separate"/>
      </w:r>
      <w:r w:rsidR="00223AC3">
        <w:t>Obrázek 21</w:t>
      </w:r>
      <w:r w:rsidR="00223AC3">
        <w:fldChar w:fldCharType="end"/>
      </w:r>
      <w:r w:rsidRPr="002A0D4F">
        <w:t xml:space="preserve"> Nejméně mikropodniků na 1 000 obyvatel je v odvětví Zemědělství, lesnictví a rybolovu (CZ-NACE A) – v průměru 0,8 mikropodniků v roce 2019, nejvíce potom v odvětví služeb (CZ-NACE G-U; v průměru 13,8 mikropodniků na 1 000 obyvatel v roce 2019). Dle regionálního členění ČR je nejvíce mikropodniků na 1 000 obyvatel v kraji Hlavní město Praha v odvětví průmyslu a služeb, v odvětví zemědělství shodně 1,1 mikropodniků na 1 000 obyvatel v kraji Jihočeském a na Vysočině. Odvětví zemědělství a služeb zaznamenává ve více než polovině sledovaných krajů meziroční nárůst mikropodniků na 1 000 obyvatel, průmysl zaznamenává nárůst ve všech sledovaných krajích vyjma kraje Vysočina, kde tato hodnota stagnuje.</w:t>
      </w:r>
    </w:p>
    <w:p w14:paraId="7F778B55" w14:textId="77777777" w:rsidR="00A14B9B" w:rsidRPr="00AB1E98" w:rsidRDefault="00A14B9B" w:rsidP="00AB1E98">
      <w:pPr>
        <w:pStyle w:val="UZEINormaln"/>
        <w:rPr>
          <w:rFonts w:eastAsia="Calibri"/>
          <w:b/>
          <w:bCs/>
        </w:rPr>
      </w:pPr>
      <w:r w:rsidRPr="00AB1E98">
        <w:rPr>
          <w:rFonts w:eastAsia="Calibri"/>
          <w:b/>
          <w:bCs/>
        </w:rPr>
        <w:t>Podnikatelská struktura na venkově (AMSP ČR)</w:t>
      </w:r>
    </w:p>
    <w:p w14:paraId="282946B9" w14:textId="77777777" w:rsidR="00A14B9B" w:rsidRPr="00AB1E98" w:rsidRDefault="00A14B9B" w:rsidP="00AB1E98">
      <w:pPr>
        <w:pStyle w:val="UZEINormaln"/>
        <w:rPr>
          <w:rFonts w:eastAsia="Calibri"/>
          <w:b/>
          <w:bCs/>
        </w:rPr>
      </w:pPr>
      <w:r w:rsidRPr="00AB1E98">
        <w:rPr>
          <w:rFonts w:eastAsia="Calibri"/>
          <w:b/>
          <w:bCs/>
        </w:rPr>
        <w:t>Venkov dle podnikatelské struktury s ohledem na velikost firem</w:t>
      </w:r>
      <w:r w:rsidRPr="00AB1E98">
        <w:rPr>
          <w:rStyle w:val="Znakapoznpodarou"/>
          <w:rFonts w:eastAsia="Calibri"/>
          <w:b/>
          <w:bCs/>
        </w:rPr>
        <w:footnoteReference w:id="19"/>
      </w:r>
      <w:r w:rsidRPr="00AB1E98">
        <w:rPr>
          <w:rFonts w:eastAsia="Calibri"/>
          <w:b/>
          <w:bCs/>
        </w:rPr>
        <w:t>:</w:t>
      </w:r>
    </w:p>
    <w:p w14:paraId="528AF103" w14:textId="77777777" w:rsidR="00A14B9B" w:rsidRPr="002A0D4F" w:rsidRDefault="00A14B9B" w:rsidP="00AB1E98">
      <w:pPr>
        <w:pStyle w:val="UZEIOdrky"/>
        <w:rPr>
          <w:rFonts w:eastAsiaTheme="minorEastAsia"/>
        </w:rPr>
      </w:pPr>
      <w:r w:rsidRPr="002A0D4F">
        <w:t xml:space="preserve">Podnikatelé bez zaměstnanců: </w:t>
      </w:r>
      <w:r w:rsidRPr="002A0D4F">
        <w:rPr>
          <w:b/>
          <w:bCs/>
        </w:rPr>
        <w:t>90,5 %</w:t>
      </w:r>
      <w:r w:rsidRPr="002A0D4F">
        <w:t xml:space="preserve"> (předcházející rok: 90 %)</w:t>
      </w:r>
    </w:p>
    <w:p w14:paraId="374CD6B5" w14:textId="77777777" w:rsidR="00A14B9B" w:rsidRPr="002A0D4F" w:rsidRDefault="00A14B9B" w:rsidP="00AB1E98">
      <w:pPr>
        <w:pStyle w:val="UZEIOdrky"/>
        <w:rPr>
          <w:rFonts w:eastAsiaTheme="minorEastAsia"/>
        </w:rPr>
      </w:pPr>
      <w:r w:rsidRPr="002A0D4F">
        <w:t xml:space="preserve">Podnikatelé s 1-9 zaměstnanci: </w:t>
      </w:r>
      <w:r w:rsidRPr="002A0D4F">
        <w:rPr>
          <w:b/>
          <w:bCs/>
        </w:rPr>
        <w:t>8 %</w:t>
      </w:r>
      <w:r w:rsidRPr="002A0D4F">
        <w:t xml:space="preserve"> (předcházející rok: 8 %)</w:t>
      </w:r>
    </w:p>
    <w:p w14:paraId="19D5B6B2" w14:textId="77777777" w:rsidR="00A14B9B" w:rsidRPr="002A0D4F" w:rsidRDefault="00A14B9B" w:rsidP="00AB1E98">
      <w:pPr>
        <w:pStyle w:val="UZEIOdrky"/>
        <w:rPr>
          <w:rFonts w:eastAsiaTheme="minorEastAsia"/>
        </w:rPr>
      </w:pPr>
      <w:r w:rsidRPr="002A0D4F">
        <w:t xml:space="preserve">Podnikatelé s 10-49 zaměstnanci: </w:t>
      </w:r>
      <w:r w:rsidRPr="002A0D4F">
        <w:rPr>
          <w:b/>
          <w:bCs/>
        </w:rPr>
        <w:t>1,5 %</w:t>
      </w:r>
      <w:r w:rsidRPr="002A0D4F">
        <w:t xml:space="preserve"> (předcházející rok: 2 %)</w:t>
      </w:r>
    </w:p>
    <w:p w14:paraId="36CE9572" w14:textId="016DE89B" w:rsidR="00F10404" w:rsidRDefault="00A14B9B" w:rsidP="00AB1E98">
      <w:pPr>
        <w:pStyle w:val="UZEIOdrky"/>
      </w:pPr>
      <w:r w:rsidRPr="002A0D4F">
        <w:t xml:space="preserve">Podnikatelé s 50 a více zaměstnanci: </w:t>
      </w:r>
      <w:r w:rsidRPr="002A0D4F">
        <w:rPr>
          <w:b/>
          <w:bCs/>
        </w:rPr>
        <w:t>0,5 %</w:t>
      </w:r>
      <w:r w:rsidRPr="002A0D4F">
        <w:t xml:space="preserve"> (předcházející rok: 0,1 %) </w:t>
      </w:r>
    </w:p>
    <w:p w14:paraId="7081358F" w14:textId="77777777" w:rsidR="00F10404" w:rsidRDefault="00F10404">
      <w:pPr>
        <w:spacing w:after="160" w:line="259" w:lineRule="auto"/>
        <w:jc w:val="left"/>
        <w:rPr>
          <w:rFonts w:eastAsia="Times New Roman" w:cs="Calibri"/>
          <w:color w:val="000000"/>
          <w:szCs w:val="24"/>
          <w:lang w:val="cs-CZ"/>
        </w:rPr>
      </w:pPr>
      <w:r>
        <w:br w:type="page"/>
      </w:r>
    </w:p>
    <w:p w14:paraId="17D8B572" w14:textId="47255ABB" w:rsidR="00A14B9B" w:rsidRPr="002A0D4F" w:rsidRDefault="00A14B9B" w:rsidP="00AB1E98">
      <w:pPr>
        <w:pStyle w:val="UZEITaB"/>
      </w:pPr>
      <w:bookmarkStart w:id="411" w:name="_Toc25920005"/>
      <w:bookmarkStart w:id="412" w:name="_Toc81815328"/>
      <w:bookmarkStart w:id="413" w:name="_Toc81817006"/>
      <w:bookmarkStart w:id="414" w:name="_Toc81817519"/>
      <w:r w:rsidRPr="002A0D4F">
        <w:rPr>
          <w:rFonts w:eastAsia="Calibri"/>
        </w:rPr>
        <w:lastRenderedPageBreak/>
        <w:t>Venkovské oblasti dle podnikatelské struktury s ohledem na odvětví</w:t>
      </w:r>
      <w:bookmarkEnd w:id="411"/>
      <w:bookmarkEnd w:id="412"/>
      <w:bookmarkEnd w:id="413"/>
      <w:bookmarkEnd w:id="414"/>
    </w:p>
    <w:tbl>
      <w:tblPr>
        <w:tblStyle w:val="Mkatabulky"/>
        <w:tblW w:w="8996" w:type="dxa"/>
        <w:tblLayout w:type="fixed"/>
        <w:tblLook w:val="06A0" w:firstRow="1" w:lastRow="0" w:firstColumn="1" w:lastColumn="0" w:noHBand="1" w:noVBand="1"/>
      </w:tblPr>
      <w:tblGrid>
        <w:gridCol w:w="5993"/>
        <w:gridCol w:w="3003"/>
      </w:tblGrid>
      <w:tr w:rsidR="00A14B9B" w:rsidRPr="00980716" w14:paraId="19D25497" w14:textId="77777777" w:rsidTr="00432D26">
        <w:trPr>
          <w:trHeight w:val="405"/>
        </w:trPr>
        <w:tc>
          <w:tcPr>
            <w:tcW w:w="5993" w:type="dxa"/>
          </w:tcPr>
          <w:p w14:paraId="6FB5A430" w14:textId="77777777" w:rsidR="00A14B9B" w:rsidRPr="009D02B7" w:rsidRDefault="00A14B9B" w:rsidP="009D02B7">
            <w:pPr>
              <w:pStyle w:val="UZEINormaln"/>
              <w:spacing w:before="0" w:after="0"/>
              <w:jc w:val="center"/>
              <w:rPr>
                <w:b/>
                <w:bCs/>
                <w:sz w:val="22"/>
                <w:szCs w:val="22"/>
              </w:rPr>
            </w:pPr>
            <w:r w:rsidRPr="009D02B7">
              <w:rPr>
                <w:b/>
                <w:bCs/>
                <w:sz w:val="22"/>
                <w:szCs w:val="22"/>
              </w:rPr>
              <w:t>Odvětví</w:t>
            </w:r>
          </w:p>
        </w:tc>
        <w:tc>
          <w:tcPr>
            <w:tcW w:w="3003" w:type="dxa"/>
          </w:tcPr>
          <w:p w14:paraId="2668B41C" w14:textId="77777777" w:rsidR="00A14B9B" w:rsidRPr="009D02B7" w:rsidRDefault="00A14B9B" w:rsidP="009D02B7">
            <w:pPr>
              <w:pStyle w:val="UZEINormaln"/>
              <w:spacing w:before="0" w:after="0"/>
              <w:jc w:val="center"/>
              <w:rPr>
                <w:b/>
                <w:bCs/>
                <w:sz w:val="22"/>
                <w:szCs w:val="22"/>
              </w:rPr>
            </w:pPr>
            <w:r w:rsidRPr="009D02B7">
              <w:rPr>
                <w:b/>
                <w:bCs/>
                <w:sz w:val="22"/>
                <w:szCs w:val="22"/>
              </w:rPr>
              <w:t>Podíl podnikatelských aktivit</w:t>
            </w:r>
          </w:p>
        </w:tc>
      </w:tr>
      <w:tr w:rsidR="00A14B9B" w:rsidRPr="00980716" w14:paraId="7E2A1971" w14:textId="77777777" w:rsidTr="00432D26">
        <w:trPr>
          <w:trHeight w:val="553"/>
        </w:trPr>
        <w:tc>
          <w:tcPr>
            <w:tcW w:w="5993" w:type="dxa"/>
          </w:tcPr>
          <w:p w14:paraId="3503E419" w14:textId="77777777" w:rsidR="00A14B9B" w:rsidRPr="00980716" w:rsidRDefault="00A14B9B" w:rsidP="00980716">
            <w:pPr>
              <w:pStyle w:val="UZEINormaln"/>
              <w:spacing w:before="0" w:after="0"/>
              <w:rPr>
                <w:sz w:val="22"/>
                <w:szCs w:val="22"/>
              </w:rPr>
            </w:pPr>
            <w:r w:rsidRPr="00980716">
              <w:rPr>
                <w:sz w:val="22"/>
                <w:szCs w:val="22"/>
              </w:rPr>
              <w:t>Maloobchod, velkoobchod (vč. opravy a údržby motorových vozidel)</w:t>
            </w:r>
          </w:p>
        </w:tc>
        <w:tc>
          <w:tcPr>
            <w:tcW w:w="3003" w:type="dxa"/>
          </w:tcPr>
          <w:p w14:paraId="7152523E" w14:textId="77777777" w:rsidR="00A14B9B" w:rsidRPr="00980716" w:rsidRDefault="00A14B9B" w:rsidP="00980716">
            <w:pPr>
              <w:pStyle w:val="UZEINormaln"/>
              <w:spacing w:before="0" w:after="0"/>
              <w:rPr>
                <w:sz w:val="22"/>
                <w:szCs w:val="22"/>
              </w:rPr>
            </w:pPr>
            <w:r w:rsidRPr="00980716">
              <w:rPr>
                <w:sz w:val="22"/>
                <w:szCs w:val="22"/>
              </w:rPr>
              <w:t>20,4 %</w:t>
            </w:r>
          </w:p>
        </w:tc>
      </w:tr>
      <w:tr w:rsidR="00A14B9B" w:rsidRPr="00980716" w14:paraId="26D663A9" w14:textId="77777777" w:rsidTr="00432D26">
        <w:trPr>
          <w:trHeight w:val="391"/>
        </w:trPr>
        <w:tc>
          <w:tcPr>
            <w:tcW w:w="5993" w:type="dxa"/>
          </w:tcPr>
          <w:p w14:paraId="301F0D3F" w14:textId="77777777" w:rsidR="00A14B9B" w:rsidRPr="00980716" w:rsidRDefault="00A14B9B" w:rsidP="00980716">
            <w:pPr>
              <w:pStyle w:val="UZEINormaln"/>
              <w:spacing w:before="0" w:after="0"/>
              <w:rPr>
                <w:sz w:val="22"/>
                <w:szCs w:val="22"/>
              </w:rPr>
            </w:pPr>
            <w:r w:rsidRPr="00980716">
              <w:rPr>
                <w:sz w:val="22"/>
                <w:szCs w:val="22"/>
              </w:rPr>
              <w:t>Průmysl</w:t>
            </w:r>
          </w:p>
        </w:tc>
        <w:tc>
          <w:tcPr>
            <w:tcW w:w="3003" w:type="dxa"/>
          </w:tcPr>
          <w:p w14:paraId="324BF3D8" w14:textId="77777777" w:rsidR="00A14B9B" w:rsidRPr="00980716" w:rsidRDefault="00A14B9B" w:rsidP="00980716">
            <w:pPr>
              <w:pStyle w:val="UZEINormaln"/>
              <w:spacing w:before="0" w:after="0"/>
              <w:rPr>
                <w:sz w:val="22"/>
                <w:szCs w:val="22"/>
              </w:rPr>
            </w:pPr>
            <w:r w:rsidRPr="00980716">
              <w:rPr>
                <w:sz w:val="22"/>
                <w:szCs w:val="22"/>
              </w:rPr>
              <w:t>14,9 %</w:t>
            </w:r>
          </w:p>
        </w:tc>
      </w:tr>
      <w:tr w:rsidR="00A14B9B" w:rsidRPr="00980716" w14:paraId="0CF0D553" w14:textId="77777777" w:rsidTr="00432D26">
        <w:trPr>
          <w:trHeight w:val="391"/>
        </w:trPr>
        <w:tc>
          <w:tcPr>
            <w:tcW w:w="5993" w:type="dxa"/>
          </w:tcPr>
          <w:p w14:paraId="09BA1B19" w14:textId="77777777" w:rsidR="00A14B9B" w:rsidRPr="00980716" w:rsidRDefault="00A14B9B" w:rsidP="00980716">
            <w:pPr>
              <w:pStyle w:val="UZEINormaln"/>
              <w:spacing w:before="0" w:after="0"/>
              <w:rPr>
                <w:sz w:val="22"/>
                <w:szCs w:val="22"/>
              </w:rPr>
            </w:pPr>
            <w:r w:rsidRPr="00980716">
              <w:rPr>
                <w:sz w:val="22"/>
                <w:szCs w:val="22"/>
              </w:rPr>
              <w:t>Profesní a technické činnosti</w:t>
            </w:r>
          </w:p>
        </w:tc>
        <w:tc>
          <w:tcPr>
            <w:tcW w:w="3003" w:type="dxa"/>
          </w:tcPr>
          <w:p w14:paraId="43AE333F" w14:textId="77777777" w:rsidR="00A14B9B" w:rsidRPr="00980716" w:rsidRDefault="00A14B9B" w:rsidP="00980716">
            <w:pPr>
              <w:pStyle w:val="UZEINormaln"/>
              <w:spacing w:before="0" w:after="0"/>
              <w:rPr>
                <w:sz w:val="22"/>
                <w:szCs w:val="22"/>
              </w:rPr>
            </w:pPr>
            <w:r w:rsidRPr="00980716">
              <w:rPr>
                <w:sz w:val="22"/>
                <w:szCs w:val="22"/>
              </w:rPr>
              <w:t>10,0 %</w:t>
            </w:r>
          </w:p>
        </w:tc>
      </w:tr>
      <w:tr w:rsidR="00A14B9B" w:rsidRPr="00980716" w14:paraId="6D57ADF7" w14:textId="77777777" w:rsidTr="00432D26">
        <w:trPr>
          <w:trHeight w:val="377"/>
        </w:trPr>
        <w:tc>
          <w:tcPr>
            <w:tcW w:w="5993" w:type="dxa"/>
          </w:tcPr>
          <w:p w14:paraId="0E34980A" w14:textId="77777777" w:rsidR="00A14B9B" w:rsidRPr="00980716" w:rsidRDefault="00A14B9B" w:rsidP="00980716">
            <w:pPr>
              <w:pStyle w:val="UZEINormaln"/>
              <w:spacing w:before="0" w:after="0"/>
              <w:rPr>
                <w:sz w:val="22"/>
                <w:szCs w:val="22"/>
              </w:rPr>
            </w:pPr>
            <w:r w:rsidRPr="00980716">
              <w:rPr>
                <w:sz w:val="22"/>
                <w:szCs w:val="22"/>
              </w:rPr>
              <w:t>Stavebnictví</w:t>
            </w:r>
          </w:p>
        </w:tc>
        <w:tc>
          <w:tcPr>
            <w:tcW w:w="3003" w:type="dxa"/>
          </w:tcPr>
          <w:p w14:paraId="12B964AB" w14:textId="77777777" w:rsidR="00A14B9B" w:rsidRPr="00980716" w:rsidRDefault="00A14B9B" w:rsidP="00980716">
            <w:pPr>
              <w:pStyle w:val="UZEINormaln"/>
              <w:spacing w:before="0" w:after="0"/>
              <w:rPr>
                <w:sz w:val="22"/>
                <w:szCs w:val="22"/>
              </w:rPr>
            </w:pPr>
            <w:r w:rsidRPr="00980716">
              <w:rPr>
                <w:sz w:val="22"/>
                <w:szCs w:val="22"/>
              </w:rPr>
              <w:t>9,8 %</w:t>
            </w:r>
          </w:p>
        </w:tc>
      </w:tr>
      <w:tr w:rsidR="00A14B9B" w:rsidRPr="00980716" w14:paraId="5B478AB1" w14:textId="77777777" w:rsidTr="00432D26">
        <w:trPr>
          <w:trHeight w:val="391"/>
        </w:trPr>
        <w:tc>
          <w:tcPr>
            <w:tcW w:w="5993" w:type="dxa"/>
          </w:tcPr>
          <w:p w14:paraId="57B9BF43" w14:textId="77777777" w:rsidR="00A14B9B" w:rsidRPr="00980716" w:rsidRDefault="00A14B9B" w:rsidP="00980716">
            <w:pPr>
              <w:pStyle w:val="UZEINormaln"/>
              <w:spacing w:before="0" w:after="0"/>
              <w:rPr>
                <w:sz w:val="22"/>
                <w:szCs w:val="22"/>
              </w:rPr>
            </w:pPr>
            <w:r w:rsidRPr="00980716">
              <w:rPr>
                <w:sz w:val="22"/>
                <w:szCs w:val="22"/>
              </w:rPr>
              <w:t>Profese v oblasti zdravotní a sociální péče</w:t>
            </w:r>
          </w:p>
        </w:tc>
        <w:tc>
          <w:tcPr>
            <w:tcW w:w="3003" w:type="dxa"/>
          </w:tcPr>
          <w:p w14:paraId="0BEB41CA" w14:textId="77777777" w:rsidR="00A14B9B" w:rsidRPr="00980716" w:rsidRDefault="00A14B9B" w:rsidP="00980716">
            <w:pPr>
              <w:pStyle w:val="UZEINormaln"/>
              <w:spacing w:before="0" w:after="0"/>
              <w:rPr>
                <w:sz w:val="22"/>
                <w:szCs w:val="22"/>
              </w:rPr>
            </w:pPr>
            <w:r w:rsidRPr="00980716">
              <w:rPr>
                <w:sz w:val="22"/>
                <w:szCs w:val="22"/>
              </w:rPr>
              <w:t>9,7 %</w:t>
            </w:r>
          </w:p>
        </w:tc>
      </w:tr>
      <w:tr w:rsidR="00A14B9B" w:rsidRPr="00980716" w14:paraId="74905AAF" w14:textId="77777777" w:rsidTr="00432D26">
        <w:trPr>
          <w:trHeight w:val="391"/>
        </w:trPr>
        <w:tc>
          <w:tcPr>
            <w:tcW w:w="5993" w:type="dxa"/>
          </w:tcPr>
          <w:p w14:paraId="62A09DDD" w14:textId="77777777" w:rsidR="00A14B9B" w:rsidRPr="00980716" w:rsidRDefault="00A14B9B" w:rsidP="00980716">
            <w:pPr>
              <w:pStyle w:val="UZEINormaln"/>
              <w:spacing w:before="0" w:after="0"/>
              <w:rPr>
                <w:sz w:val="22"/>
                <w:szCs w:val="22"/>
              </w:rPr>
            </w:pPr>
            <w:r w:rsidRPr="00980716">
              <w:rPr>
                <w:sz w:val="22"/>
                <w:szCs w:val="22"/>
              </w:rPr>
              <w:t>Ubytování, stravování, pohostinství</w:t>
            </w:r>
          </w:p>
        </w:tc>
        <w:tc>
          <w:tcPr>
            <w:tcW w:w="3003" w:type="dxa"/>
          </w:tcPr>
          <w:p w14:paraId="46D500E6" w14:textId="77777777" w:rsidR="00A14B9B" w:rsidRPr="00980716" w:rsidRDefault="00A14B9B" w:rsidP="00980716">
            <w:pPr>
              <w:pStyle w:val="UZEINormaln"/>
              <w:spacing w:before="0" w:after="0"/>
              <w:rPr>
                <w:sz w:val="22"/>
                <w:szCs w:val="22"/>
              </w:rPr>
            </w:pPr>
            <w:r w:rsidRPr="00980716">
              <w:rPr>
                <w:sz w:val="22"/>
                <w:szCs w:val="22"/>
              </w:rPr>
              <w:t>9,2 %</w:t>
            </w:r>
          </w:p>
        </w:tc>
      </w:tr>
      <w:tr w:rsidR="00A14B9B" w:rsidRPr="00980716" w14:paraId="47D15375" w14:textId="77777777" w:rsidTr="00432D26">
        <w:trPr>
          <w:trHeight w:val="377"/>
        </w:trPr>
        <w:tc>
          <w:tcPr>
            <w:tcW w:w="5993" w:type="dxa"/>
          </w:tcPr>
          <w:p w14:paraId="60F3D153" w14:textId="77777777" w:rsidR="00A14B9B" w:rsidRPr="00980716" w:rsidRDefault="00A14B9B" w:rsidP="00980716">
            <w:pPr>
              <w:pStyle w:val="UZEINormaln"/>
              <w:spacing w:before="0" w:after="0"/>
              <w:rPr>
                <w:sz w:val="22"/>
                <w:szCs w:val="22"/>
              </w:rPr>
            </w:pPr>
            <w:r w:rsidRPr="00980716">
              <w:rPr>
                <w:sz w:val="22"/>
                <w:szCs w:val="22"/>
              </w:rPr>
              <w:t>Zemědělství</w:t>
            </w:r>
          </w:p>
        </w:tc>
        <w:tc>
          <w:tcPr>
            <w:tcW w:w="3003" w:type="dxa"/>
          </w:tcPr>
          <w:p w14:paraId="04B250C5" w14:textId="77777777" w:rsidR="00A14B9B" w:rsidRPr="00980716" w:rsidRDefault="00A14B9B" w:rsidP="00980716">
            <w:pPr>
              <w:pStyle w:val="UZEINormaln"/>
              <w:spacing w:before="0" w:after="0"/>
              <w:rPr>
                <w:sz w:val="22"/>
                <w:szCs w:val="22"/>
              </w:rPr>
            </w:pPr>
            <w:r w:rsidRPr="00980716">
              <w:rPr>
                <w:sz w:val="22"/>
                <w:szCs w:val="22"/>
              </w:rPr>
              <w:t>5,0 %</w:t>
            </w:r>
          </w:p>
        </w:tc>
      </w:tr>
      <w:tr w:rsidR="00A14B9B" w:rsidRPr="00980716" w14:paraId="40D4CD00" w14:textId="77777777" w:rsidTr="00432D26">
        <w:trPr>
          <w:trHeight w:val="391"/>
        </w:trPr>
        <w:tc>
          <w:tcPr>
            <w:tcW w:w="5993" w:type="dxa"/>
          </w:tcPr>
          <w:p w14:paraId="447B8AB1" w14:textId="77777777" w:rsidR="00A14B9B" w:rsidRPr="00980716" w:rsidRDefault="00A14B9B" w:rsidP="00980716">
            <w:pPr>
              <w:pStyle w:val="UZEINormaln"/>
              <w:spacing w:before="0" w:after="0"/>
              <w:rPr>
                <w:sz w:val="22"/>
                <w:szCs w:val="22"/>
              </w:rPr>
            </w:pPr>
            <w:r w:rsidRPr="00980716">
              <w:rPr>
                <w:sz w:val="22"/>
                <w:szCs w:val="22"/>
              </w:rPr>
              <w:t>Ostatní</w:t>
            </w:r>
          </w:p>
        </w:tc>
        <w:tc>
          <w:tcPr>
            <w:tcW w:w="3003" w:type="dxa"/>
          </w:tcPr>
          <w:p w14:paraId="52848450" w14:textId="77777777" w:rsidR="00A14B9B" w:rsidRPr="00980716" w:rsidRDefault="00A14B9B" w:rsidP="00980716">
            <w:pPr>
              <w:pStyle w:val="UZEINormaln"/>
              <w:spacing w:before="0" w:after="0"/>
              <w:rPr>
                <w:sz w:val="22"/>
                <w:szCs w:val="22"/>
              </w:rPr>
            </w:pPr>
            <w:r w:rsidRPr="00980716">
              <w:rPr>
                <w:sz w:val="22"/>
                <w:szCs w:val="22"/>
              </w:rPr>
              <w:t>21,0 %</w:t>
            </w:r>
          </w:p>
        </w:tc>
      </w:tr>
    </w:tbl>
    <w:p w14:paraId="3EC94DF8" w14:textId="77777777" w:rsidR="00A14B9B" w:rsidRPr="002A0D4F" w:rsidRDefault="00A14B9B" w:rsidP="00980716">
      <w:pPr>
        <w:pStyle w:val="UZEIZdroj"/>
        <w:rPr>
          <w:b/>
          <w:bCs/>
        </w:rPr>
      </w:pPr>
      <w:r w:rsidRPr="002A0D4F">
        <w:t xml:space="preserve">Zdroj: Statistické ročenky krajů 2017, ČSÚ 2017, ÚZEI, Zpráva o stavu zemědělství, 2017. Výpočet vzniknul na základě interpolace dat tzv. převážně venkovských regionů: JIH K, PLZ K, PUA K, VYS, OL K, ZL K (klasifikace EU). </w:t>
      </w:r>
    </w:p>
    <w:p w14:paraId="45976FCA" w14:textId="1FD6E4BC" w:rsidR="00A14B9B" w:rsidRPr="00E65218" w:rsidRDefault="00A14B9B" w:rsidP="00E65218">
      <w:pPr>
        <w:pStyle w:val="UZEIObr"/>
        <w:rPr>
          <w:rFonts w:eastAsia="Calibri"/>
        </w:rPr>
      </w:pPr>
      <w:bookmarkStart w:id="415" w:name="_Toc525727634"/>
      <w:bookmarkStart w:id="416" w:name="_Toc525735921"/>
      <w:bookmarkStart w:id="417" w:name="_Toc25919864"/>
      <w:bookmarkStart w:id="418" w:name="_Toc81815403"/>
      <w:bookmarkStart w:id="419" w:name="_Toc81817608"/>
      <w:r w:rsidRPr="00E65218">
        <w:rPr>
          <w:rFonts w:eastAsia="Calibri"/>
        </w:rPr>
        <w:t>Počet podnikatelů na venkově dle odvětví v grafu</w:t>
      </w:r>
      <w:bookmarkEnd w:id="415"/>
      <w:bookmarkEnd w:id="416"/>
      <w:bookmarkEnd w:id="417"/>
      <w:bookmarkEnd w:id="418"/>
      <w:bookmarkEnd w:id="419"/>
    </w:p>
    <w:p w14:paraId="5DA8749E" w14:textId="77777777" w:rsidR="00A14B9B" w:rsidRPr="002A0D4F" w:rsidRDefault="00A14B9B" w:rsidP="00A14B9B">
      <w:pPr>
        <w:rPr>
          <w:rFonts w:ascii="Calibri" w:eastAsia="Calibri" w:hAnsi="Calibri" w:cs="Calibri"/>
          <w:b/>
          <w:bCs/>
          <w:sz w:val="22"/>
          <w:lang w:val="cs-CZ"/>
        </w:rPr>
      </w:pPr>
      <w:r w:rsidRPr="002A0D4F">
        <w:rPr>
          <w:noProof/>
          <w:lang w:val="cs-CZ" w:eastAsia="cs-CZ"/>
        </w:rPr>
        <w:drawing>
          <wp:inline distT="0" distB="0" distL="0" distR="0" wp14:anchorId="4D809DB1" wp14:editId="5A2E6E62">
            <wp:extent cx="4709160" cy="2943225"/>
            <wp:effectExtent l="0" t="0" r="0" b="9525"/>
            <wp:docPr id="381178250"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61">
                      <a:extLst>
                        <a:ext uri="{28A0092B-C50C-407E-A947-70E740481C1C}">
                          <a14:useLocalDpi xmlns:a14="http://schemas.microsoft.com/office/drawing/2010/main" val="0"/>
                        </a:ext>
                      </a:extLst>
                    </a:blip>
                    <a:stretch>
                      <a:fillRect/>
                    </a:stretch>
                  </pic:blipFill>
                  <pic:spPr>
                    <a:xfrm>
                      <a:off x="0" y="0"/>
                      <a:ext cx="4709160" cy="2943225"/>
                    </a:xfrm>
                    <a:prstGeom prst="rect">
                      <a:avLst/>
                    </a:prstGeom>
                  </pic:spPr>
                </pic:pic>
              </a:graphicData>
            </a:graphic>
          </wp:inline>
        </w:drawing>
      </w:r>
    </w:p>
    <w:p w14:paraId="228EC23E" w14:textId="77777777" w:rsidR="00A14B9B" w:rsidRPr="002A0D4F" w:rsidRDefault="00A14B9B" w:rsidP="00CA2B98">
      <w:pPr>
        <w:pStyle w:val="UZEIZdroj"/>
      </w:pPr>
      <w:r w:rsidRPr="002A0D4F">
        <w:t>Zdroj: AMSP ČR</w:t>
      </w:r>
    </w:p>
    <w:p w14:paraId="59BE8D21" w14:textId="77777777" w:rsidR="00A14B9B" w:rsidRPr="00CA2B98" w:rsidRDefault="00A14B9B" w:rsidP="00CA2B98">
      <w:pPr>
        <w:pStyle w:val="UZEINormaln"/>
        <w:rPr>
          <w:rFonts w:eastAsia="Calibri"/>
        </w:rPr>
      </w:pPr>
      <w:r w:rsidRPr="00CA2B98">
        <w:rPr>
          <w:rFonts w:eastAsia="Calibri"/>
        </w:rPr>
        <w:t>Více jak 20 % ze všech firem na venkově jsou podnikatelé v oblasti obchodu a drobných služeb, 15 % drobné průmyslové aktivity, po 10 % drží firmy z profesních oborů, stavebnictví, ubytování a sociálních služeb. Podnikatelé v zemědělství jsou na venkově zastoupeny z 5 %.</w:t>
      </w:r>
    </w:p>
    <w:p w14:paraId="544C64B3" w14:textId="77777777" w:rsidR="00A14B9B" w:rsidRPr="00CA2B98" w:rsidRDefault="00A14B9B" w:rsidP="00CA2B98">
      <w:pPr>
        <w:pStyle w:val="UZEINormaln"/>
        <w:rPr>
          <w:rFonts w:eastAsiaTheme="majorEastAsia"/>
          <w:b/>
          <w:bCs/>
        </w:rPr>
      </w:pPr>
      <w:r w:rsidRPr="00CA2B98">
        <w:rPr>
          <w:rFonts w:eastAsiaTheme="majorEastAsia"/>
          <w:b/>
          <w:bCs/>
        </w:rPr>
        <w:t>Diverzifikace</w:t>
      </w:r>
    </w:p>
    <w:p w14:paraId="11C00A76" w14:textId="77777777" w:rsidR="00A14B9B" w:rsidRPr="00CA2B98" w:rsidRDefault="00A14B9B" w:rsidP="00CA2B98">
      <w:pPr>
        <w:pStyle w:val="UZEINormaln"/>
      </w:pPr>
      <w:r w:rsidRPr="00CA2B98">
        <w:t xml:space="preserve">Podíl </w:t>
      </w:r>
      <w:proofErr w:type="spellStart"/>
      <w:r w:rsidRPr="00CA2B98">
        <w:t>diverzifikujících</w:t>
      </w:r>
      <w:proofErr w:type="spellEnd"/>
      <w:r w:rsidRPr="00CA2B98">
        <w:t xml:space="preserve"> podniků v ČR 20,5 % (Dánsko 52,9 % nebo Rakousko 46,7 % v r. 2016).</w:t>
      </w:r>
    </w:p>
    <w:p w14:paraId="0F5E05C5" w14:textId="4F5057E6" w:rsidR="00A14B9B" w:rsidRPr="00CA2B98" w:rsidRDefault="00A14B9B" w:rsidP="00CA2B98">
      <w:pPr>
        <w:pStyle w:val="UZEINormaln"/>
      </w:pPr>
      <w:r w:rsidRPr="00CA2B98">
        <w:t xml:space="preserve">V roce 2016 diverzifikovalo svou činnost průměrně 29,5 % zemědělských podniků v EU (Obrázek </w:t>
      </w:r>
      <w:r w:rsidR="002E2C9B">
        <w:t>23</w:t>
      </w:r>
      <w:r w:rsidRPr="00CA2B98">
        <w:t xml:space="preserve">). Mezi země, v nichž diverzifikuje méně než čtvrtina podniků, lze zařadit Rumunsko, Portugalsko, Španělsko, Českou republiku, Chorvatsko, Řecko, Belgii a Polsko. Naopak v Dánsku diverzifikuje svou činnost až 52,9 % zemědělských podniků, v Rakousku 46,7 % a Bulharsku 42,6 %.    V České republice diverzifikovalo dle </w:t>
      </w:r>
      <w:proofErr w:type="spellStart"/>
      <w:r w:rsidRPr="00CA2B98">
        <w:t>Eurostat</w:t>
      </w:r>
      <w:proofErr w:type="spellEnd"/>
      <w:r w:rsidRPr="00CA2B98">
        <w:t xml:space="preserve"> v roce 2016 20,5 % podniků, což je o 9 p. b. méně, než je průměr EU (29,5 %). Nejběžnější z těchto činností </w:t>
      </w:r>
      <w:r w:rsidRPr="00CA2B98">
        <w:lastRenderedPageBreak/>
        <w:t>jsou smluvní práce, zpracování zemědělských produktů, výroba obnovitelné energie a cestovní ruch (</w:t>
      </w:r>
      <w:r w:rsidR="00F10404">
        <w:fldChar w:fldCharType="begin"/>
      </w:r>
      <w:r w:rsidR="00F10404">
        <w:instrText xml:space="preserve"> REF _Ref81778252 \r \h </w:instrText>
      </w:r>
      <w:r w:rsidR="00F10404">
        <w:fldChar w:fldCharType="separate"/>
      </w:r>
      <w:r w:rsidR="00F10404">
        <w:t>Obrázek 24</w:t>
      </w:r>
      <w:r w:rsidR="00F10404">
        <w:fldChar w:fldCharType="end"/>
      </w:r>
      <w:r w:rsidRPr="00CA2B98">
        <w:t>).</w:t>
      </w:r>
    </w:p>
    <w:p w14:paraId="74BCC9E3" w14:textId="1D055D4A" w:rsidR="00A14B9B" w:rsidRPr="002E2C9B" w:rsidRDefault="00A14B9B" w:rsidP="002E2C9B">
      <w:pPr>
        <w:pStyle w:val="UZEIObr"/>
        <w:rPr>
          <w:rFonts w:eastAsiaTheme="majorEastAsia"/>
        </w:rPr>
      </w:pPr>
      <w:bookmarkStart w:id="420" w:name="_Toc525727635"/>
      <w:bookmarkStart w:id="421" w:name="_Toc525735922"/>
      <w:bookmarkStart w:id="422" w:name="_Toc25919865"/>
      <w:bookmarkStart w:id="423" w:name="_Toc81815404"/>
      <w:bookmarkStart w:id="424" w:name="_Toc81817609"/>
      <w:r w:rsidRPr="002E2C9B">
        <w:rPr>
          <w:rFonts w:eastAsiaTheme="majorEastAsia"/>
        </w:rPr>
        <w:t>Podíl zemědělských podniků s nezemědělskou činností na celkovém počtu zem. podniků v členských státech EU v roce 2013 a 2016</w:t>
      </w:r>
      <w:bookmarkEnd w:id="420"/>
      <w:bookmarkEnd w:id="421"/>
      <w:bookmarkEnd w:id="422"/>
      <w:bookmarkEnd w:id="423"/>
      <w:bookmarkEnd w:id="424"/>
    </w:p>
    <w:p w14:paraId="099A052D" w14:textId="77777777" w:rsidR="00A14B9B" w:rsidRPr="002E2C9B" w:rsidRDefault="00A14B9B" w:rsidP="002E2C9B">
      <w:pPr>
        <w:pStyle w:val="UZEIZdroj"/>
      </w:pPr>
      <w:r w:rsidRPr="002A0D4F">
        <w:rPr>
          <w:noProof/>
          <w:lang w:eastAsia="cs-CZ"/>
        </w:rPr>
        <w:drawing>
          <wp:inline distT="0" distB="0" distL="0" distR="0" wp14:anchorId="424D92B3" wp14:editId="3501A27D">
            <wp:extent cx="5753098" cy="3000375"/>
            <wp:effectExtent l="0" t="0" r="0" b="0"/>
            <wp:docPr id="1313390399" name="Obrázek 1313390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313390399"/>
                    <pic:cNvPicPr/>
                  </pic:nvPicPr>
                  <pic:blipFill>
                    <a:blip r:embed="rId62">
                      <a:extLst>
                        <a:ext uri="{28A0092B-C50C-407E-A947-70E740481C1C}">
                          <a14:useLocalDpi xmlns:a14="http://schemas.microsoft.com/office/drawing/2010/main" val="0"/>
                        </a:ext>
                      </a:extLst>
                    </a:blip>
                    <a:stretch>
                      <a:fillRect/>
                    </a:stretch>
                  </pic:blipFill>
                  <pic:spPr>
                    <a:xfrm>
                      <a:off x="0" y="0"/>
                      <a:ext cx="5753098" cy="3000375"/>
                    </a:xfrm>
                    <a:prstGeom prst="rect">
                      <a:avLst/>
                    </a:prstGeom>
                  </pic:spPr>
                </pic:pic>
              </a:graphicData>
            </a:graphic>
          </wp:inline>
        </w:drawing>
      </w:r>
      <w:r w:rsidRPr="002E2C9B">
        <w:t>Pozn.: Data za Finsko a Švédsko nejsou k dispozici</w:t>
      </w:r>
    </w:p>
    <w:p w14:paraId="74C53EA0" w14:textId="77777777" w:rsidR="00A14B9B" w:rsidRPr="002E2C9B" w:rsidRDefault="00A14B9B" w:rsidP="002E2C9B">
      <w:pPr>
        <w:pStyle w:val="UZEIZdroj"/>
      </w:pPr>
      <w:r w:rsidRPr="002E2C9B">
        <w:t xml:space="preserve">Zdroj: </w:t>
      </w:r>
      <w:proofErr w:type="spellStart"/>
      <w:r w:rsidRPr="002E2C9B">
        <w:t>Eurostat</w:t>
      </w:r>
      <w:proofErr w:type="spellEnd"/>
      <w:r w:rsidRPr="002E2C9B">
        <w:t xml:space="preserve"> (</w:t>
      </w:r>
      <w:proofErr w:type="spellStart"/>
      <w:r w:rsidRPr="002E2C9B">
        <w:t>Farm</w:t>
      </w:r>
      <w:proofErr w:type="spellEnd"/>
      <w:r w:rsidRPr="002E2C9B">
        <w:t xml:space="preserve"> </w:t>
      </w:r>
      <w:proofErr w:type="spellStart"/>
      <w:r w:rsidRPr="002E2C9B">
        <w:t>Structure</w:t>
      </w:r>
      <w:proofErr w:type="spellEnd"/>
      <w:r w:rsidRPr="002E2C9B">
        <w:t xml:space="preserve"> </w:t>
      </w:r>
      <w:proofErr w:type="spellStart"/>
      <w:r w:rsidRPr="002E2C9B">
        <w:t>Survey</w:t>
      </w:r>
      <w:proofErr w:type="spellEnd"/>
      <w:r w:rsidRPr="002E2C9B">
        <w:t xml:space="preserve"> 2013,2016)</w:t>
      </w:r>
    </w:p>
    <w:p w14:paraId="4E007191" w14:textId="003E2B18" w:rsidR="00A14B9B" w:rsidRDefault="00A14B9B" w:rsidP="002E2C9B">
      <w:pPr>
        <w:pStyle w:val="UZEINormaln"/>
      </w:pPr>
      <w:r w:rsidRPr="002A0D4F">
        <w:t>Zemědělské podniky v České republice dle dat ČSÚ nejvíce diverzifikují svou činnost formou smluvních prací, dále lesnictvím, zpracováním zemědělských produktů a cestovním ruchem (</w:t>
      </w:r>
      <w:r w:rsidR="00F10404">
        <w:fldChar w:fldCharType="begin"/>
      </w:r>
      <w:r w:rsidR="00F10404">
        <w:instrText xml:space="preserve"> REF _Ref81778288 \r \h </w:instrText>
      </w:r>
      <w:r w:rsidR="00F10404">
        <w:fldChar w:fldCharType="separate"/>
      </w:r>
      <w:r w:rsidR="00F10404">
        <w:t>Obrázek 24</w:t>
      </w:r>
      <w:r w:rsidR="00F10404">
        <w:fldChar w:fldCharType="end"/>
      </w:r>
      <w:r w:rsidRPr="002A0D4F">
        <w:t>).</w:t>
      </w:r>
    </w:p>
    <w:p w14:paraId="0211A1D2" w14:textId="39E80EBB" w:rsidR="00A14B9B" w:rsidRPr="002E2C9B" w:rsidRDefault="002E2C9B" w:rsidP="002E2C9B">
      <w:pPr>
        <w:pStyle w:val="UZEIObr"/>
        <w:rPr>
          <w:rFonts w:eastAsiaTheme="majorEastAsia"/>
        </w:rPr>
      </w:pPr>
      <w:bookmarkStart w:id="425" w:name="_Toc525727636"/>
      <w:bookmarkStart w:id="426" w:name="_Toc525735923"/>
      <w:bookmarkStart w:id="427" w:name="_Toc25919866"/>
      <w:bookmarkStart w:id="428" w:name="_Ref81778252"/>
      <w:bookmarkStart w:id="429" w:name="_Ref81778288"/>
      <w:bookmarkStart w:id="430" w:name="_Toc81815405"/>
      <w:bookmarkStart w:id="431" w:name="_Toc81817610"/>
      <w:r w:rsidRPr="002E2C9B">
        <w:drawing>
          <wp:anchor distT="0" distB="0" distL="114300" distR="114300" simplePos="0" relativeHeight="251658242" behindDoc="0" locked="0" layoutInCell="1" allowOverlap="1" wp14:anchorId="1AC35780" wp14:editId="2C6BB7AF">
            <wp:simplePos x="0" y="0"/>
            <wp:positionH relativeFrom="margin">
              <wp:align>right</wp:align>
            </wp:positionH>
            <wp:positionV relativeFrom="paragraph">
              <wp:posOffset>266065</wp:posOffset>
            </wp:positionV>
            <wp:extent cx="5738400" cy="2732400"/>
            <wp:effectExtent l="0" t="0" r="0" b="0"/>
            <wp:wrapTopAndBottom/>
            <wp:docPr id="375597078" name="Obrázek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39"/>
                    <pic:cNvPicPr/>
                  </pic:nvPicPr>
                  <pic:blipFill>
                    <a:blip r:embed="rId63">
                      <a:extLst>
                        <a:ext uri="{28A0092B-C50C-407E-A947-70E740481C1C}">
                          <a14:useLocalDpi xmlns:a14="http://schemas.microsoft.com/office/drawing/2010/main" val="0"/>
                        </a:ext>
                      </a:extLst>
                    </a:blip>
                    <a:stretch>
                      <a:fillRect/>
                    </a:stretch>
                  </pic:blipFill>
                  <pic:spPr>
                    <a:xfrm>
                      <a:off x="0" y="0"/>
                      <a:ext cx="5738400" cy="2732400"/>
                    </a:xfrm>
                    <a:prstGeom prst="rect">
                      <a:avLst/>
                    </a:prstGeom>
                  </pic:spPr>
                </pic:pic>
              </a:graphicData>
            </a:graphic>
            <wp14:sizeRelH relativeFrom="margin">
              <wp14:pctWidth>0</wp14:pctWidth>
            </wp14:sizeRelH>
            <wp14:sizeRelV relativeFrom="margin">
              <wp14:pctHeight>0</wp14:pctHeight>
            </wp14:sizeRelV>
          </wp:anchor>
        </w:drawing>
      </w:r>
      <w:r w:rsidR="00A14B9B" w:rsidRPr="002E2C9B">
        <w:rPr>
          <w:rStyle w:val="UZEIObrChar"/>
          <w:rFonts w:eastAsiaTheme="majorEastAsia"/>
          <w:b/>
        </w:rPr>
        <w:t>Podniky provozující nezemědělskou činnost podle druhu v roce 2010, 2013 a 2016</w:t>
      </w:r>
      <w:bookmarkEnd w:id="425"/>
      <w:bookmarkEnd w:id="426"/>
      <w:bookmarkEnd w:id="427"/>
      <w:bookmarkEnd w:id="428"/>
      <w:bookmarkEnd w:id="429"/>
      <w:bookmarkEnd w:id="430"/>
      <w:bookmarkEnd w:id="431"/>
    </w:p>
    <w:p w14:paraId="7979961B" w14:textId="77777777" w:rsidR="00A14B9B" w:rsidRPr="002A0D4F" w:rsidRDefault="00A14B9B" w:rsidP="002E2C9B">
      <w:pPr>
        <w:pStyle w:val="UZEIZdroj"/>
      </w:pPr>
      <w:r w:rsidRPr="002A0D4F">
        <w:t xml:space="preserve">Zdroj: </w:t>
      </w:r>
      <w:proofErr w:type="spellStart"/>
      <w:r w:rsidRPr="002A0D4F">
        <w:t>Agrocenzus</w:t>
      </w:r>
      <w:proofErr w:type="spellEnd"/>
      <w:r w:rsidRPr="002A0D4F">
        <w:t xml:space="preserve"> 2010, Strukturální šetření v zemědělství 2013, 2016</w:t>
      </w:r>
    </w:p>
    <w:p w14:paraId="48807914" w14:textId="77777777" w:rsidR="00A14B9B" w:rsidRPr="002A0D4F" w:rsidRDefault="00A14B9B" w:rsidP="002E2C9B">
      <w:pPr>
        <w:pStyle w:val="UZEINormaln"/>
        <w:rPr>
          <w:rFonts w:eastAsiaTheme="minorEastAsia"/>
        </w:rPr>
      </w:pPr>
      <w:r w:rsidRPr="002A0D4F">
        <w:rPr>
          <w:rFonts w:eastAsiaTheme="minorEastAsia"/>
        </w:rPr>
        <w:t>Podrobnější kategorizaci ostatní produkce zemědělských podniků, v členění na ostatní produkci RV, ostatní produkci ŽV, ostatní produkci – služby, ostatní produkci – agroturistiku a ostatní produkci – OZE (obnovitelné zdroje energie) sleduje od roku 2014 rovněž Zemědělská účetní datová síť FADN CZ. Údaje jsou dostupné do roku 2018.</w:t>
      </w:r>
    </w:p>
    <w:p w14:paraId="03B1DAFF" w14:textId="3F2E5098" w:rsidR="00A14B9B" w:rsidRPr="002A0D4F" w:rsidRDefault="00A14B9B" w:rsidP="002E2C9B">
      <w:pPr>
        <w:pStyle w:val="UZEINormaln"/>
        <w:rPr>
          <w:rFonts w:eastAsiaTheme="minorEastAsia"/>
        </w:rPr>
      </w:pPr>
      <w:r w:rsidRPr="002A0D4F">
        <w:rPr>
          <w:rFonts w:eastAsiaTheme="minorEastAsia"/>
        </w:rPr>
        <w:lastRenderedPageBreak/>
        <w:t xml:space="preserve">Podíl ostatní produkce na celkové zemědělské produkci se u podniků FADN v letech 2015-2018 pohybuje zhruba mezi 11-13 %. Celkově výraznějším tempem roste úroveň u právnických </w:t>
      </w:r>
      <w:r w:rsidRPr="002A0D4F">
        <w:rPr>
          <w:rFonts w:eastAsiaTheme="minorEastAsia"/>
          <w:color w:val="000000" w:themeColor="text1"/>
        </w:rPr>
        <w:t>osob, v posledních třech sledovaných letech ovšem výrazně narostly i hodnoty u osob fyzických (</w:t>
      </w:r>
      <w:r w:rsidRPr="002A0D4F">
        <w:rPr>
          <w:color w:val="000000" w:themeColor="text1"/>
        </w:rPr>
        <w:t>Obrázek 3.10</w:t>
      </w:r>
      <w:r w:rsidRPr="002A0D4F">
        <w:rPr>
          <w:rFonts w:eastAsiaTheme="minorEastAsia"/>
          <w:color w:val="000000" w:themeColor="text1"/>
        </w:rPr>
        <w:t xml:space="preserve">). Hodnota ostatní produkce byla v roce 2018 na 4653 Kč/ha, od r. 2014 o zhruba o 600 Kč/ha. Nejvýraznější podíl na ostatní produkci má prodej zemědělských služeb (zhruba 33 %, </w:t>
      </w:r>
      <w:r w:rsidR="00205DB0">
        <w:rPr>
          <w:color w:val="000000" w:themeColor="text1"/>
        </w:rPr>
        <w:fldChar w:fldCharType="begin"/>
      </w:r>
      <w:r w:rsidR="00205DB0">
        <w:rPr>
          <w:rFonts w:eastAsiaTheme="minorEastAsia"/>
          <w:color w:val="000000" w:themeColor="text1"/>
        </w:rPr>
        <w:instrText xml:space="preserve"> REF _Ref81778306 \r \h </w:instrText>
      </w:r>
      <w:r w:rsidR="00205DB0">
        <w:rPr>
          <w:color w:val="000000" w:themeColor="text1"/>
        </w:rPr>
      </w:r>
      <w:r w:rsidR="00205DB0">
        <w:rPr>
          <w:color w:val="000000" w:themeColor="text1"/>
        </w:rPr>
        <w:fldChar w:fldCharType="separate"/>
      </w:r>
      <w:r w:rsidR="00205DB0">
        <w:rPr>
          <w:rFonts w:eastAsiaTheme="minorEastAsia"/>
          <w:color w:val="000000" w:themeColor="text1"/>
        </w:rPr>
        <w:t>Obrázek 25</w:t>
      </w:r>
      <w:r w:rsidR="00205DB0">
        <w:rPr>
          <w:color w:val="000000" w:themeColor="text1"/>
        </w:rPr>
        <w:fldChar w:fldCharType="end"/>
      </w:r>
      <w:r w:rsidRPr="002A0D4F">
        <w:rPr>
          <w:rFonts w:eastAsiaTheme="minorEastAsia"/>
          <w:color w:val="000000" w:themeColor="text1"/>
        </w:rPr>
        <w:t xml:space="preserve">). Ostatní produkce je ve větší míře zastoupena u podniků právnických osob (5 524 Kč/ha v roce 2018), u fyzických </w:t>
      </w:r>
      <w:r w:rsidRPr="002A0D4F">
        <w:rPr>
          <w:rFonts w:eastAsiaTheme="minorEastAsia"/>
        </w:rPr>
        <w:t xml:space="preserve">osob činila hodnota ostatní produkce za tentýž rok v průměru 2 457 Kč/ha. </w:t>
      </w:r>
    </w:p>
    <w:p w14:paraId="592B1D3C" w14:textId="601296E1" w:rsidR="00A14B9B" w:rsidRPr="002A0D4F" w:rsidRDefault="00A14B9B" w:rsidP="002E2C9B">
      <w:pPr>
        <w:pStyle w:val="UZEIObr"/>
        <w:rPr>
          <w:rFonts w:eastAsiaTheme="majorEastAsia"/>
        </w:rPr>
      </w:pPr>
      <w:bookmarkStart w:id="432" w:name="_Toc25919867"/>
      <w:bookmarkStart w:id="433" w:name="_Ref81778306"/>
      <w:bookmarkStart w:id="434" w:name="_Toc81815406"/>
      <w:bookmarkStart w:id="435" w:name="_Toc81817611"/>
      <w:bookmarkStart w:id="436" w:name="_Toc525727637"/>
      <w:bookmarkStart w:id="437" w:name="_Toc525735924"/>
      <w:r w:rsidRPr="002A0D4F">
        <w:rPr>
          <w:rFonts w:eastAsiaTheme="majorEastAsia"/>
        </w:rPr>
        <w:t>Podíl ostatní produkce na celkové produkci (%) u fyzických a právnických osob</w:t>
      </w:r>
      <w:bookmarkEnd w:id="432"/>
      <w:bookmarkEnd w:id="433"/>
      <w:bookmarkEnd w:id="434"/>
      <w:bookmarkEnd w:id="435"/>
    </w:p>
    <w:p w14:paraId="660D7444" w14:textId="77777777" w:rsidR="00A14B9B" w:rsidRPr="002A0D4F" w:rsidRDefault="00A14B9B" w:rsidP="00A14B9B">
      <w:pPr>
        <w:keepNext/>
        <w:jc w:val="left"/>
        <w:rPr>
          <w:rFonts w:asciiTheme="majorHAnsi" w:eastAsiaTheme="majorEastAsia" w:hAnsiTheme="majorHAnsi" w:cstheme="majorBidi"/>
          <w:b/>
          <w:bCs/>
          <w:sz w:val="22"/>
          <w:lang w:val="cs-CZ"/>
        </w:rPr>
      </w:pPr>
      <w:r w:rsidRPr="002A0D4F">
        <w:rPr>
          <w:noProof/>
          <w:lang w:val="cs-CZ" w:eastAsia="cs-CZ"/>
        </w:rPr>
        <w:drawing>
          <wp:inline distT="0" distB="0" distL="0" distR="0" wp14:anchorId="55F806C8" wp14:editId="27291793">
            <wp:extent cx="4619625" cy="2914650"/>
            <wp:effectExtent l="0" t="0" r="9525" b="0"/>
            <wp:docPr id="14" name="Graf 14">
              <a:extLst xmlns:a="http://schemas.openxmlformats.org/drawingml/2006/main">
                <a:ext uri="{FF2B5EF4-FFF2-40B4-BE49-F238E27FC236}">
                  <a16:creationId xmlns:a16="http://schemas.microsoft.com/office/drawing/2014/main" id="{00000000-0008-0000-04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inline>
        </w:drawing>
      </w:r>
    </w:p>
    <w:bookmarkEnd w:id="436"/>
    <w:bookmarkEnd w:id="437"/>
    <w:p w14:paraId="2D323D01" w14:textId="77777777" w:rsidR="00A14B9B" w:rsidRPr="002A0D4F" w:rsidRDefault="00A14B9B" w:rsidP="00A14B9B">
      <w:pPr>
        <w:keepNext/>
        <w:jc w:val="left"/>
        <w:rPr>
          <w:rFonts w:asciiTheme="majorHAnsi" w:eastAsiaTheme="majorEastAsia" w:hAnsiTheme="majorHAnsi" w:cstheme="majorBidi"/>
          <w:b/>
          <w:bCs/>
          <w:sz w:val="22"/>
          <w:lang w:val="cs-CZ"/>
        </w:rPr>
      </w:pPr>
    </w:p>
    <w:p w14:paraId="7B5B2334" w14:textId="77777777" w:rsidR="00A14B9B" w:rsidRPr="002A0D4F" w:rsidRDefault="00A14B9B" w:rsidP="0021391D">
      <w:pPr>
        <w:pStyle w:val="UZEIZdroj"/>
      </w:pPr>
      <w:r w:rsidRPr="002A0D4F">
        <w:t>Zdroj: FADN</w:t>
      </w:r>
    </w:p>
    <w:p w14:paraId="72628BE8" w14:textId="1423427F" w:rsidR="00A14B9B" w:rsidRPr="002A0D4F" w:rsidRDefault="00A14B9B" w:rsidP="0021391D">
      <w:pPr>
        <w:pStyle w:val="UZEIObr"/>
        <w:rPr>
          <w:rFonts w:eastAsiaTheme="majorEastAsia"/>
        </w:rPr>
      </w:pPr>
      <w:bookmarkStart w:id="438" w:name="_Toc25919868"/>
      <w:bookmarkStart w:id="439" w:name="_Toc81815407"/>
      <w:bookmarkStart w:id="440" w:name="_Toc81817612"/>
      <w:bookmarkStart w:id="441" w:name="_Toc525727638"/>
      <w:bookmarkStart w:id="442" w:name="_Toc525735925"/>
      <w:r w:rsidRPr="002A0D4F">
        <w:rPr>
          <w:rFonts w:eastAsiaTheme="majorEastAsia"/>
        </w:rPr>
        <w:t xml:space="preserve">Struktura ostatní produkce v roce </w:t>
      </w:r>
      <w:bookmarkEnd w:id="438"/>
      <w:r w:rsidRPr="002A0D4F">
        <w:rPr>
          <w:rFonts w:eastAsiaTheme="majorEastAsia"/>
        </w:rPr>
        <w:t>2018</w:t>
      </w:r>
      <w:bookmarkEnd w:id="439"/>
      <w:bookmarkEnd w:id="440"/>
    </w:p>
    <w:p w14:paraId="499E3399" w14:textId="77777777" w:rsidR="00A14B9B" w:rsidRPr="002A0D4F" w:rsidRDefault="00A14B9B" w:rsidP="00A14B9B">
      <w:pPr>
        <w:jc w:val="left"/>
        <w:rPr>
          <w:szCs w:val="24"/>
          <w:lang w:val="cs-CZ" w:eastAsia="en-GB"/>
        </w:rPr>
      </w:pPr>
      <w:r w:rsidRPr="002A0D4F">
        <w:rPr>
          <w:noProof/>
          <w:lang w:val="cs-CZ" w:eastAsia="cs-CZ"/>
        </w:rPr>
        <w:drawing>
          <wp:inline distT="0" distB="0" distL="0" distR="0" wp14:anchorId="6E7A31F9" wp14:editId="47985076">
            <wp:extent cx="4629150" cy="2777490"/>
            <wp:effectExtent l="0" t="0" r="0" b="3810"/>
            <wp:docPr id="413022729" name="Obrázek 18" descr="C:\Users\hlavsa\AppData\Local\Microsoft\Windows\INetCache\Content.MSO\19975BB4.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8"/>
                    <pic:cNvPicPr/>
                  </pic:nvPicPr>
                  <pic:blipFill>
                    <a:blip r:embed="rId65">
                      <a:extLst>
                        <a:ext uri="{28A0092B-C50C-407E-A947-70E740481C1C}">
                          <a14:useLocalDpi xmlns:a14="http://schemas.microsoft.com/office/drawing/2010/main" val="0"/>
                        </a:ext>
                      </a:extLst>
                    </a:blip>
                    <a:stretch>
                      <a:fillRect/>
                    </a:stretch>
                  </pic:blipFill>
                  <pic:spPr>
                    <a:xfrm>
                      <a:off x="0" y="0"/>
                      <a:ext cx="4629150" cy="2777490"/>
                    </a:xfrm>
                    <a:prstGeom prst="rect">
                      <a:avLst/>
                    </a:prstGeom>
                  </pic:spPr>
                </pic:pic>
              </a:graphicData>
            </a:graphic>
          </wp:inline>
        </w:drawing>
      </w:r>
    </w:p>
    <w:bookmarkEnd w:id="441"/>
    <w:bookmarkEnd w:id="442"/>
    <w:p w14:paraId="6E214448" w14:textId="77777777" w:rsidR="00A14B9B" w:rsidRPr="00F9063D" w:rsidRDefault="00A14B9B" w:rsidP="00F9063D">
      <w:pPr>
        <w:pStyle w:val="UZEIZdroj"/>
      </w:pPr>
      <w:r w:rsidRPr="00F9063D">
        <w:t>Zdroj: FADN</w:t>
      </w:r>
    </w:p>
    <w:p w14:paraId="0D456BEE" w14:textId="6EC0C1A9" w:rsidR="00A14B9B" w:rsidRPr="002A0D4F" w:rsidRDefault="00A14B9B" w:rsidP="00F9063D">
      <w:pPr>
        <w:pStyle w:val="UZEINormaln"/>
      </w:pPr>
      <w:r w:rsidRPr="002A0D4F">
        <w:t>Jak je zřejmé z </w:t>
      </w:r>
      <w:r w:rsidR="00E35FAA">
        <w:fldChar w:fldCharType="begin"/>
      </w:r>
      <w:r w:rsidR="00E35FAA">
        <w:instrText xml:space="preserve"> REF _Ref81778407 \r \h </w:instrText>
      </w:r>
      <w:r w:rsidR="00E35FAA">
        <w:fldChar w:fldCharType="separate"/>
      </w:r>
      <w:r w:rsidR="00E35FAA">
        <w:t>Obrázek 27</w:t>
      </w:r>
      <w:r w:rsidR="00E35FAA">
        <w:fldChar w:fldCharType="end"/>
      </w:r>
      <w:r w:rsidRPr="002A0D4F">
        <w:t xml:space="preserve">, podíl agroturistiky na ostatní produkci jako celku je výraznější v méně příznivých oblastech (zejména pak v ANC-H), v roce 2018 představoval podíl necelých </w:t>
      </w:r>
      <w:r w:rsidRPr="002A0D4F">
        <w:lastRenderedPageBreak/>
        <w:t>10 %. Vyšší podíl OZE na celkové produkci vykazují podniky mimo méně příznivých oblastí (N) a ANC-J (</w:t>
      </w:r>
      <w:r w:rsidR="00F9063D">
        <w:fldChar w:fldCharType="begin"/>
      </w:r>
      <w:r w:rsidR="00F9063D">
        <w:instrText xml:space="preserve"> REF _Ref81761427 \r \h </w:instrText>
      </w:r>
      <w:r w:rsidR="00F9063D">
        <w:fldChar w:fldCharType="separate"/>
      </w:r>
      <w:r w:rsidR="00F9063D">
        <w:t>Obrázek 28</w:t>
      </w:r>
      <w:r w:rsidR="00F9063D">
        <w:fldChar w:fldCharType="end"/>
      </w:r>
      <w:r w:rsidRPr="002A0D4F">
        <w:t xml:space="preserve">). V horských ANC je tento podíl zhruba na úrovni zhruba 5 %. </w:t>
      </w:r>
    </w:p>
    <w:p w14:paraId="2AABCDE1" w14:textId="5CE24D31" w:rsidR="00A14B9B" w:rsidRPr="002A0D4F" w:rsidRDefault="00A14B9B" w:rsidP="00F9063D">
      <w:pPr>
        <w:pStyle w:val="UZEIObr"/>
        <w:rPr>
          <w:rFonts w:eastAsiaTheme="majorEastAsia"/>
        </w:rPr>
      </w:pPr>
      <w:bookmarkStart w:id="443" w:name="_Toc25919869"/>
      <w:bookmarkStart w:id="444" w:name="_Ref81778407"/>
      <w:bookmarkStart w:id="445" w:name="_Toc81815408"/>
      <w:bookmarkStart w:id="446" w:name="_Toc81817613"/>
      <w:bookmarkStart w:id="447" w:name="_Toc525727639"/>
      <w:bookmarkStart w:id="448" w:name="_Toc525735926"/>
      <w:r w:rsidRPr="002A0D4F">
        <w:rPr>
          <w:rFonts w:eastAsiaTheme="majorEastAsia"/>
        </w:rPr>
        <w:t>Podíl ostatní produkce – agroturistiky na tvorbě celkové hodnoty ostatní produkce (%)</w:t>
      </w:r>
      <w:bookmarkEnd w:id="443"/>
      <w:bookmarkEnd w:id="444"/>
      <w:bookmarkEnd w:id="445"/>
      <w:bookmarkEnd w:id="446"/>
    </w:p>
    <w:p w14:paraId="1C05EB69" w14:textId="77777777" w:rsidR="00A14B9B" w:rsidRPr="002A0D4F" w:rsidRDefault="00A14B9B" w:rsidP="00A14B9B">
      <w:pPr>
        <w:keepNext/>
        <w:jc w:val="left"/>
        <w:rPr>
          <w:rFonts w:asciiTheme="majorHAnsi" w:eastAsiaTheme="majorEastAsia" w:hAnsiTheme="majorHAnsi" w:cstheme="majorBidi"/>
          <w:b/>
          <w:bCs/>
          <w:sz w:val="22"/>
          <w:lang w:val="cs-CZ"/>
        </w:rPr>
      </w:pPr>
      <w:r w:rsidRPr="002A0D4F">
        <w:rPr>
          <w:noProof/>
          <w:lang w:val="cs-CZ" w:eastAsia="cs-CZ"/>
        </w:rPr>
        <w:drawing>
          <wp:inline distT="0" distB="0" distL="0" distR="0" wp14:anchorId="76DAF49B" wp14:editId="48E6CCE7">
            <wp:extent cx="4572000" cy="2743200"/>
            <wp:effectExtent l="0" t="0" r="0" b="0"/>
            <wp:docPr id="22" name="Graf 22">
              <a:extLst xmlns:a="http://schemas.openxmlformats.org/drawingml/2006/main">
                <a:ext uri="{FF2B5EF4-FFF2-40B4-BE49-F238E27FC236}">
                  <a16:creationId xmlns:a16="http://schemas.microsoft.com/office/drawing/2014/main" id="{A0CAA14D-8B06-4A91-803A-BB3C6FEA944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6"/>
              </a:graphicData>
            </a:graphic>
          </wp:inline>
        </w:drawing>
      </w:r>
    </w:p>
    <w:bookmarkEnd w:id="447"/>
    <w:bookmarkEnd w:id="448"/>
    <w:p w14:paraId="62620C8F" w14:textId="77777777" w:rsidR="00A14B9B" w:rsidRPr="002A0D4F" w:rsidRDefault="00A14B9B" w:rsidP="00F9063D">
      <w:pPr>
        <w:pStyle w:val="UZEIZdroj"/>
      </w:pPr>
      <w:r w:rsidRPr="002A0D4F">
        <w:t>Zdroj: FADN</w:t>
      </w:r>
    </w:p>
    <w:p w14:paraId="6688BC23" w14:textId="4EB8174F" w:rsidR="00A14B9B" w:rsidRPr="002A0D4F" w:rsidRDefault="00A14B9B" w:rsidP="00F9063D">
      <w:pPr>
        <w:pStyle w:val="UZEIObr"/>
        <w:rPr>
          <w:rFonts w:eastAsiaTheme="majorEastAsia"/>
        </w:rPr>
      </w:pPr>
      <w:bookmarkStart w:id="449" w:name="_Toc25919870"/>
      <w:bookmarkStart w:id="450" w:name="_Ref81761427"/>
      <w:bookmarkStart w:id="451" w:name="_Toc81815409"/>
      <w:bookmarkStart w:id="452" w:name="_Toc81817614"/>
      <w:bookmarkStart w:id="453" w:name="_Toc525727640"/>
      <w:bookmarkStart w:id="454" w:name="_Toc525735927"/>
      <w:r w:rsidRPr="002A0D4F">
        <w:rPr>
          <w:rFonts w:eastAsiaTheme="majorEastAsia"/>
        </w:rPr>
        <w:t>Podíl ostatní produkce – OZE na tvorbě celkové hodnoty ostatní produkce (%)</w:t>
      </w:r>
      <w:bookmarkEnd w:id="449"/>
      <w:bookmarkEnd w:id="450"/>
      <w:bookmarkEnd w:id="451"/>
      <w:bookmarkEnd w:id="452"/>
    </w:p>
    <w:p w14:paraId="26A68407" w14:textId="77777777" w:rsidR="00A14B9B" w:rsidRPr="002A0D4F" w:rsidRDefault="00A14B9B" w:rsidP="00A14B9B">
      <w:pPr>
        <w:jc w:val="left"/>
        <w:rPr>
          <w:rFonts w:asciiTheme="majorHAnsi" w:eastAsiaTheme="majorEastAsia" w:hAnsiTheme="majorHAnsi" w:cstheme="majorBidi"/>
          <w:b/>
          <w:bCs/>
          <w:sz w:val="22"/>
          <w:lang w:val="cs-CZ"/>
        </w:rPr>
      </w:pPr>
      <w:r w:rsidRPr="002A0D4F">
        <w:rPr>
          <w:noProof/>
          <w:lang w:val="cs-CZ" w:eastAsia="cs-CZ"/>
        </w:rPr>
        <w:drawing>
          <wp:inline distT="0" distB="0" distL="0" distR="0" wp14:anchorId="594F97A7" wp14:editId="5D79C46C">
            <wp:extent cx="4572000" cy="2743200"/>
            <wp:effectExtent l="0" t="0" r="0" b="0"/>
            <wp:docPr id="27" name="Graf 27">
              <a:extLst xmlns:a="http://schemas.openxmlformats.org/drawingml/2006/main">
                <a:ext uri="{FF2B5EF4-FFF2-40B4-BE49-F238E27FC236}">
                  <a16:creationId xmlns:a16="http://schemas.microsoft.com/office/drawing/2014/main" id="{8AF4A4D1-4C1F-4F6A-ADE3-779E15501A8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7"/>
              </a:graphicData>
            </a:graphic>
          </wp:inline>
        </w:drawing>
      </w:r>
    </w:p>
    <w:bookmarkEnd w:id="453"/>
    <w:bookmarkEnd w:id="454"/>
    <w:p w14:paraId="5D23B6F1" w14:textId="77777777" w:rsidR="00A14B9B" w:rsidRPr="002A0D4F" w:rsidRDefault="00A14B9B" w:rsidP="00A14B9B">
      <w:pPr>
        <w:jc w:val="left"/>
        <w:rPr>
          <w:lang w:val="cs-CZ"/>
        </w:rPr>
      </w:pPr>
    </w:p>
    <w:p w14:paraId="3E2E1072" w14:textId="77777777" w:rsidR="00A14B9B" w:rsidRPr="00F9063D" w:rsidRDefault="00A14B9B" w:rsidP="00F9063D">
      <w:pPr>
        <w:pStyle w:val="UZEIZdroj"/>
      </w:pPr>
      <w:r w:rsidRPr="00F9063D">
        <w:t>Zdroj: FADN</w:t>
      </w:r>
    </w:p>
    <w:p w14:paraId="0839B78A" w14:textId="20957B6E" w:rsidR="00A14B9B" w:rsidRPr="00F9063D" w:rsidRDefault="00A14B9B" w:rsidP="00F9063D">
      <w:pPr>
        <w:pStyle w:val="UZEINormaln"/>
      </w:pPr>
      <w:r w:rsidRPr="00F9063D">
        <w:t xml:space="preserve">Obrázky </w:t>
      </w:r>
      <w:r w:rsidR="00693379">
        <w:fldChar w:fldCharType="begin"/>
      </w:r>
      <w:r w:rsidR="00693379">
        <w:instrText xml:space="preserve"> REF _Ref81761601 \r \h </w:instrText>
      </w:r>
      <w:r w:rsidR="00693379">
        <w:fldChar w:fldCharType="separate"/>
      </w:r>
      <w:r w:rsidR="00693379">
        <w:t>29</w:t>
      </w:r>
      <w:r w:rsidR="00693379">
        <w:fldChar w:fldCharType="end"/>
      </w:r>
      <w:r w:rsidR="00693379">
        <w:fldChar w:fldCharType="begin"/>
      </w:r>
      <w:r w:rsidR="00693379">
        <w:instrText xml:space="preserve"> REF _Ref81761603 \r \h </w:instrText>
      </w:r>
      <w:r w:rsidR="00693379">
        <w:fldChar w:fldCharType="separate"/>
      </w:r>
      <w:r w:rsidR="00693379">
        <w:t xml:space="preserve"> a 30</w:t>
      </w:r>
      <w:r w:rsidR="00693379">
        <w:fldChar w:fldCharType="end"/>
      </w:r>
      <w:r w:rsidR="00693379">
        <w:t xml:space="preserve"> </w:t>
      </w:r>
      <w:r w:rsidRPr="00F9063D">
        <w:t>obsahují přehled hodnot ostatní produkce v Kč/ha pro agroturistiku a OZE v letech 2014–2018 v členění podle ekonomické velikosti (dle definice FADN). Jak je z dat zřejmé, významnou položku představuje agroturistika především u podniků malé ekonomické velikosti. Tyto podniky ovšem provozují v minimální míře produkci OZE. Největší podniky vykazují výrazně vyšší hodnoty ostatní produkce OZE, a to s výraznějším odstupem ve srovnání se zbylými třemi kategoriemi.</w:t>
      </w:r>
    </w:p>
    <w:p w14:paraId="31FBCEEC" w14:textId="77777777" w:rsidR="00444D03" w:rsidRDefault="00444D03">
      <w:pPr>
        <w:spacing w:after="160" w:line="259" w:lineRule="auto"/>
        <w:jc w:val="left"/>
        <w:rPr>
          <w:rFonts w:eastAsiaTheme="majorEastAsia" w:cs="Arial"/>
          <w:b/>
          <w:noProof/>
          <w:sz w:val="20"/>
          <w:szCs w:val="20"/>
          <w:lang w:val="cs-CZ" w:eastAsia="cs-CZ"/>
        </w:rPr>
      </w:pPr>
      <w:bookmarkStart w:id="455" w:name="_Toc525727641"/>
      <w:bookmarkStart w:id="456" w:name="_Toc525735928"/>
      <w:bookmarkStart w:id="457" w:name="_Toc25919871"/>
      <w:r>
        <w:rPr>
          <w:rFonts w:eastAsiaTheme="majorEastAsia"/>
        </w:rPr>
        <w:br w:type="page"/>
      </w:r>
    </w:p>
    <w:p w14:paraId="0589192D" w14:textId="7B20BCE6" w:rsidR="00A14B9B" w:rsidRPr="002A0D4F" w:rsidRDefault="00A14B9B" w:rsidP="00F9063D">
      <w:pPr>
        <w:pStyle w:val="UZEIObr"/>
        <w:rPr>
          <w:rFonts w:eastAsiaTheme="majorEastAsia"/>
        </w:rPr>
      </w:pPr>
      <w:bookmarkStart w:id="458" w:name="_Ref81761601"/>
      <w:bookmarkStart w:id="459" w:name="_Toc81815410"/>
      <w:bookmarkStart w:id="460" w:name="_Toc81817615"/>
      <w:r w:rsidRPr="002A0D4F">
        <w:rPr>
          <w:rFonts w:eastAsiaTheme="majorEastAsia"/>
        </w:rPr>
        <w:lastRenderedPageBreak/>
        <w:t>Hodnota ostatní produkce – agroturistiky v Kč/ha</w:t>
      </w:r>
      <w:bookmarkEnd w:id="455"/>
      <w:bookmarkEnd w:id="456"/>
      <w:bookmarkEnd w:id="457"/>
      <w:bookmarkEnd w:id="458"/>
      <w:bookmarkEnd w:id="459"/>
      <w:bookmarkEnd w:id="460"/>
    </w:p>
    <w:p w14:paraId="77977AFB" w14:textId="77777777" w:rsidR="00A14B9B" w:rsidRPr="002A0D4F" w:rsidRDefault="00A14B9B" w:rsidP="00A14B9B">
      <w:pPr>
        <w:keepNext/>
        <w:rPr>
          <w:rFonts w:asciiTheme="majorHAnsi" w:eastAsiaTheme="majorEastAsia" w:hAnsiTheme="majorHAnsi" w:cstheme="majorBidi"/>
          <w:b/>
          <w:bCs/>
          <w:sz w:val="22"/>
          <w:lang w:val="cs-CZ"/>
        </w:rPr>
      </w:pPr>
      <w:r w:rsidRPr="002A0D4F">
        <w:rPr>
          <w:noProof/>
          <w:lang w:val="cs-CZ" w:eastAsia="cs-CZ"/>
        </w:rPr>
        <w:drawing>
          <wp:inline distT="0" distB="0" distL="0" distR="0" wp14:anchorId="23714C83" wp14:editId="4C90F8EF">
            <wp:extent cx="4572000" cy="2743200"/>
            <wp:effectExtent l="0" t="0" r="0" b="0"/>
            <wp:docPr id="31" name="Graf 31">
              <a:extLst xmlns:a="http://schemas.openxmlformats.org/drawingml/2006/main">
                <a:ext uri="{FF2B5EF4-FFF2-40B4-BE49-F238E27FC236}">
                  <a16:creationId xmlns:a16="http://schemas.microsoft.com/office/drawing/2014/main" id="{72FD81F7-9163-42AF-8975-FCD60BE4D34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8"/>
              </a:graphicData>
            </a:graphic>
          </wp:inline>
        </w:drawing>
      </w:r>
    </w:p>
    <w:p w14:paraId="0955F2C3" w14:textId="77777777" w:rsidR="00A14B9B" w:rsidRPr="002A0D4F" w:rsidRDefault="00A14B9B" w:rsidP="00A14B9B">
      <w:pPr>
        <w:keepNext/>
        <w:rPr>
          <w:rFonts w:asciiTheme="majorHAnsi" w:eastAsiaTheme="majorEastAsia" w:hAnsiTheme="majorHAnsi" w:cstheme="majorBidi"/>
          <w:b/>
          <w:bCs/>
          <w:sz w:val="22"/>
          <w:lang w:val="cs-CZ"/>
        </w:rPr>
      </w:pPr>
    </w:p>
    <w:p w14:paraId="414ED4D1" w14:textId="77777777" w:rsidR="00A14B9B" w:rsidRPr="002A0D4F" w:rsidRDefault="00A14B9B" w:rsidP="00DB6E31">
      <w:pPr>
        <w:pStyle w:val="UZEIZdroj"/>
      </w:pPr>
      <w:r w:rsidRPr="002A0D4F">
        <w:t>Zdroj: FADN</w:t>
      </w:r>
    </w:p>
    <w:p w14:paraId="084735B0" w14:textId="7E720391" w:rsidR="00A14B9B" w:rsidRPr="00444D03" w:rsidRDefault="00A14B9B" w:rsidP="00444D03">
      <w:pPr>
        <w:pStyle w:val="UZEIObr"/>
        <w:rPr>
          <w:rFonts w:eastAsiaTheme="majorEastAsia"/>
        </w:rPr>
      </w:pPr>
      <w:bookmarkStart w:id="461" w:name="_Toc525727642"/>
      <w:bookmarkStart w:id="462" w:name="_Toc525735929"/>
      <w:bookmarkStart w:id="463" w:name="_Toc25919872"/>
      <w:bookmarkStart w:id="464" w:name="_Ref81761603"/>
      <w:bookmarkStart w:id="465" w:name="_Toc81815411"/>
      <w:bookmarkStart w:id="466" w:name="_Toc81817616"/>
      <w:r w:rsidRPr="00444D03">
        <w:rPr>
          <w:rFonts w:eastAsiaTheme="majorEastAsia"/>
        </w:rPr>
        <w:t xml:space="preserve">Obrázek </w:t>
      </w:r>
      <w:r w:rsidR="00444D03" w:rsidRPr="00444D03">
        <w:rPr>
          <w:rFonts w:eastAsiaTheme="majorEastAsia"/>
        </w:rPr>
        <w:t xml:space="preserve"> </w:t>
      </w:r>
      <w:r w:rsidRPr="00444D03">
        <w:rPr>
          <w:rFonts w:eastAsiaTheme="majorEastAsia"/>
        </w:rPr>
        <w:t>Podíl ostatní produkce – OZE na tvorbě celkové hodnoty ostatní produkce (%)</w:t>
      </w:r>
      <w:bookmarkEnd w:id="461"/>
      <w:bookmarkEnd w:id="462"/>
      <w:bookmarkEnd w:id="463"/>
      <w:bookmarkEnd w:id="464"/>
      <w:bookmarkEnd w:id="465"/>
      <w:bookmarkEnd w:id="466"/>
    </w:p>
    <w:p w14:paraId="2EE359A9" w14:textId="77777777" w:rsidR="00A14B9B" w:rsidRPr="002A0D4F" w:rsidRDefault="00A14B9B" w:rsidP="00A14B9B">
      <w:pPr>
        <w:jc w:val="left"/>
        <w:rPr>
          <w:rFonts w:asciiTheme="majorHAnsi" w:eastAsiaTheme="majorEastAsia" w:hAnsiTheme="majorHAnsi" w:cstheme="majorBidi"/>
          <w:b/>
          <w:bCs/>
          <w:sz w:val="22"/>
          <w:lang w:val="cs-CZ"/>
        </w:rPr>
      </w:pPr>
      <w:r w:rsidRPr="002A0D4F">
        <w:rPr>
          <w:noProof/>
          <w:lang w:val="cs-CZ" w:eastAsia="cs-CZ"/>
        </w:rPr>
        <w:drawing>
          <wp:inline distT="0" distB="0" distL="0" distR="0" wp14:anchorId="70AABD44" wp14:editId="612BCEBD">
            <wp:extent cx="4572000" cy="2743200"/>
            <wp:effectExtent l="0" t="0" r="0" b="0"/>
            <wp:docPr id="1569278912" name="Graf 1569278912">
              <a:extLst xmlns:a="http://schemas.openxmlformats.org/drawingml/2006/main">
                <a:ext uri="{FF2B5EF4-FFF2-40B4-BE49-F238E27FC236}">
                  <a16:creationId xmlns:a16="http://schemas.microsoft.com/office/drawing/2014/main" id="{63EBF890-2EC7-4FD2-9741-5A5E09B771A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9"/>
              </a:graphicData>
            </a:graphic>
          </wp:inline>
        </w:drawing>
      </w:r>
    </w:p>
    <w:p w14:paraId="62F36F20" w14:textId="77777777" w:rsidR="00A14B9B" w:rsidRPr="002A0D4F" w:rsidRDefault="00A14B9B" w:rsidP="00693379">
      <w:pPr>
        <w:pStyle w:val="UZEIZdroj"/>
      </w:pPr>
      <w:r w:rsidRPr="002A0D4F">
        <w:t>Zdroj: FADN</w:t>
      </w:r>
    </w:p>
    <w:p w14:paraId="2FFB0A73" w14:textId="77777777" w:rsidR="00A14B9B" w:rsidRPr="002A0D4F" w:rsidRDefault="00A14B9B" w:rsidP="00693379">
      <w:pPr>
        <w:pStyle w:val="UZEINormaln"/>
      </w:pPr>
      <w:r w:rsidRPr="002A0D4F">
        <w:t>Diverzifikace z pohledu ex post analýz a průběžného hodnocení současného PRV 2014-2020</w:t>
      </w:r>
    </w:p>
    <w:p w14:paraId="4CCC9FDD" w14:textId="77777777" w:rsidR="00A14B9B" w:rsidRPr="002A0D4F" w:rsidRDefault="00A14B9B" w:rsidP="00693379">
      <w:pPr>
        <w:pStyle w:val="UZEINormaln"/>
      </w:pPr>
      <w:r w:rsidRPr="002A0D4F">
        <w:t xml:space="preserve">Osa III PRV 2007-2013 se členila </w:t>
      </w:r>
      <w:r w:rsidRPr="002A0D4F">
        <w:rPr>
          <w:rFonts w:eastAsiaTheme="minorEastAsia"/>
        </w:rPr>
        <w:t xml:space="preserve">na tři opatření: III.1.1 Diverzifikace činností nezemědělské povahy; opatření III.1.2 Podpora zakládání podniků a jejich rozvoje; opatření III.1.3 Podpora cestovního ruchu. V rámci této priority byla vypsána výzva pro příjem žádostí naposledy v roce 2014. Závazky z programového období 2007–2013 v řádu jednotek projektů byly hrazeny v roce 2016. </w:t>
      </w:r>
      <w:r w:rsidRPr="002A0D4F">
        <w:t>Ve zprávě z ex post hodnocení PRV 2007-2013 (EKOTOXA, IREAS, 2016) je hodnocena diverzifikace následovně:</w:t>
      </w:r>
    </w:p>
    <w:p w14:paraId="611DC311" w14:textId="77777777" w:rsidR="00A14B9B" w:rsidRPr="002A0D4F" w:rsidRDefault="00A14B9B" w:rsidP="00693379">
      <w:pPr>
        <w:pStyle w:val="UZEINormaln"/>
      </w:pPr>
      <w:r w:rsidRPr="002A0D4F">
        <w:t xml:space="preserve">Všechny cíle výstupu opatření III.1.1 byly dosaženy a ve všech případech výrazně překročeno. Zároveň se podařilo naplnit všechny výsledkové indikátory, tj. zvýšení nezemědělské hrubé přidané hodnoty u podpořených podniků, počet vytvořených pracovních míst a celkový objem vyrobené elektrické energie v bioplynových stanicích. Opatření je hodnoceno jako efektivní a </w:t>
      </w:r>
      <w:r w:rsidRPr="002A0D4F">
        <w:lastRenderedPageBreak/>
        <w:t>účinně přispělo k diverzifikaci aktivit podpořených příjemců a tím i značné části zemědělského sektoru a zprostředkovaně podpořilo i rozvoj venkova.</w:t>
      </w:r>
    </w:p>
    <w:p w14:paraId="4DD13E96" w14:textId="77777777" w:rsidR="00A14B9B" w:rsidRPr="002A0D4F" w:rsidRDefault="00A14B9B" w:rsidP="00693379">
      <w:pPr>
        <w:pStyle w:val="UZEINormaln"/>
      </w:pPr>
      <w:r w:rsidRPr="002A0D4F">
        <w:t>Opatření III.1.2 (zakládání podniků) mělo podle zprávy z ex post hodnocení (EKOTOXA, IREAS, 2016) významný vliv ve venkovských oblastech, kde přispělo ke stabilizaci ekonomických činností a současně v mnoha případech znamenalo i opravdový impuls výroby (diverzifikace nových výrobků, efektivnější proces výroby apod.) spojený s vytvářením zcela nových pracovních míst (nad rámec závazků PRV). Míra působení opatření byla rozdílná z regionálního pohledu. Kvantifikace efektů dle (EKOTOXA, IREAS, 2016) ukázala, že podpora byla směřována zejména na podniky, které by bez podpory vykazovaly ještě nižší růst přidané hodnoty než s realizovaným projektem. Současně bylo zjištěno, že byly podpořeny právě ty mikropodniky, které intervenci pro další diverzifikaci nutně potřebovaly.</w:t>
      </w:r>
    </w:p>
    <w:p w14:paraId="6F5AF168" w14:textId="77777777" w:rsidR="00A14B9B" w:rsidRPr="002A0D4F" w:rsidRDefault="00A14B9B" w:rsidP="00693379">
      <w:pPr>
        <w:pStyle w:val="UZEINormaln"/>
      </w:pPr>
      <w:r w:rsidRPr="002A0D4F">
        <w:t xml:space="preserve">Opatření III.1.3 Podpora cestovního ruchu také přispělo podle zprávy k ex post hodnocení (EKOTOXA, IREAS, 2016) k diverzifikaci podnikatelských subjektů ve venkovských oblastech ČR. Efekty lze rozdělit na přímé a nepřímé. Empiricky bylo potvrzeno, že tři čtvrtiny příjemců vykazují podíl příjmů z nově vzniklých činností na celkovém obratu maximálně 40 %. Současně zprávy (EKOTOXA, IREAS, 2016) upozorňuje, že tyto intervence měly určitý vytěsňovací efekt (dále také substituční, pákový a efekt mrtvé váhy). S ohledem na vysokou koncentraci podnikatelů nabízejících služby v oblasti cestovního ruchu takřka ve všech regionech ČR je nesporné, že podpora ve vybraném regionu způsobila určité „vytěsnění“ v oblasti příjmů a obratu u nepodpořených subjektů. Je tedy zřejmé, že část ekonomických subjektů byla zvýhodněna. Příspěvek zaměstnanosti byl (EKOTOXA, IREAS, 2016) kvantifikován jak nově vzniklými místy u příjemců, tak i v návazných oborech. Celkový přínos opatření je spíše ve stabilizaci zaměstnaných obyvatel. Větší přínos je ve zprávě (EKOTOXA, IREAS, 2016) vnímán v příspěvku k diverzifikaci činností na venkově, v rozšíření nabídky služeb pro místní obyvatele a v úpravě prostranství v obci a kolem ubytovacích zařízení. </w:t>
      </w:r>
    </w:p>
    <w:p w14:paraId="0EEC18B9" w14:textId="77777777" w:rsidR="00A14B9B" w:rsidRPr="002A0D4F" w:rsidRDefault="00A14B9B" w:rsidP="00693379">
      <w:pPr>
        <w:pStyle w:val="UZEINormaln"/>
      </w:pPr>
      <w:r w:rsidRPr="002A0D4F">
        <w:t>V PRV 2014-2020 je na diverzifikaci zaměřeno opatření 6A Podpora diverzifikace, zakládání a rozvíjení malých podniků a tvorby pracovních míst</w:t>
      </w:r>
    </w:p>
    <w:p w14:paraId="127D2117" w14:textId="77777777" w:rsidR="00A14B9B" w:rsidRPr="002A0D4F" w:rsidRDefault="00A14B9B" w:rsidP="00693379">
      <w:pPr>
        <w:pStyle w:val="UZEINormaln"/>
      </w:pPr>
      <w:r w:rsidRPr="002A0D4F">
        <w:t xml:space="preserve">Ze střednědobého hodnocení z března 2019 lze na základě zprávy (NAVIGA 4, EVALUATION ADVISORY CE, 2019) uvést následující. </w:t>
      </w:r>
    </w:p>
    <w:p w14:paraId="656B2574" w14:textId="77777777" w:rsidR="00A14B9B" w:rsidRPr="002A0D4F" w:rsidRDefault="00A14B9B" w:rsidP="00693379">
      <w:pPr>
        <w:pStyle w:val="UZEINormaln"/>
      </w:pPr>
      <w:r w:rsidRPr="002A0D4F">
        <w:t>Cílem operace 6.4.1 jsou investice na založení nebo rozvoj nezemědělských činností vedoucí k diverzifikaci příjmů zemědělských podnikatelů, vytváření nových pracovních míst a posílení ekonomického potenciálu ve venkovských oblastech, a to podporou vybraných ekonomických činností. Jedná se zejména o oblasti zpracovatelského průmyslu a maloobchodu. Podporována je například výroba potravinářských výrobků, nápojů, textilií, papíru, zpracování dřeva, dřevěných, kovových, skleněných výrobků, strojů a zařízení atd. Podpořeny jsou a budou též činnosti v oblasti stavebnictví, výzkumu a vývoje a dále široká škála maloobchodních činností. O podporu lze žádat jak na stavební výdaje, tak na strojní zařízení a technologie potřebné pro provoz dané činnosti.</w:t>
      </w:r>
    </w:p>
    <w:p w14:paraId="5A88B286" w14:textId="6A141C77" w:rsidR="00A14B9B" w:rsidRPr="002A0D4F" w:rsidRDefault="00A14B9B" w:rsidP="00693379">
      <w:pPr>
        <w:pStyle w:val="UZEINormaln"/>
      </w:pPr>
      <w:r w:rsidRPr="002A0D4F">
        <w:t xml:space="preserve">V rámci operace bylo k 31. 12. 2019 proplaceno 220 projektů realizovaných zemědělskými podniky.). V rámci proplacených projektů bylo vytvořeno 146 nových pracovních míst (v rámci operace 6.4.1) a 79 nových pracovních míst v rámci operace 6.4.2, což je oproti minule hodnocenému období k 30. 6. 2019 nárůst o 80 pracovních míst. Nicméně i přes nárůst v minulém hodnoceném období zůstává počet vytvořených míst za očekáváním, na úrovni 20 % cílové hodnoty (nízký podíl nově vytvořených míst souvisí s makroekonomickou situací a s velmi nízkou mírou nezaměstnaností v ČR). Dle Průběžné jarní hodnotící zprávy PRV 2014-2020 (NAVIGA, 2020) se u všech projektů fyzických osob (38) jednalo o projekty malých podniků, u právnických osob převažovaly také malé podniky (17) nad podniky střední velikosti </w:t>
      </w:r>
      <w:r w:rsidRPr="002A0D4F">
        <w:lastRenderedPageBreak/>
        <w:t xml:space="preserve">(8). Opatření zaměřená na diverzifikaci cílí především na malé podniky a plní tím svůj záměr podpořit rozvoj malých podniků. Naprostá většina podpořených zemědělských podniků jsou malé podniky, v nich převažují mikropodniky. </w:t>
      </w:r>
    </w:p>
    <w:p w14:paraId="4935A149" w14:textId="77777777" w:rsidR="00A14B9B" w:rsidRPr="002A0D4F" w:rsidRDefault="00A14B9B" w:rsidP="00693379">
      <w:pPr>
        <w:pStyle w:val="UZEINormaln"/>
      </w:pPr>
      <w:r w:rsidRPr="002A0D4F">
        <w:t xml:space="preserve">Dále je PRV 2014-2020 je na diverzifikaci zaměřeno opatření 6B Podpora místního rozvoje ve venkovských oblastech, které je realizováno prostřednictvím CLLD LEADER. </w:t>
      </w:r>
    </w:p>
    <w:p w14:paraId="297948DC" w14:textId="77777777" w:rsidR="00A14B9B" w:rsidRPr="002A0D4F" w:rsidRDefault="00A14B9B" w:rsidP="00693379">
      <w:pPr>
        <w:pStyle w:val="UZEINormaln"/>
        <w:rPr>
          <w:szCs w:val="18"/>
        </w:rPr>
      </w:pPr>
      <w:r w:rsidRPr="002A0D4F">
        <w:t xml:space="preserve">V rámci opatření M19 – Podpora místního rozvoje na základě iniciativy LEADER docházelo postupně ke schvalování Strategií komunitně vedeného místního rozvoje, přičemž k 31. 12. 2019 je celkově schváleno 178 Strategií. Počet aktuálně schválených Strategií MAS převyšuje cílovou hodnotu, která počítala se schválením 160 strategií a výstupový indikátor O.19 je na 111 % své cílové hodnoty. Dle </w:t>
      </w:r>
      <w:proofErr w:type="spellStart"/>
      <w:r w:rsidRPr="002A0D4F">
        <w:t>Eurostatu</w:t>
      </w:r>
      <w:proofErr w:type="spellEnd"/>
      <w:r w:rsidRPr="002A0D4F">
        <w:t xml:space="preserve"> je v ČR ve venkovských a "středových“ regionech (</w:t>
      </w:r>
      <w:proofErr w:type="spellStart"/>
      <w:r w:rsidRPr="002A0D4F">
        <w:rPr>
          <w:i/>
          <w:iCs/>
        </w:rPr>
        <w:t>Predominantly</w:t>
      </w:r>
      <w:proofErr w:type="spellEnd"/>
      <w:r w:rsidRPr="002A0D4F">
        <w:rPr>
          <w:i/>
          <w:iCs/>
        </w:rPr>
        <w:t xml:space="preserve"> </w:t>
      </w:r>
      <w:proofErr w:type="spellStart"/>
      <w:r w:rsidRPr="002A0D4F">
        <w:rPr>
          <w:i/>
          <w:iCs/>
        </w:rPr>
        <w:t>rural</w:t>
      </w:r>
      <w:proofErr w:type="spellEnd"/>
      <w:r w:rsidRPr="002A0D4F">
        <w:rPr>
          <w:i/>
          <w:iCs/>
        </w:rPr>
        <w:t xml:space="preserve"> </w:t>
      </w:r>
      <w:proofErr w:type="spellStart"/>
      <w:r w:rsidRPr="002A0D4F">
        <w:rPr>
          <w:i/>
          <w:iCs/>
        </w:rPr>
        <w:t>regions</w:t>
      </w:r>
      <w:proofErr w:type="spellEnd"/>
      <w:r w:rsidRPr="002A0D4F">
        <w:rPr>
          <w:i/>
          <w:iCs/>
        </w:rPr>
        <w:t xml:space="preserve"> a </w:t>
      </w:r>
      <w:proofErr w:type="spellStart"/>
      <w:r w:rsidRPr="002A0D4F">
        <w:rPr>
          <w:i/>
          <w:iCs/>
        </w:rPr>
        <w:t>Intermediate</w:t>
      </w:r>
      <w:proofErr w:type="spellEnd"/>
      <w:r w:rsidRPr="002A0D4F">
        <w:rPr>
          <w:i/>
          <w:iCs/>
        </w:rPr>
        <w:t xml:space="preserve"> </w:t>
      </w:r>
      <w:proofErr w:type="spellStart"/>
      <w:r w:rsidRPr="002A0D4F">
        <w:rPr>
          <w:i/>
          <w:iCs/>
        </w:rPr>
        <w:t>regions</w:t>
      </w:r>
      <w:proofErr w:type="spellEnd"/>
      <w:r w:rsidRPr="002A0D4F">
        <w:t xml:space="preserve">) necelých 8 mil. obyvatel, přičemž 178 schválených Strategií aktuálně pokrývá přes 6 mil. obyvatel – tedy 76,4 % z celkové venkovské populace ČR. </w:t>
      </w:r>
    </w:p>
    <w:p w14:paraId="16E0C5ED" w14:textId="77777777" w:rsidR="00A14B9B" w:rsidRPr="002A0D4F" w:rsidRDefault="00A14B9B" w:rsidP="00693379">
      <w:pPr>
        <w:pStyle w:val="UZEINormaln"/>
        <w:rPr>
          <w:bCs/>
        </w:rPr>
      </w:pPr>
      <w:r w:rsidRPr="002A0D4F">
        <w:t xml:space="preserve">Myšlenku diverzifikace lze podpořit i poptávkou po regionálních a lokálních potravinách. Některé farmy již diverzifikují tím, že vyrobenou zemědělskou komoditu (např. mléko) i zpracují (např. sýry). Z výzkumů spotřebitelského chování </w:t>
      </w:r>
      <w:r w:rsidRPr="002A0D4F">
        <w:rPr>
          <w:i/>
        </w:rPr>
        <w:t>Potraviny a český spotřebitel</w:t>
      </w:r>
      <w:r w:rsidRPr="002A0D4F">
        <w:t xml:space="preserve"> (reprezentativní výzkumy agentury Focus pro SZPI v letech 2005, 2009, 2011-2015 na vzorcích respondentů cca 1000 osob starších 18 let) se ukazuje, že dlouhodobě nadpoloviční část českých spotřebitelů hodnotí kvalitu českých potravin jako vysokou (69 % v roce 2015, avšak pokles o 7 p b. oproti roku 2005), </w:t>
      </w:r>
      <w:r w:rsidRPr="002A0D4F">
        <w:rPr>
          <w:bCs/>
        </w:rPr>
        <w:t>české potraviny před zahraničními v r. 2015 preferovalo 61 % respondentů (mírný nárůst oproti r. 2005, kdy je upřednostňovalo 57 %). Roste význam „výrobců“ při rozhodování o nákupu potravin – s výrokem „potraviny kupuji jen od výrobce, kterého znám“ souhlasí stále více spotřebitelů (32 % v roce 2005, 48 % v r. 2015). Meziročně (2015/2014) dále mírně vzrostla míra souhlasu s častým nákupem výrobků od farmářů a malovýrobců, byť se stále nejedná o běžnou spotřebitelskou praxi v ČR.</w:t>
      </w:r>
    </w:p>
    <w:p w14:paraId="4815C474" w14:textId="77777777" w:rsidR="00A14B9B" w:rsidRPr="002A0D4F" w:rsidRDefault="00A14B9B" w:rsidP="00693379">
      <w:pPr>
        <w:pStyle w:val="UZEINormaln"/>
        <w:rPr>
          <w:bCs/>
        </w:rPr>
      </w:pPr>
      <w:r w:rsidRPr="002A0D4F">
        <w:rPr>
          <w:bCs/>
        </w:rPr>
        <w:t>Silný zájem o informace o původu nakupovaných potravin dokládá i výzkum ÚZEI z r. 2017 (reprezentativní výzkum mapující sledování informací o výrobku spotřebiteli). Země původu patří mezi nejsledovanější informace o výrobku (zajímá se o ni 75 % spotřebitelů), vysoký byl rovněž podíl spotřebitelů vyhledávajících informaci o výrobci (rovněž téměř 75 %).</w:t>
      </w:r>
    </w:p>
    <w:p w14:paraId="578FCF4E" w14:textId="77777777" w:rsidR="00A14B9B" w:rsidRPr="000D63DA" w:rsidRDefault="00A14B9B" w:rsidP="00693379">
      <w:pPr>
        <w:pStyle w:val="UZEINormaln"/>
        <w:rPr>
          <w:b/>
        </w:rPr>
      </w:pPr>
      <w:r w:rsidRPr="000D63DA">
        <w:rPr>
          <w:b/>
        </w:rPr>
        <w:t>Analýza diverzifikace na základě žádosti k operacím 6.4.1 a 6.4.2</w:t>
      </w:r>
    </w:p>
    <w:p w14:paraId="4310C352" w14:textId="77777777" w:rsidR="00A14B9B" w:rsidRPr="002A0D4F" w:rsidRDefault="00A14B9B" w:rsidP="00693379">
      <w:pPr>
        <w:pStyle w:val="UZEINormaln"/>
      </w:pPr>
      <w:r w:rsidRPr="002A0D4F">
        <w:t xml:space="preserve">Analýza diverzifikace vychází z dat ze žádostí prvních šesti kol PRV 2014–2020. Z podkladového souboru byly vybrány všechny žádosti, které byly schváleny a spadají do operace 6.4.1 Investice do nezemědělských činností nebo 6.4.2 Podpora agroturistiky. </w:t>
      </w:r>
    </w:p>
    <w:p w14:paraId="7521EE69" w14:textId="77777777" w:rsidR="00A14B9B" w:rsidRPr="002A0D4F" w:rsidRDefault="00A14B9B" w:rsidP="00693379">
      <w:pPr>
        <w:pStyle w:val="UZEINormaln"/>
      </w:pPr>
      <w:r w:rsidRPr="002A0D4F">
        <w:t>Cílem je vyhodnotit prostorovou distribuci žádostí zmíněných operací a dále pak posoudit zájem o sledovaná opatření s ohledem na různý typ zemědělských podniků.</w:t>
      </w:r>
    </w:p>
    <w:p w14:paraId="4FD4C62E" w14:textId="77777777" w:rsidR="00A14B9B" w:rsidRPr="00693379" w:rsidRDefault="00A14B9B" w:rsidP="00693379">
      <w:pPr>
        <w:pStyle w:val="UZEINormaln"/>
        <w:rPr>
          <w:b/>
          <w:bCs/>
        </w:rPr>
      </w:pPr>
      <w:bookmarkStart w:id="467" w:name="_Toc12891434"/>
      <w:r w:rsidRPr="00693379">
        <w:rPr>
          <w:b/>
          <w:bCs/>
        </w:rPr>
        <w:t>1. Popis souboru</w:t>
      </w:r>
      <w:bookmarkEnd w:id="467"/>
    </w:p>
    <w:p w14:paraId="30C3B791" w14:textId="77777777" w:rsidR="00A14B9B" w:rsidRPr="002A0D4F" w:rsidRDefault="00A14B9B" w:rsidP="00693379">
      <w:pPr>
        <w:pStyle w:val="UZEINormaln"/>
      </w:pPr>
      <w:r w:rsidRPr="002A0D4F">
        <w:t xml:space="preserve">Stanoveným kritériím odpovídá celkem 761 žádostí v obou operacích. V operaci 6.4.1 se jedná o 573 žádostí a v operaci 6.4.2 se jedná o 188 žádostí. V níže uvedené tabulce jsou vyčísleny počty žádostí v jednotlivých krajích. Více než ve zbytku republiky se žádalo v kraji Jihočeském, v kraji Vysočina a Středočeském kraji. Nejméně pak v Libereckém a Karlovarském kraji. </w:t>
      </w:r>
    </w:p>
    <w:p w14:paraId="2FF35733" w14:textId="19DB4E23" w:rsidR="00693379" w:rsidRPr="00693379" w:rsidRDefault="00693379" w:rsidP="00693379">
      <w:pPr>
        <w:pStyle w:val="UZEITaB"/>
      </w:pPr>
      <w:bookmarkStart w:id="468" w:name="_Toc25920006"/>
      <w:r>
        <w:br w:type="page"/>
      </w:r>
    </w:p>
    <w:p w14:paraId="5F65FBE2" w14:textId="71BB0D1F" w:rsidR="00A14B9B" w:rsidRPr="00693379" w:rsidRDefault="00A14B9B" w:rsidP="00693379">
      <w:pPr>
        <w:pStyle w:val="UZEITaB"/>
      </w:pPr>
      <w:bookmarkStart w:id="469" w:name="_Toc81815329"/>
      <w:bookmarkStart w:id="470" w:name="_Toc81817007"/>
      <w:bookmarkStart w:id="471" w:name="_Toc81817520"/>
      <w:r w:rsidRPr="00693379">
        <w:lastRenderedPageBreak/>
        <w:t>Počty žádosti podle krajů (dle sídla firmy (PO)/trvalého bydliště (FO))</w:t>
      </w:r>
      <w:bookmarkEnd w:id="468"/>
      <w:bookmarkEnd w:id="469"/>
      <w:bookmarkEnd w:id="470"/>
      <w:bookmarkEnd w:id="471"/>
    </w:p>
    <w:p w14:paraId="667CEE82" w14:textId="77777777" w:rsidR="00A14B9B" w:rsidRPr="002A0D4F" w:rsidRDefault="00A14B9B" w:rsidP="00A14B9B">
      <w:pPr>
        <w:rPr>
          <w:lang w:val="cs-CZ"/>
        </w:rPr>
      </w:pPr>
      <w:r w:rsidRPr="002A0D4F">
        <w:rPr>
          <w:noProof/>
          <w:lang w:val="cs-CZ" w:eastAsia="cs-CZ"/>
        </w:rPr>
        <w:drawing>
          <wp:inline distT="0" distB="0" distL="0" distR="0" wp14:anchorId="68A71E5F" wp14:editId="6E450A0F">
            <wp:extent cx="4648200" cy="2647518"/>
            <wp:effectExtent l="0" t="0" r="0" b="0"/>
            <wp:docPr id="29" name="Obráze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4700163" cy="2677115"/>
                    </a:xfrm>
                    <a:prstGeom prst="rect">
                      <a:avLst/>
                    </a:prstGeom>
                    <a:noFill/>
                    <a:ln>
                      <a:noFill/>
                    </a:ln>
                  </pic:spPr>
                </pic:pic>
              </a:graphicData>
            </a:graphic>
          </wp:inline>
        </w:drawing>
      </w:r>
    </w:p>
    <w:p w14:paraId="61D6D029" w14:textId="77777777" w:rsidR="00A14B9B" w:rsidRPr="00693379" w:rsidRDefault="00A14B9B" w:rsidP="00693379">
      <w:pPr>
        <w:pStyle w:val="UZEIZdroj"/>
      </w:pPr>
      <w:r w:rsidRPr="00693379">
        <w:t xml:space="preserve">Zdroj: </w:t>
      </w:r>
      <w:proofErr w:type="spellStart"/>
      <w:r w:rsidRPr="00693379">
        <w:t>MZe</w:t>
      </w:r>
      <w:proofErr w:type="spellEnd"/>
      <w:r w:rsidRPr="00693379">
        <w:t>, 2019 (6 kol žádostí pro opatření 6.4.1 a 6.4.2 v rámci PRV 2014-2020), vlastní zpracování</w:t>
      </w:r>
    </w:p>
    <w:p w14:paraId="5CC8AAC9" w14:textId="585EE42A" w:rsidR="00A14B9B" w:rsidRPr="00693379" w:rsidRDefault="00A14B9B" w:rsidP="00693379">
      <w:pPr>
        <w:pStyle w:val="UZEIObr"/>
      </w:pPr>
      <w:bookmarkStart w:id="472" w:name="_Toc25919873"/>
      <w:bookmarkStart w:id="473" w:name="_Toc81815412"/>
      <w:bookmarkStart w:id="474" w:name="_Toc81817617"/>
      <w:r w:rsidRPr="00693379">
        <w:t>Počty žádostí podle krajů (dle sídla firmy (PO)/trvalého bydliště (FO))</w:t>
      </w:r>
      <w:bookmarkEnd w:id="472"/>
      <w:bookmarkEnd w:id="473"/>
      <w:bookmarkEnd w:id="474"/>
    </w:p>
    <w:p w14:paraId="194CC8B9" w14:textId="77777777" w:rsidR="00A14B9B" w:rsidRPr="002A0D4F" w:rsidRDefault="00A14B9B" w:rsidP="00A14B9B">
      <w:pPr>
        <w:keepNext/>
        <w:rPr>
          <w:lang w:val="cs-CZ"/>
        </w:rPr>
      </w:pPr>
      <w:r w:rsidRPr="002A0D4F">
        <w:rPr>
          <w:noProof/>
          <w:lang w:val="cs-CZ" w:eastAsia="cs-CZ"/>
        </w:rPr>
        <w:drawing>
          <wp:inline distT="0" distB="0" distL="0" distR="0" wp14:anchorId="699FE2B3" wp14:editId="35C8D39B">
            <wp:extent cx="4419600" cy="2687058"/>
            <wp:effectExtent l="0" t="0" r="0" b="5715"/>
            <wp:docPr id="614853341" name="Obrázek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33"/>
                    <pic:cNvPicPr/>
                  </pic:nvPicPr>
                  <pic:blipFill>
                    <a:blip r:embed="rId71">
                      <a:extLst>
                        <a:ext uri="{28A0092B-C50C-407E-A947-70E740481C1C}">
                          <a14:useLocalDpi xmlns:a14="http://schemas.microsoft.com/office/drawing/2010/main" val="0"/>
                        </a:ext>
                      </a:extLst>
                    </a:blip>
                    <a:stretch>
                      <a:fillRect/>
                    </a:stretch>
                  </pic:blipFill>
                  <pic:spPr>
                    <a:xfrm>
                      <a:off x="0" y="0"/>
                      <a:ext cx="4419600" cy="2687058"/>
                    </a:xfrm>
                    <a:prstGeom prst="rect">
                      <a:avLst/>
                    </a:prstGeom>
                  </pic:spPr>
                </pic:pic>
              </a:graphicData>
            </a:graphic>
          </wp:inline>
        </w:drawing>
      </w:r>
    </w:p>
    <w:p w14:paraId="31BD23AB" w14:textId="77777777" w:rsidR="00A14B9B" w:rsidRPr="002A0D4F" w:rsidRDefault="00A14B9B" w:rsidP="00A14B9B">
      <w:pPr>
        <w:rPr>
          <w:sz w:val="18"/>
          <w:szCs w:val="18"/>
          <w:lang w:val="cs-CZ"/>
        </w:rPr>
      </w:pPr>
      <w:r w:rsidRPr="002A0D4F">
        <w:rPr>
          <w:sz w:val="18"/>
          <w:szCs w:val="18"/>
          <w:lang w:val="cs-CZ"/>
        </w:rPr>
        <w:t xml:space="preserve">Zdroj: </w:t>
      </w:r>
      <w:proofErr w:type="spellStart"/>
      <w:r w:rsidRPr="002A0D4F">
        <w:rPr>
          <w:sz w:val="18"/>
          <w:szCs w:val="18"/>
          <w:lang w:val="cs-CZ"/>
        </w:rPr>
        <w:t>MZe</w:t>
      </w:r>
      <w:proofErr w:type="spellEnd"/>
      <w:r w:rsidRPr="002A0D4F">
        <w:rPr>
          <w:sz w:val="18"/>
          <w:szCs w:val="18"/>
          <w:lang w:val="cs-CZ"/>
        </w:rPr>
        <w:t>, 2019 (6 kol žádostí pro opatření 6.4.1 a 6.4.2 v rámci PRV 2014-2020), vlastní zpracování</w:t>
      </w:r>
    </w:p>
    <w:p w14:paraId="400E3562" w14:textId="77777777" w:rsidR="00A14B9B" w:rsidRPr="002A0D4F" w:rsidRDefault="00A14B9B" w:rsidP="00A14B9B">
      <w:pPr>
        <w:rPr>
          <w:sz w:val="18"/>
          <w:szCs w:val="18"/>
          <w:lang w:val="cs-CZ"/>
        </w:rPr>
      </w:pPr>
    </w:p>
    <w:p w14:paraId="7C22B768" w14:textId="77777777" w:rsidR="00A14B9B" w:rsidRPr="00693379" w:rsidRDefault="00A14B9B" w:rsidP="00693379">
      <w:pPr>
        <w:pStyle w:val="UZEINormaln"/>
        <w:rPr>
          <w:b/>
          <w:bCs/>
          <w:sz w:val="18"/>
          <w:szCs w:val="18"/>
        </w:rPr>
      </w:pPr>
      <w:r w:rsidRPr="00693379">
        <w:rPr>
          <w:b/>
          <w:bCs/>
        </w:rPr>
        <w:t>Charakteristika žádajících subjektů</w:t>
      </w:r>
    </w:p>
    <w:p w14:paraId="5AE30392" w14:textId="31EC1B05" w:rsidR="00A14B9B" w:rsidRPr="002A0D4F" w:rsidRDefault="00A14B9B" w:rsidP="00693379">
      <w:pPr>
        <w:pStyle w:val="UZEINormaln"/>
      </w:pPr>
      <w:r w:rsidRPr="002A0D4F">
        <w:t>V rámci celého souboru bylo identifikováno 616 podnikatelských subjektů, které žádaly v jedné, druhé nebo v obou operacích. Celkový počet podniků neodpovídá počtu žádostí, protože některé subjekty žádaly vícekrát (</w:t>
      </w:r>
      <w:r w:rsidR="00FB1EA5">
        <w:rPr>
          <w:iCs/>
        </w:rPr>
        <w:fldChar w:fldCharType="begin"/>
      </w:r>
      <w:r w:rsidR="00FB1EA5">
        <w:instrText xml:space="preserve"> REF _Ref81761842 \r \h </w:instrText>
      </w:r>
      <w:r w:rsidR="00FB1EA5">
        <w:rPr>
          <w:iCs/>
        </w:rPr>
      </w:r>
      <w:r w:rsidR="00FB1EA5">
        <w:rPr>
          <w:iCs/>
        </w:rPr>
        <w:fldChar w:fldCharType="separate"/>
      </w:r>
      <w:r w:rsidR="00FB1EA5">
        <w:t>Tabulka 14</w:t>
      </w:r>
      <w:r w:rsidR="00FB1EA5">
        <w:rPr>
          <w:iCs/>
        </w:rPr>
        <w:fldChar w:fldCharType="end"/>
      </w:r>
      <w:r w:rsidRPr="002A0D4F">
        <w:t xml:space="preserve">), nejvýše však pětkrát během daného období. Fyzických osob žádalo celkem 375 a právnických 241 v obou operacích. </w:t>
      </w:r>
    </w:p>
    <w:p w14:paraId="23F70372" w14:textId="77777777" w:rsidR="00FB1EA5" w:rsidRDefault="00FB1EA5">
      <w:pPr>
        <w:spacing w:after="160" w:line="259" w:lineRule="auto"/>
        <w:jc w:val="left"/>
        <w:rPr>
          <w:rFonts w:eastAsia="Times New Roman" w:cs="Arial"/>
          <w:b/>
          <w:noProof/>
          <w:sz w:val="20"/>
          <w:szCs w:val="20"/>
          <w:lang w:val="cs-CZ" w:eastAsia="cs-CZ"/>
        </w:rPr>
      </w:pPr>
      <w:bookmarkStart w:id="475" w:name="_Toc25919874"/>
      <w:r>
        <w:br w:type="page"/>
      </w:r>
    </w:p>
    <w:p w14:paraId="520CDC5E" w14:textId="4521278C" w:rsidR="00A14B9B" w:rsidRPr="00693379" w:rsidRDefault="00A14B9B" w:rsidP="00693379">
      <w:pPr>
        <w:pStyle w:val="UZEIObr"/>
      </w:pPr>
      <w:bookmarkStart w:id="476" w:name="_Toc81815413"/>
      <w:bookmarkStart w:id="477" w:name="_Toc81817618"/>
      <w:r w:rsidRPr="00693379">
        <w:lastRenderedPageBreak/>
        <w:t>Struktura podle právní formy</w:t>
      </w:r>
      <w:bookmarkEnd w:id="475"/>
      <w:bookmarkEnd w:id="476"/>
      <w:bookmarkEnd w:id="477"/>
    </w:p>
    <w:p w14:paraId="526EE44E" w14:textId="77777777" w:rsidR="00A14B9B" w:rsidRPr="002A0D4F" w:rsidRDefault="00A14B9B" w:rsidP="00A14B9B">
      <w:pPr>
        <w:rPr>
          <w:lang w:val="cs-CZ"/>
        </w:rPr>
      </w:pPr>
      <w:r w:rsidRPr="002A0D4F">
        <w:rPr>
          <w:noProof/>
          <w:lang w:val="cs-CZ" w:eastAsia="cs-CZ"/>
        </w:rPr>
        <w:drawing>
          <wp:inline distT="0" distB="0" distL="0" distR="0" wp14:anchorId="746AAE55" wp14:editId="3BAEE898">
            <wp:extent cx="2726942" cy="1807535"/>
            <wp:effectExtent l="0" t="0" r="0" b="2540"/>
            <wp:docPr id="1244442678" name="Obráze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9"/>
                    <pic:cNvPicPr/>
                  </pic:nvPicPr>
                  <pic:blipFill>
                    <a:blip r:embed="rId72">
                      <a:extLst>
                        <a:ext uri="{28A0092B-C50C-407E-A947-70E740481C1C}">
                          <a14:useLocalDpi xmlns:a14="http://schemas.microsoft.com/office/drawing/2010/main" val="0"/>
                        </a:ext>
                      </a:extLst>
                    </a:blip>
                    <a:stretch>
                      <a:fillRect/>
                    </a:stretch>
                  </pic:blipFill>
                  <pic:spPr>
                    <a:xfrm>
                      <a:off x="0" y="0"/>
                      <a:ext cx="2726942" cy="1807535"/>
                    </a:xfrm>
                    <a:prstGeom prst="rect">
                      <a:avLst/>
                    </a:prstGeom>
                  </pic:spPr>
                </pic:pic>
              </a:graphicData>
            </a:graphic>
          </wp:inline>
        </w:drawing>
      </w:r>
    </w:p>
    <w:p w14:paraId="03395C3B" w14:textId="77777777" w:rsidR="00A14B9B" w:rsidRPr="002A0D4F" w:rsidRDefault="00A14B9B" w:rsidP="00FB1EA5">
      <w:pPr>
        <w:pStyle w:val="UZEIZdroj"/>
      </w:pPr>
      <w:r w:rsidRPr="002A0D4F">
        <w:t xml:space="preserve">Zdroj: </w:t>
      </w:r>
      <w:proofErr w:type="spellStart"/>
      <w:r w:rsidRPr="002A0D4F">
        <w:t>MZe</w:t>
      </w:r>
      <w:proofErr w:type="spellEnd"/>
      <w:r w:rsidRPr="002A0D4F">
        <w:t>, 2019 (6 kol žádostí pro opatření 6.4.1 a 6.4.2 v rámci PRV 2014-2020), vlastní zpracování</w:t>
      </w:r>
    </w:p>
    <w:p w14:paraId="1D362C36" w14:textId="3607420F" w:rsidR="00A14B9B" w:rsidRPr="00FB1EA5" w:rsidRDefault="00FB1EA5" w:rsidP="00FB1EA5">
      <w:pPr>
        <w:pStyle w:val="UZEITaB"/>
      </w:pPr>
      <w:bookmarkStart w:id="478" w:name="_Toc25920007"/>
      <w:r>
        <w:t xml:space="preserve"> </w:t>
      </w:r>
      <w:bookmarkStart w:id="479" w:name="_Ref81761842"/>
      <w:bookmarkStart w:id="480" w:name="_Toc81815330"/>
      <w:bookmarkStart w:id="481" w:name="_Toc81817008"/>
      <w:bookmarkStart w:id="482" w:name="_Toc81817521"/>
      <w:r w:rsidR="00A14B9B" w:rsidRPr="00FB1EA5">
        <w:t>Počet žádosti podaných jedním subjektem</w:t>
      </w:r>
      <w:bookmarkEnd w:id="478"/>
      <w:bookmarkEnd w:id="479"/>
      <w:bookmarkEnd w:id="480"/>
      <w:bookmarkEnd w:id="481"/>
      <w:bookmarkEnd w:id="482"/>
    </w:p>
    <w:p w14:paraId="424AE524" w14:textId="77777777" w:rsidR="00A14B9B" w:rsidRPr="002A0D4F" w:rsidRDefault="00A14B9B" w:rsidP="00A14B9B">
      <w:pPr>
        <w:rPr>
          <w:lang w:val="cs-CZ"/>
        </w:rPr>
      </w:pPr>
      <w:r w:rsidRPr="002A0D4F">
        <w:rPr>
          <w:noProof/>
          <w:lang w:val="cs-CZ" w:eastAsia="cs-CZ"/>
        </w:rPr>
        <w:drawing>
          <wp:inline distT="0" distB="0" distL="0" distR="0" wp14:anchorId="401DD07B" wp14:editId="52D3E08A">
            <wp:extent cx="3285066" cy="557576"/>
            <wp:effectExtent l="0" t="0" r="4445" b="1270"/>
            <wp:docPr id="30" name="Obráze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3475737" cy="589939"/>
                    </a:xfrm>
                    <a:prstGeom prst="rect">
                      <a:avLst/>
                    </a:prstGeom>
                    <a:noFill/>
                    <a:ln>
                      <a:noFill/>
                    </a:ln>
                  </pic:spPr>
                </pic:pic>
              </a:graphicData>
            </a:graphic>
          </wp:inline>
        </w:drawing>
      </w:r>
    </w:p>
    <w:p w14:paraId="4E456188" w14:textId="77777777" w:rsidR="00A14B9B" w:rsidRPr="00FB1EA5" w:rsidRDefault="00A14B9B" w:rsidP="00FB1EA5">
      <w:pPr>
        <w:pStyle w:val="UZEIZdroj"/>
      </w:pPr>
      <w:r w:rsidRPr="00FB1EA5">
        <w:t xml:space="preserve">Zdroj: </w:t>
      </w:r>
      <w:proofErr w:type="spellStart"/>
      <w:r w:rsidRPr="00FB1EA5">
        <w:t>MZe</w:t>
      </w:r>
      <w:proofErr w:type="spellEnd"/>
      <w:r w:rsidRPr="00FB1EA5">
        <w:t>, 2019 (6 kol žádostí pro opatření 6.4.1 a 6.4.2 v rámci PRV 2014-2020), vlastní zpracování</w:t>
      </w:r>
    </w:p>
    <w:p w14:paraId="56BB74DF" w14:textId="77777777" w:rsidR="00A14B9B" w:rsidRPr="002A0D4F" w:rsidRDefault="00A14B9B" w:rsidP="00A14B9B">
      <w:pPr>
        <w:rPr>
          <w:lang w:val="cs-CZ"/>
        </w:rPr>
      </w:pPr>
      <w:r w:rsidRPr="00FB1EA5">
        <w:rPr>
          <w:rStyle w:val="UZEINormalnChar"/>
          <w:rFonts w:eastAsiaTheme="minorHAnsi"/>
        </w:rPr>
        <w:t>V souboru jsou rozlišovány čtyři kategorie velikosti podniků,</w:t>
      </w:r>
      <w:r w:rsidRPr="00FB1EA5">
        <w:rPr>
          <w:rStyle w:val="UZEINormalnChar"/>
          <w:rFonts w:eastAsiaTheme="minorHAnsi"/>
        </w:rPr>
        <w:footnoteReference w:id="20"/>
      </w:r>
      <w:r w:rsidRPr="00FB1EA5">
        <w:rPr>
          <w:rStyle w:val="UZEINormalnChar"/>
          <w:rFonts w:eastAsiaTheme="minorHAnsi"/>
        </w:rPr>
        <w:t xml:space="preserve"> mikro, malý, střední a velký. Mikro podniky tvořily 66 % ze všech žádajících subjektů, naopak nejméně byly zastoupeny velké podniky, a to pouze v necelých 2 % z celého souboru</w:t>
      </w:r>
      <w:r w:rsidRPr="002A0D4F">
        <w:rPr>
          <w:lang w:val="cs-CZ"/>
        </w:rPr>
        <w:t xml:space="preserve">. </w:t>
      </w:r>
    </w:p>
    <w:p w14:paraId="666CDC42" w14:textId="48EAF514" w:rsidR="00A14B9B" w:rsidRPr="00FB1EA5" w:rsidRDefault="00A14B9B" w:rsidP="00FB1EA5">
      <w:pPr>
        <w:pStyle w:val="UZEIObr"/>
      </w:pPr>
      <w:bookmarkStart w:id="483" w:name="_Toc25919875"/>
      <w:bookmarkStart w:id="484" w:name="_Toc81815414"/>
      <w:bookmarkStart w:id="485" w:name="_Toc81817619"/>
      <w:r w:rsidRPr="00FB1EA5">
        <w:t>Velikostní struktura podniků</w:t>
      </w:r>
      <w:bookmarkEnd w:id="483"/>
      <w:bookmarkEnd w:id="484"/>
      <w:bookmarkEnd w:id="485"/>
    </w:p>
    <w:p w14:paraId="794AB3B4" w14:textId="77777777" w:rsidR="00A14B9B" w:rsidRPr="002A0D4F" w:rsidRDefault="00A14B9B" w:rsidP="00A14B9B">
      <w:pPr>
        <w:rPr>
          <w:lang w:val="cs-CZ"/>
        </w:rPr>
      </w:pPr>
      <w:r w:rsidRPr="002A0D4F">
        <w:rPr>
          <w:noProof/>
          <w:lang w:val="cs-CZ" w:eastAsia="cs-CZ"/>
        </w:rPr>
        <w:drawing>
          <wp:inline distT="0" distB="0" distL="0" distR="0" wp14:anchorId="2559F084" wp14:editId="066CBE64">
            <wp:extent cx="3158066" cy="1980624"/>
            <wp:effectExtent l="0" t="0" r="4445" b="635"/>
            <wp:docPr id="2102804896" name="Obrázek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61"/>
                    <pic:cNvPicPr/>
                  </pic:nvPicPr>
                  <pic:blipFill>
                    <a:blip r:embed="rId74">
                      <a:extLst>
                        <a:ext uri="{28A0092B-C50C-407E-A947-70E740481C1C}">
                          <a14:useLocalDpi xmlns:a14="http://schemas.microsoft.com/office/drawing/2010/main" val="0"/>
                        </a:ext>
                      </a:extLst>
                    </a:blip>
                    <a:stretch>
                      <a:fillRect/>
                    </a:stretch>
                  </pic:blipFill>
                  <pic:spPr>
                    <a:xfrm>
                      <a:off x="0" y="0"/>
                      <a:ext cx="3158066" cy="1980624"/>
                    </a:xfrm>
                    <a:prstGeom prst="rect">
                      <a:avLst/>
                    </a:prstGeom>
                  </pic:spPr>
                </pic:pic>
              </a:graphicData>
            </a:graphic>
          </wp:inline>
        </w:drawing>
      </w:r>
    </w:p>
    <w:p w14:paraId="41DCF787" w14:textId="77777777" w:rsidR="00A14B9B" w:rsidRPr="002A0D4F" w:rsidRDefault="00A14B9B" w:rsidP="004C774E">
      <w:pPr>
        <w:pStyle w:val="UZEIZdroj"/>
      </w:pPr>
      <w:r w:rsidRPr="002A0D4F">
        <w:t xml:space="preserve">Zdroj: </w:t>
      </w:r>
      <w:proofErr w:type="spellStart"/>
      <w:r w:rsidRPr="002A0D4F">
        <w:t>MZe</w:t>
      </w:r>
      <w:proofErr w:type="spellEnd"/>
      <w:r w:rsidRPr="002A0D4F">
        <w:t>, 2019 (6 kol žádostí pro opatření 6.4.1 a 6.4.2 v rámci PRV 2014-2020), vlastní zpracování</w:t>
      </w:r>
    </w:p>
    <w:p w14:paraId="32B7E9D1" w14:textId="5B01A42F" w:rsidR="00A14B9B" w:rsidRPr="002A0D4F" w:rsidRDefault="00A14B9B" w:rsidP="00A14B9B">
      <w:pPr>
        <w:rPr>
          <w:lang w:val="cs-CZ"/>
        </w:rPr>
      </w:pPr>
      <w:r w:rsidRPr="002A0D4F">
        <w:rPr>
          <w:lang w:val="cs-CZ"/>
        </w:rPr>
        <w:t xml:space="preserve">Na </w:t>
      </w:r>
      <w:r w:rsidR="00FA55C9">
        <w:rPr>
          <w:iCs/>
          <w:lang w:val="cs-CZ"/>
        </w:rPr>
        <w:fldChar w:fldCharType="begin"/>
      </w:r>
      <w:r w:rsidR="00FA55C9">
        <w:rPr>
          <w:lang w:val="cs-CZ"/>
        </w:rPr>
        <w:instrText xml:space="preserve"> REF _Ref81761996 \r \h </w:instrText>
      </w:r>
      <w:r w:rsidR="00FA55C9">
        <w:rPr>
          <w:iCs/>
          <w:lang w:val="cs-CZ"/>
        </w:rPr>
      </w:r>
      <w:r w:rsidR="00FA55C9">
        <w:rPr>
          <w:iCs/>
          <w:lang w:val="cs-CZ"/>
        </w:rPr>
        <w:fldChar w:fldCharType="separate"/>
      </w:r>
      <w:r w:rsidR="00FA55C9">
        <w:rPr>
          <w:lang w:val="cs-CZ"/>
        </w:rPr>
        <w:t>Obrázek 34</w:t>
      </w:r>
      <w:r w:rsidR="00FA55C9">
        <w:rPr>
          <w:iCs/>
          <w:lang w:val="cs-CZ"/>
        </w:rPr>
        <w:fldChar w:fldCharType="end"/>
      </w:r>
      <w:r w:rsidRPr="002A0D4F">
        <w:rPr>
          <w:iCs/>
          <w:lang w:val="cs-CZ"/>
        </w:rPr>
        <w:t xml:space="preserve"> je</w:t>
      </w:r>
      <w:r w:rsidRPr="002A0D4F">
        <w:rPr>
          <w:lang w:val="cs-CZ"/>
        </w:rPr>
        <w:t xml:space="preserve"> zobrazena přehledová mapa ploch, na kterých hospodařily podniky, které žádaly o dotace v operaci 6.4.1 a 6.4.2. Z mapy je vidět, že podniky hospodaří víceméně rovnoměrně na území republiky. </w:t>
      </w:r>
    </w:p>
    <w:p w14:paraId="5491C79F" w14:textId="77777777" w:rsidR="00A14B9B" w:rsidRPr="002A0D4F" w:rsidRDefault="00A14B9B" w:rsidP="00A14B9B">
      <w:pPr>
        <w:rPr>
          <w:sz w:val="18"/>
          <w:szCs w:val="18"/>
          <w:lang w:val="cs-CZ"/>
        </w:rPr>
      </w:pPr>
    </w:p>
    <w:p w14:paraId="4C053433" w14:textId="77777777" w:rsidR="00FA55C9" w:rsidRDefault="00FA55C9">
      <w:pPr>
        <w:spacing w:after="160" w:line="259" w:lineRule="auto"/>
        <w:jc w:val="left"/>
        <w:rPr>
          <w:rFonts w:eastAsia="Times New Roman" w:cs="Arial"/>
          <w:b/>
          <w:noProof/>
          <w:sz w:val="20"/>
          <w:szCs w:val="20"/>
          <w:lang w:val="cs-CZ" w:eastAsia="cs-CZ"/>
        </w:rPr>
      </w:pPr>
      <w:bookmarkStart w:id="486" w:name="_Toc25919876"/>
      <w:r>
        <w:br w:type="page"/>
      </w:r>
    </w:p>
    <w:p w14:paraId="77A410A6" w14:textId="42E7A72D" w:rsidR="00A14B9B" w:rsidRPr="00FA55C9" w:rsidRDefault="00A14B9B" w:rsidP="00FA55C9">
      <w:pPr>
        <w:pStyle w:val="UZEIObr"/>
      </w:pPr>
      <w:bookmarkStart w:id="487" w:name="_Ref81761996"/>
      <w:bookmarkStart w:id="488" w:name="_Toc81815415"/>
      <w:bookmarkStart w:id="489" w:name="_Toc81817620"/>
      <w:r w:rsidRPr="00FA55C9">
        <w:lastRenderedPageBreak/>
        <w:t>Přehled lokalizace ploch podniků-žadatelů</w:t>
      </w:r>
      <w:bookmarkEnd w:id="486"/>
      <w:bookmarkEnd w:id="487"/>
      <w:bookmarkEnd w:id="488"/>
      <w:bookmarkEnd w:id="489"/>
    </w:p>
    <w:p w14:paraId="6C1FB41A" w14:textId="77777777" w:rsidR="00A14B9B" w:rsidRPr="002A0D4F" w:rsidRDefault="00A14B9B" w:rsidP="00A14B9B">
      <w:pPr>
        <w:rPr>
          <w:lang w:val="cs-CZ"/>
        </w:rPr>
      </w:pPr>
      <w:r w:rsidRPr="002A0D4F">
        <w:rPr>
          <w:noProof/>
          <w:lang w:val="cs-CZ" w:eastAsia="cs-CZ"/>
        </w:rPr>
        <w:drawing>
          <wp:inline distT="0" distB="0" distL="0" distR="0" wp14:anchorId="14D0ABEB" wp14:editId="24600295">
            <wp:extent cx="5760720" cy="4076700"/>
            <wp:effectExtent l="0" t="0" r="0" b="0"/>
            <wp:docPr id="795851678" name="Obrázek 1737972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737972128"/>
                    <pic:cNvPicPr/>
                  </pic:nvPicPr>
                  <pic:blipFill>
                    <a:blip r:embed="rId75">
                      <a:extLst>
                        <a:ext uri="{28A0092B-C50C-407E-A947-70E740481C1C}">
                          <a14:useLocalDpi xmlns:a14="http://schemas.microsoft.com/office/drawing/2010/main" val="0"/>
                        </a:ext>
                      </a:extLst>
                    </a:blip>
                    <a:stretch>
                      <a:fillRect/>
                    </a:stretch>
                  </pic:blipFill>
                  <pic:spPr>
                    <a:xfrm>
                      <a:off x="0" y="0"/>
                      <a:ext cx="5760720" cy="4076700"/>
                    </a:xfrm>
                    <a:prstGeom prst="rect">
                      <a:avLst/>
                    </a:prstGeom>
                  </pic:spPr>
                </pic:pic>
              </a:graphicData>
            </a:graphic>
          </wp:inline>
        </w:drawing>
      </w:r>
    </w:p>
    <w:p w14:paraId="174D36C5" w14:textId="77777777" w:rsidR="00A14B9B" w:rsidRPr="00FA55C9" w:rsidRDefault="00A14B9B" w:rsidP="00FA55C9">
      <w:pPr>
        <w:pStyle w:val="UZEIZdroj"/>
      </w:pPr>
      <w:r w:rsidRPr="00FA55C9">
        <w:t xml:space="preserve">Zdroj: </w:t>
      </w:r>
      <w:proofErr w:type="spellStart"/>
      <w:r w:rsidRPr="00FA55C9">
        <w:t>MZe</w:t>
      </w:r>
      <w:proofErr w:type="spellEnd"/>
      <w:r w:rsidRPr="00FA55C9">
        <w:t>, 2019 (6 kol žádostí pro opatření 6.4.1 a 6.4.2 v rámci PRV 2014-2020), vlastní zpracování</w:t>
      </w:r>
    </w:p>
    <w:p w14:paraId="083AD7A5" w14:textId="77777777" w:rsidR="00A14B9B" w:rsidRPr="00F55017" w:rsidRDefault="00A14B9B" w:rsidP="00FA55C9">
      <w:pPr>
        <w:pStyle w:val="UZEINormaln"/>
        <w:rPr>
          <w:b/>
          <w:bCs/>
        </w:rPr>
      </w:pPr>
      <w:bookmarkStart w:id="490" w:name="_Toc12891435"/>
      <w:r w:rsidRPr="00F55017">
        <w:rPr>
          <w:b/>
          <w:bCs/>
        </w:rPr>
        <w:t>2. Výsledky k operaci 6.4.1 Investice do nezemědělských činnost</w:t>
      </w:r>
      <w:bookmarkEnd w:id="490"/>
      <w:r w:rsidRPr="00F55017">
        <w:rPr>
          <w:b/>
          <w:bCs/>
        </w:rPr>
        <w:t>í</w:t>
      </w:r>
    </w:p>
    <w:p w14:paraId="546F91A2" w14:textId="77777777" w:rsidR="00A14B9B" w:rsidRPr="002A0D4F" w:rsidRDefault="00A14B9B" w:rsidP="00FA55C9">
      <w:pPr>
        <w:pStyle w:val="UZEINormaln"/>
      </w:pPr>
      <w:r w:rsidRPr="002A0D4F">
        <w:t xml:space="preserve">V rámci této operace jsou podporovány investice na založení nebo rozvoj nezemědělských činností, které by měly umožnit diverzifikovat příjmy zemědělských podnikatelů. Na základě dostupných dat bylo zjištěno v operaci 6.4.1 celkem 573 schválených žádostí. </w:t>
      </w:r>
    </w:p>
    <w:p w14:paraId="5732D2A2" w14:textId="77777777" w:rsidR="00A14B9B" w:rsidRPr="002A0D4F" w:rsidRDefault="00A14B9B" w:rsidP="00FA55C9">
      <w:pPr>
        <w:pStyle w:val="UZEINormaln"/>
      </w:pPr>
      <w:r w:rsidRPr="002A0D4F">
        <w:t xml:space="preserve">Detailnější pohled na rozložení žádostí v operaci 6.4.1 Investice do nezemědělských činností na území republiky zobrazuje mapka níže, na které jsou znázorněny počty žádostí rozčleněných do šesti kategorií v jednotlivých okresech, tedy kolik žadatelů si podalo žádost se sídlem (PO)/místem trvalého bydliště (FO) v daném okrese Nejvíce schválených žádostí bylo v okrese Třebíč (38), následovaný okresem České Budějovice (30). Naopak nejméně, respektive žádné žádosti se nevyskytly v okresech Most, Jablonec nad Nisou, Semily, Karviná a Ostrava–město. </w:t>
      </w:r>
    </w:p>
    <w:p w14:paraId="53C78870" w14:textId="77777777" w:rsidR="00A14B9B" w:rsidRPr="002A0D4F" w:rsidRDefault="00A14B9B" w:rsidP="00FA55C9">
      <w:pPr>
        <w:pStyle w:val="UZEINormaln"/>
      </w:pPr>
    </w:p>
    <w:p w14:paraId="35C9D10E" w14:textId="77777777" w:rsidR="00FA55C9" w:rsidRDefault="00FA55C9">
      <w:pPr>
        <w:spacing w:after="160" w:line="259" w:lineRule="auto"/>
        <w:jc w:val="left"/>
        <w:rPr>
          <w:rFonts w:eastAsia="Times New Roman" w:cs="Arial"/>
          <w:b/>
          <w:noProof/>
          <w:sz w:val="20"/>
          <w:szCs w:val="20"/>
          <w:lang w:val="cs-CZ" w:eastAsia="cs-CZ"/>
        </w:rPr>
      </w:pPr>
      <w:bookmarkStart w:id="491" w:name="_Toc25919877"/>
      <w:r>
        <w:br w:type="page"/>
      </w:r>
    </w:p>
    <w:p w14:paraId="28CA06A2" w14:textId="30152218" w:rsidR="00A14B9B" w:rsidRPr="00FA55C9" w:rsidRDefault="00A14B9B" w:rsidP="00FA55C9">
      <w:pPr>
        <w:pStyle w:val="UZEIObr"/>
      </w:pPr>
      <w:bookmarkStart w:id="492" w:name="_Toc81815416"/>
      <w:bookmarkStart w:id="493" w:name="_Toc81817621"/>
      <w:r w:rsidRPr="00FA55C9">
        <w:lastRenderedPageBreak/>
        <w:t>Přehled počtu žádosti v okresech</w:t>
      </w:r>
      <w:bookmarkEnd w:id="491"/>
      <w:bookmarkEnd w:id="492"/>
      <w:bookmarkEnd w:id="493"/>
    </w:p>
    <w:p w14:paraId="696D3570" w14:textId="77777777" w:rsidR="00A14B9B" w:rsidRPr="002A0D4F" w:rsidRDefault="00A14B9B" w:rsidP="00A14B9B">
      <w:pPr>
        <w:rPr>
          <w:lang w:val="cs-CZ"/>
        </w:rPr>
      </w:pPr>
      <w:r w:rsidRPr="002A0D4F">
        <w:rPr>
          <w:noProof/>
          <w:lang w:val="cs-CZ" w:eastAsia="cs-CZ"/>
        </w:rPr>
        <w:drawing>
          <wp:inline distT="0" distB="0" distL="0" distR="0" wp14:anchorId="124FC80D" wp14:editId="73991C02">
            <wp:extent cx="5295900" cy="3747759"/>
            <wp:effectExtent l="0" t="0" r="0" b="5715"/>
            <wp:docPr id="1739579572" name="Obrázek 1737972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737972129"/>
                    <pic:cNvPicPr/>
                  </pic:nvPicPr>
                  <pic:blipFill>
                    <a:blip r:embed="rId76" cstate="print">
                      <a:extLst>
                        <a:ext uri="{28A0092B-C50C-407E-A947-70E740481C1C}">
                          <a14:useLocalDpi xmlns:a14="http://schemas.microsoft.com/office/drawing/2010/main" val="0"/>
                        </a:ext>
                      </a:extLst>
                    </a:blip>
                    <a:stretch>
                      <a:fillRect/>
                    </a:stretch>
                  </pic:blipFill>
                  <pic:spPr>
                    <a:xfrm>
                      <a:off x="0" y="0"/>
                      <a:ext cx="5312743" cy="3759678"/>
                    </a:xfrm>
                    <a:prstGeom prst="rect">
                      <a:avLst/>
                    </a:prstGeom>
                  </pic:spPr>
                </pic:pic>
              </a:graphicData>
            </a:graphic>
          </wp:inline>
        </w:drawing>
      </w:r>
    </w:p>
    <w:p w14:paraId="1DA7F98F" w14:textId="77777777" w:rsidR="00A14B9B" w:rsidRPr="002A0D4F" w:rsidRDefault="00A14B9B" w:rsidP="00A14B9B">
      <w:pPr>
        <w:rPr>
          <w:sz w:val="18"/>
          <w:szCs w:val="18"/>
          <w:lang w:val="cs-CZ"/>
        </w:rPr>
      </w:pPr>
      <w:r w:rsidRPr="002A0D4F">
        <w:rPr>
          <w:sz w:val="18"/>
          <w:szCs w:val="18"/>
          <w:lang w:val="cs-CZ"/>
        </w:rPr>
        <w:t xml:space="preserve">Zdroj: </w:t>
      </w:r>
      <w:proofErr w:type="spellStart"/>
      <w:r w:rsidRPr="002A0D4F">
        <w:rPr>
          <w:sz w:val="18"/>
          <w:szCs w:val="18"/>
          <w:lang w:val="cs-CZ"/>
        </w:rPr>
        <w:t>MZe</w:t>
      </w:r>
      <w:proofErr w:type="spellEnd"/>
      <w:r w:rsidRPr="002A0D4F">
        <w:rPr>
          <w:sz w:val="18"/>
          <w:szCs w:val="18"/>
          <w:lang w:val="cs-CZ"/>
        </w:rPr>
        <w:t>, 2019 (6 kol žádostí pro opatření 6.4.1 a 6.4.2 v rámci PRV 2014-2020), vlastní zpracování</w:t>
      </w:r>
    </w:p>
    <w:p w14:paraId="501D9DB1" w14:textId="59EE0E4A" w:rsidR="00A14B9B" w:rsidRPr="002A0D4F" w:rsidRDefault="00A14B9B" w:rsidP="00722508">
      <w:pPr>
        <w:pStyle w:val="UZEINormaln"/>
        <w:rPr>
          <w:i/>
        </w:rPr>
      </w:pPr>
      <w:r w:rsidRPr="002A0D4F">
        <w:t xml:space="preserve">Na </w:t>
      </w:r>
      <w:r w:rsidR="00722508">
        <w:fldChar w:fldCharType="begin"/>
      </w:r>
      <w:r w:rsidR="00722508">
        <w:instrText xml:space="preserve"> REF _Ref81762179 \r \h </w:instrText>
      </w:r>
      <w:r w:rsidR="00722508">
        <w:fldChar w:fldCharType="separate"/>
      </w:r>
      <w:r w:rsidR="00722508">
        <w:t>Obrázek 36</w:t>
      </w:r>
      <w:r w:rsidR="00722508">
        <w:fldChar w:fldCharType="end"/>
      </w:r>
      <w:r w:rsidR="00722508">
        <w:t xml:space="preserve"> </w:t>
      </w:r>
      <w:r w:rsidRPr="002A0D4F">
        <w:t>je pak znázorněno, ve kterých okresech byl projekt realizován.  Je zřejmé, že v okresech s nejvíce podanými žádostmi je i nejvíc realizovaných projektů, tedy v okresech Příbram, České Budějovice, Žďár nad Sázavou a Třebíč.</w:t>
      </w:r>
    </w:p>
    <w:p w14:paraId="3A1F40DA" w14:textId="2B08D484" w:rsidR="00A14B9B" w:rsidRPr="00722508" w:rsidRDefault="00A14B9B" w:rsidP="00722508">
      <w:pPr>
        <w:pStyle w:val="UZEIObr"/>
      </w:pPr>
      <w:r w:rsidRPr="002A0D4F">
        <w:t xml:space="preserve">  </w:t>
      </w:r>
      <w:bookmarkStart w:id="494" w:name="_Toc25919878"/>
      <w:bookmarkStart w:id="495" w:name="_Ref81762179"/>
      <w:bookmarkStart w:id="496" w:name="_Toc81815417"/>
      <w:bookmarkStart w:id="497" w:name="_Toc81817622"/>
      <w:r w:rsidRPr="00722508">
        <w:t>Rozložení žádostí podle místa realizace</w:t>
      </w:r>
      <w:bookmarkEnd w:id="494"/>
      <w:bookmarkEnd w:id="495"/>
      <w:bookmarkEnd w:id="496"/>
      <w:bookmarkEnd w:id="497"/>
    </w:p>
    <w:p w14:paraId="5C07B765" w14:textId="77777777" w:rsidR="00A14B9B" w:rsidRPr="002A0D4F" w:rsidRDefault="00A14B9B" w:rsidP="00A14B9B">
      <w:pPr>
        <w:rPr>
          <w:lang w:val="cs-CZ"/>
        </w:rPr>
      </w:pPr>
      <w:r w:rsidRPr="002A0D4F">
        <w:rPr>
          <w:noProof/>
          <w:lang w:val="cs-CZ" w:eastAsia="cs-CZ"/>
        </w:rPr>
        <w:drawing>
          <wp:inline distT="0" distB="0" distL="0" distR="0" wp14:anchorId="1DAF912C" wp14:editId="18D1388E">
            <wp:extent cx="5391150" cy="3815166"/>
            <wp:effectExtent l="0" t="0" r="0" b="0"/>
            <wp:docPr id="1747559426" name="Obráze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3"/>
                    <pic:cNvPicPr/>
                  </pic:nvPicPr>
                  <pic:blipFill>
                    <a:blip r:embed="rId77" cstate="print">
                      <a:extLst>
                        <a:ext uri="{28A0092B-C50C-407E-A947-70E740481C1C}">
                          <a14:useLocalDpi xmlns:a14="http://schemas.microsoft.com/office/drawing/2010/main" val="0"/>
                        </a:ext>
                      </a:extLst>
                    </a:blip>
                    <a:stretch>
                      <a:fillRect/>
                    </a:stretch>
                  </pic:blipFill>
                  <pic:spPr>
                    <a:xfrm>
                      <a:off x="0" y="0"/>
                      <a:ext cx="5395805" cy="3818460"/>
                    </a:xfrm>
                    <a:prstGeom prst="rect">
                      <a:avLst/>
                    </a:prstGeom>
                  </pic:spPr>
                </pic:pic>
              </a:graphicData>
            </a:graphic>
          </wp:inline>
        </w:drawing>
      </w:r>
    </w:p>
    <w:p w14:paraId="1D0D9DD8" w14:textId="77777777" w:rsidR="00A14B9B" w:rsidRPr="002A0D4F" w:rsidRDefault="00A14B9B" w:rsidP="00A14B9B">
      <w:pPr>
        <w:spacing w:before="240"/>
        <w:rPr>
          <w:lang w:val="cs-CZ"/>
        </w:rPr>
      </w:pPr>
      <w:r w:rsidRPr="00722508">
        <w:rPr>
          <w:rStyle w:val="UZEINormalnChar"/>
          <w:rFonts w:eastAsiaTheme="minorHAnsi"/>
        </w:rPr>
        <w:lastRenderedPageBreak/>
        <w:t>V operaci 6.4.1 investice do nezemědělských činností převládají v nadpoloviční většině žádosti fyzických osob nad právnickými. Z hlediska velikostní kategorie převládají žádosti mikro podniků, následované malými podniky. Celkem tedy skoro tři čtvrtiny žádostí byly podány malými a mikro podniky, 57 % všech žádostí pocházelo z mikro podniků a z malých necelých 27 %. V rámci této operace bylo podáno několik žádostí od velkých podniků</w:t>
      </w:r>
      <w:r w:rsidRPr="002A0D4F">
        <w:rPr>
          <w:lang w:val="cs-CZ"/>
        </w:rPr>
        <w:t xml:space="preserve">.  </w:t>
      </w:r>
    </w:p>
    <w:p w14:paraId="2A39ACE4" w14:textId="77777777" w:rsidR="00A14B9B" w:rsidRPr="00722508" w:rsidRDefault="00A14B9B" w:rsidP="00722508">
      <w:pPr>
        <w:pStyle w:val="UZEIObr"/>
      </w:pPr>
      <w:bookmarkStart w:id="498" w:name="_Toc25919879"/>
      <w:bookmarkStart w:id="499" w:name="_Toc81815418"/>
      <w:bookmarkStart w:id="500" w:name="_Toc81817623"/>
      <w:r w:rsidRPr="00722508">
        <w:t xml:space="preserve">Obrázek </w:t>
      </w:r>
      <w:r w:rsidRPr="00722508">
        <w:fldChar w:fldCharType="begin"/>
      </w:r>
      <w:r w:rsidRPr="00722508">
        <w:instrText xml:space="preserve"> STYLEREF 1 \s </w:instrText>
      </w:r>
      <w:r w:rsidRPr="00722508">
        <w:fldChar w:fldCharType="separate"/>
      </w:r>
      <w:r w:rsidRPr="00722508">
        <w:t>3</w:t>
      </w:r>
      <w:r w:rsidRPr="00722508">
        <w:fldChar w:fldCharType="end"/>
      </w:r>
      <w:r w:rsidRPr="00722508">
        <w:t>.</w:t>
      </w:r>
      <w:r w:rsidRPr="00722508">
        <w:fldChar w:fldCharType="begin"/>
      </w:r>
      <w:r w:rsidRPr="00722508">
        <w:instrText xml:space="preserve"> SEQ Obrázek \* ARABIC \s 1 </w:instrText>
      </w:r>
      <w:r w:rsidRPr="00722508">
        <w:fldChar w:fldCharType="separate"/>
      </w:r>
      <w:r w:rsidRPr="00722508">
        <w:t>22</w:t>
      </w:r>
      <w:r w:rsidRPr="00722508">
        <w:fldChar w:fldCharType="end"/>
      </w:r>
      <w:r w:rsidRPr="00722508">
        <w:t>: Struktura dle právní formy</w:t>
      </w:r>
      <w:bookmarkEnd w:id="498"/>
      <w:bookmarkEnd w:id="499"/>
      <w:bookmarkEnd w:id="500"/>
    </w:p>
    <w:p w14:paraId="01AA695E" w14:textId="77777777" w:rsidR="00A14B9B" w:rsidRPr="002A0D4F" w:rsidRDefault="00A14B9B" w:rsidP="00A14B9B">
      <w:pPr>
        <w:keepNext/>
        <w:rPr>
          <w:lang w:val="cs-CZ"/>
        </w:rPr>
      </w:pPr>
      <w:r w:rsidRPr="002A0D4F">
        <w:rPr>
          <w:noProof/>
          <w:lang w:val="cs-CZ" w:eastAsia="cs-CZ"/>
        </w:rPr>
        <w:drawing>
          <wp:inline distT="0" distB="0" distL="0" distR="0" wp14:anchorId="6D3F14F9" wp14:editId="28147F88">
            <wp:extent cx="3253839" cy="1917662"/>
            <wp:effectExtent l="0" t="0" r="3810" b="6985"/>
            <wp:docPr id="1292378414" name="Obráze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48"/>
                    <pic:cNvPicPr/>
                  </pic:nvPicPr>
                  <pic:blipFill>
                    <a:blip r:embed="rId78">
                      <a:extLst>
                        <a:ext uri="{28A0092B-C50C-407E-A947-70E740481C1C}">
                          <a14:useLocalDpi xmlns:a14="http://schemas.microsoft.com/office/drawing/2010/main" val="0"/>
                        </a:ext>
                      </a:extLst>
                    </a:blip>
                    <a:stretch>
                      <a:fillRect/>
                    </a:stretch>
                  </pic:blipFill>
                  <pic:spPr>
                    <a:xfrm>
                      <a:off x="0" y="0"/>
                      <a:ext cx="3253839" cy="1917662"/>
                    </a:xfrm>
                    <a:prstGeom prst="rect">
                      <a:avLst/>
                    </a:prstGeom>
                  </pic:spPr>
                </pic:pic>
              </a:graphicData>
            </a:graphic>
          </wp:inline>
        </w:drawing>
      </w:r>
    </w:p>
    <w:p w14:paraId="0198FA04" w14:textId="77777777" w:rsidR="00A14B9B" w:rsidRPr="002A0D4F" w:rsidRDefault="00A14B9B" w:rsidP="00A14B9B">
      <w:pPr>
        <w:rPr>
          <w:sz w:val="18"/>
          <w:szCs w:val="18"/>
          <w:lang w:val="cs-CZ"/>
        </w:rPr>
      </w:pPr>
      <w:r w:rsidRPr="002A0D4F">
        <w:rPr>
          <w:sz w:val="18"/>
          <w:szCs w:val="18"/>
          <w:lang w:val="cs-CZ"/>
        </w:rPr>
        <w:t xml:space="preserve">Zdroj: </w:t>
      </w:r>
      <w:proofErr w:type="spellStart"/>
      <w:r w:rsidRPr="002A0D4F">
        <w:rPr>
          <w:sz w:val="18"/>
          <w:szCs w:val="18"/>
          <w:lang w:val="cs-CZ"/>
        </w:rPr>
        <w:t>MZe</w:t>
      </w:r>
      <w:proofErr w:type="spellEnd"/>
      <w:r w:rsidRPr="002A0D4F">
        <w:rPr>
          <w:sz w:val="18"/>
          <w:szCs w:val="18"/>
          <w:lang w:val="cs-CZ"/>
        </w:rPr>
        <w:t>, 2019 (6 kol žádostí pro opatření 6.4.1 a 6.4.2 v rámci PRV 2014-2020), vlastní zpracování</w:t>
      </w:r>
    </w:p>
    <w:p w14:paraId="2242FEE1" w14:textId="77777777" w:rsidR="00A14B9B" w:rsidRPr="009E600E" w:rsidRDefault="00A14B9B" w:rsidP="009E600E">
      <w:pPr>
        <w:pStyle w:val="UZEIObr"/>
      </w:pPr>
      <w:bookmarkStart w:id="501" w:name="_Toc25919880"/>
      <w:bookmarkStart w:id="502" w:name="_Toc81815419"/>
      <w:bookmarkStart w:id="503" w:name="_Toc81817624"/>
      <w:r w:rsidRPr="009E600E">
        <w:t xml:space="preserve">Obrázek </w:t>
      </w:r>
      <w:r w:rsidRPr="009E600E">
        <w:fldChar w:fldCharType="begin"/>
      </w:r>
      <w:r w:rsidRPr="009E600E">
        <w:instrText xml:space="preserve"> STYLEREF 1 \s </w:instrText>
      </w:r>
      <w:r w:rsidRPr="009E600E">
        <w:fldChar w:fldCharType="separate"/>
      </w:r>
      <w:r w:rsidRPr="009E600E">
        <w:t>3</w:t>
      </w:r>
      <w:r w:rsidRPr="009E600E">
        <w:fldChar w:fldCharType="end"/>
      </w:r>
      <w:r w:rsidRPr="009E600E">
        <w:t>.</w:t>
      </w:r>
      <w:r w:rsidRPr="009E600E">
        <w:fldChar w:fldCharType="begin"/>
      </w:r>
      <w:r w:rsidRPr="009E600E">
        <w:instrText xml:space="preserve"> SEQ Obrázek \* ARABIC \s 1 </w:instrText>
      </w:r>
      <w:r w:rsidRPr="009E600E">
        <w:fldChar w:fldCharType="separate"/>
      </w:r>
      <w:r w:rsidRPr="009E600E">
        <w:t>23</w:t>
      </w:r>
      <w:r w:rsidRPr="009E600E">
        <w:fldChar w:fldCharType="end"/>
      </w:r>
      <w:r w:rsidRPr="009E600E">
        <w:t>: Velikostní struktura podniků-žadatelů</w:t>
      </w:r>
      <w:bookmarkEnd w:id="501"/>
      <w:bookmarkEnd w:id="502"/>
      <w:bookmarkEnd w:id="503"/>
    </w:p>
    <w:p w14:paraId="7F38C25E" w14:textId="77777777" w:rsidR="00A14B9B" w:rsidRPr="002A0D4F" w:rsidRDefault="00A14B9B" w:rsidP="00A14B9B">
      <w:pPr>
        <w:rPr>
          <w:sz w:val="18"/>
          <w:szCs w:val="18"/>
          <w:lang w:val="cs-CZ"/>
        </w:rPr>
      </w:pPr>
      <w:r w:rsidRPr="002A0D4F">
        <w:rPr>
          <w:noProof/>
          <w:lang w:val="cs-CZ" w:eastAsia="cs-CZ"/>
        </w:rPr>
        <w:drawing>
          <wp:inline distT="0" distB="0" distL="0" distR="0" wp14:anchorId="356D4D9D" wp14:editId="3D474545">
            <wp:extent cx="3348841" cy="1875790"/>
            <wp:effectExtent l="0" t="0" r="4445" b="0"/>
            <wp:docPr id="1880667164" name="Obráze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8"/>
                    <pic:cNvPicPr/>
                  </pic:nvPicPr>
                  <pic:blipFill>
                    <a:blip r:embed="rId79" cstate="print">
                      <a:extLst>
                        <a:ext uri="{28A0092B-C50C-407E-A947-70E740481C1C}">
                          <a14:useLocalDpi xmlns:a14="http://schemas.microsoft.com/office/drawing/2010/main" val="0"/>
                        </a:ext>
                      </a:extLst>
                    </a:blip>
                    <a:stretch>
                      <a:fillRect/>
                    </a:stretch>
                  </pic:blipFill>
                  <pic:spPr>
                    <a:xfrm>
                      <a:off x="0" y="0"/>
                      <a:ext cx="3348841" cy="1875790"/>
                    </a:xfrm>
                    <a:prstGeom prst="rect">
                      <a:avLst/>
                    </a:prstGeom>
                  </pic:spPr>
                </pic:pic>
              </a:graphicData>
            </a:graphic>
          </wp:inline>
        </w:drawing>
      </w:r>
    </w:p>
    <w:p w14:paraId="3F859F09" w14:textId="77777777" w:rsidR="00A14B9B" w:rsidRPr="002A0D4F" w:rsidRDefault="00A14B9B" w:rsidP="00800345">
      <w:pPr>
        <w:pStyle w:val="UZEIZdroj"/>
      </w:pPr>
      <w:r w:rsidRPr="002A0D4F">
        <w:t xml:space="preserve">Zdroj: </w:t>
      </w:r>
      <w:proofErr w:type="spellStart"/>
      <w:r w:rsidRPr="002A0D4F">
        <w:t>MZe</w:t>
      </w:r>
      <w:proofErr w:type="spellEnd"/>
      <w:r w:rsidRPr="002A0D4F">
        <w:t>, 2019 (6 kol žádostí pro opatření 6.4.1 a 6.4.2 v rámci PRV 2014-2020), vlastní zpracování</w:t>
      </w:r>
    </w:p>
    <w:p w14:paraId="04330519" w14:textId="77777777" w:rsidR="00A14B9B" w:rsidRPr="002A0D4F" w:rsidRDefault="00A14B9B" w:rsidP="00800345">
      <w:pPr>
        <w:pStyle w:val="UZEINormaln"/>
      </w:pPr>
      <w:r w:rsidRPr="002A0D4F">
        <w:t xml:space="preserve">U mikro podniků převažují žádostí fyzických osob ve více než osmdesáti procentech všech žádostí. Naopak je tomu u malých a středních podniků, kde převládají právnické osoby. U velkých podniků byly zaznamenány jen žádosti právnických osob, z celého souboru dohromady jedenáct žádostí. </w:t>
      </w:r>
    </w:p>
    <w:p w14:paraId="345747FB" w14:textId="77777777" w:rsidR="00A14B9B" w:rsidRPr="002A0D4F" w:rsidRDefault="00A14B9B" w:rsidP="00A14B9B">
      <w:pPr>
        <w:spacing w:before="240"/>
        <w:rPr>
          <w:lang w:val="cs-CZ"/>
        </w:rPr>
      </w:pPr>
    </w:p>
    <w:p w14:paraId="7DC1F83C" w14:textId="77777777" w:rsidR="00800345" w:rsidRDefault="00800345">
      <w:pPr>
        <w:spacing w:after="160" w:line="259" w:lineRule="auto"/>
        <w:jc w:val="left"/>
        <w:rPr>
          <w:rFonts w:eastAsia="Times New Roman" w:cs="Arial"/>
          <w:b/>
          <w:noProof/>
          <w:sz w:val="20"/>
          <w:szCs w:val="20"/>
          <w:lang w:val="cs-CZ" w:eastAsia="cs-CZ"/>
        </w:rPr>
      </w:pPr>
      <w:bookmarkStart w:id="504" w:name="_Toc25919881"/>
      <w:r>
        <w:br w:type="page"/>
      </w:r>
    </w:p>
    <w:p w14:paraId="13712EFE" w14:textId="4090600F" w:rsidR="00A14B9B" w:rsidRPr="00800345" w:rsidRDefault="00A14B9B" w:rsidP="00800345">
      <w:pPr>
        <w:pStyle w:val="UZEIObr"/>
      </w:pPr>
      <w:bookmarkStart w:id="505" w:name="_Toc81815420"/>
      <w:bookmarkStart w:id="506" w:name="_Toc81817625"/>
      <w:r w:rsidRPr="00800345">
        <w:lastRenderedPageBreak/>
        <w:t>Počty žádostí podle velikosti a právní formy podniku</w:t>
      </w:r>
      <w:bookmarkEnd w:id="504"/>
      <w:bookmarkEnd w:id="505"/>
      <w:bookmarkEnd w:id="506"/>
    </w:p>
    <w:p w14:paraId="782492B2" w14:textId="77777777" w:rsidR="00A14B9B" w:rsidRPr="002A0D4F" w:rsidRDefault="00A14B9B" w:rsidP="00A14B9B">
      <w:pPr>
        <w:keepNext/>
        <w:rPr>
          <w:lang w:val="cs-CZ"/>
        </w:rPr>
      </w:pPr>
      <w:r w:rsidRPr="002A0D4F">
        <w:rPr>
          <w:noProof/>
          <w:lang w:val="cs-CZ" w:eastAsia="cs-CZ"/>
        </w:rPr>
        <w:drawing>
          <wp:inline distT="0" distB="0" distL="0" distR="0" wp14:anchorId="72393B9C" wp14:editId="18B0BDD2">
            <wp:extent cx="3632200" cy="2183345"/>
            <wp:effectExtent l="0" t="0" r="6350" b="7620"/>
            <wp:docPr id="1216276935" name="Obrázek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58"/>
                    <pic:cNvPicPr/>
                  </pic:nvPicPr>
                  <pic:blipFill>
                    <a:blip r:embed="rId80">
                      <a:extLst>
                        <a:ext uri="{28A0092B-C50C-407E-A947-70E740481C1C}">
                          <a14:useLocalDpi xmlns:a14="http://schemas.microsoft.com/office/drawing/2010/main" val="0"/>
                        </a:ext>
                      </a:extLst>
                    </a:blip>
                    <a:stretch>
                      <a:fillRect/>
                    </a:stretch>
                  </pic:blipFill>
                  <pic:spPr>
                    <a:xfrm>
                      <a:off x="0" y="0"/>
                      <a:ext cx="3632200" cy="2183345"/>
                    </a:xfrm>
                    <a:prstGeom prst="rect">
                      <a:avLst/>
                    </a:prstGeom>
                  </pic:spPr>
                </pic:pic>
              </a:graphicData>
            </a:graphic>
          </wp:inline>
        </w:drawing>
      </w:r>
    </w:p>
    <w:p w14:paraId="2E1CC15C" w14:textId="77777777" w:rsidR="00A14B9B" w:rsidRPr="00800345" w:rsidRDefault="00A14B9B" w:rsidP="00800345">
      <w:pPr>
        <w:pStyle w:val="UZEIZdroj"/>
      </w:pPr>
      <w:r w:rsidRPr="00800345">
        <w:t xml:space="preserve">Zdroj: </w:t>
      </w:r>
      <w:proofErr w:type="spellStart"/>
      <w:r w:rsidRPr="00800345">
        <w:t>MZe</w:t>
      </w:r>
      <w:proofErr w:type="spellEnd"/>
      <w:r w:rsidRPr="00800345">
        <w:t>, 2019 (6 kol žádostí pro opatření 6.4.1 a 6.4.2 v rámci PRV 2014-2020), vlastní zpracování</w:t>
      </w:r>
    </w:p>
    <w:p w14:paraId="2032A24B" w14:textId="442C5E26" w:rsidR="00A14B9B" w:rsidRPr="00B05A75" w:rsidRDefault="00A14B9B" w:rsidP="00B05A75">
      <w:pPr>
        <w:pStyle w:val="UZEINormaln"/>
      </w:pPr>
      <w:r w:rsidRPr="00B05A75">
        <w:t>V </w:t>
      </w:r>
      <w:r w:rsidR="00B05A75">
        <w:fldChar w:fldCharType="begin"/>
      </w:r>
      <w:r w:rsidR="00B05A75">
        <w:instrText xml:space="preserve"> REF _Ref81770414 \r \h </w:instrText>
      </w:r>
      <w:r w:rsidR="00B05A75">
        <w:fldChar w:fldCharType="separate"/>
      </w:r>
      <w:r w:rsidR="00B05A75">
        <w:t>Tabul</w:t>
      </w:r>
      <w:r w:rsidR="008913C5">
        <w:t>ce</w:t>
      </w:r>
      <w:r w:rsidR="00B05A75">
        <w:t xml:space="preserve"> 15</w:t>
      </w:r>
      <w:r w:rsidR="00B05A75">
        <w:fldChar w:fldCharType="end"/>
      </w:r>
      <w:r w:rsidR="00B05A75">
        <w:t xml:space="preserve"> </w:t>
      </w:r>
      <w:r w:rsidRPr="00B05A75">
        <w:t xml:space="preserve">jsou vyčísleny celkové výdaje na všechny projekty v operaci 6.4.1, dále pak průměrné, minimální a maximální hodnoty podle toho, o jaký typ výdajů se jedná.  </w:t>
      </w:r>
    </w:p>
    <w:p w14:paraId="08968438" w14:textId="490B06C3" w:rsidR="00A14B9B" w:rsidRPr="00B05A75" w:rsidRDefault="00B05A75" w:rsidP="00B05A75">
      <w:pPr>
        <w:pStyle w:val="UZEITaB"/>
      </w:pPr>
      <w:bookmarkStart w:id="507" w:name="_Toc25920008"/>
      <w:r>
        <w:t xml:space="preserve"> </w:t>
      </w:r>
      <w:bookmarkStart w:id="508" w:name="_Ref81770414"/>
      <w:bookmarkStart w:id="509" w:name="_Toc81815331"/>
      <w:bookmarkStart w:id="510" w:name="_Toc81817009"/>
      <w:bookmarkStart w:id="511" w:name="_Toc81817522"/>
      <w:r w:rsidR="00A14B9B" w:rsidRPr="00B05A75">
        <w:t>Charakteristika celkových výdajů u operace 6.4.1</w:t>
      </w:r>
      <w:bookmarkEnd w:id="507"/>
      <w:bookmarkEnd w:id="508"/>
      <w:bookmarkEnd w:id="509"/>
      <w:bookmarkEnd w:id="510"/>
      <w:bookmarkEnd w:id="511"/>
    </w:p>
    <w:p w14:paraId="115B03CE" w14:textId="77777777" w:rsidR="00A14B9B" w:rsidRPr="002A0D4F" w:rsidRDefault="00A14B9B" w:rsidP="00A14B9B">
      <w:pPr>
        <w:rPr>
          <w:lang w:val="cs-CZ"/>
        </w:rPr>
      </w:pPr>
      <w:r w:rsidRPr="002A0D4F">
        <w:rPr>
          <w:noProof/>
          <w:lang w:val="cs-CZ" w:eastAsia="cs-CZ"/>
        </w:rPr>
        <w:drawing>
          <wp:inline distT="0" distB="0" distL="0" distR="0" wp14:anchorId="4F6ED55D" wp14:editId="69FC33D7">
            <wp:extent cx="5300133" cy="1544034"/>
            <wp:effectExtent l="0" t="0" r="0" b="5715"/>
            <wp:docPr id="55" name="Obrázek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337197" cy="1554831"/>
                    </a:xfrm>
                    <a:prstGeom prst="rect">
                      <a:avLst/>
                    </a:prstGeom>
                    <a:noFill/>
                    <a:ln>
                      <a:noFill/>
                    </a:ln>
                  </pic:spPr>
                </pic:pic>
              </a:graphicData>
            </a:graphic>
          </wp:inline>
        </w:drawing>
      </w:r>
    </w:p>
    <w:p w14:paraId="6BADB6CC" w14:textId="77777777" w:rsidR="00A14B9B" w:rsidRPr="002A0D4F" w:rsidRDefault="00A14B9B" w:rsidP="00B05A75">
      <w:pPr>
        <w:pStyle w:val="UZEIZdroj"/>
      </w:pPr>
      <w:r w:rsidRPr="002A0D4F">
        <w:t xml:space="preserve">Zdroj: </w:t>
      </w:r>
      <w:proofErr w:type="spellStart"/>
      <w:r w:rsidRPr="002A0D4F">
        <w:t>MZe</w:t>
      </w:r>
      <w:proofErr w:type="spellEnd"/>
      <w:r w:rsidRPr="002A0D4F">
        <w:t>, 2019 (6 kol žádostí pro opatření 6.4.1 a 6.4.2 v rámci PRV 2014-2020), vlastní zpracování</w:t>
      </w:r>
    </w:p>
    <w:p w14:paraId="03610129" w14:textId="53767DD5" w:rsidR="00A14B9B" w:rsidRPr="002A0D4F" w:rsidRDefault="00A14B9B" w:rsidP="00B05A75">
      <w:pPr>
        <w:pStyle w:val="UZEINormaln"/>
      </w:pPr>
      <w:r w:rsidRPr="002A0D4F">
        <w:t>Celkové výdaje na projekt se v zásadě skládají z výdajů veřejných, podpořených dotací, a výdajů soukromých. Částka celkových výdajů indikuje celkovou finanční náročnost projektu. Jak je patrné z </w:t>
      </w:r>
      <w:r w:rsidR="00420FDE">
        <w:fldChar w:fldCharType="begin"/>
      </w:r>
      <w:r w:rsidR="00420FDE">
        <w:instrText xml:space="preserve"> REF _Ref81770501 \r \h </w:instrText>
      </w:r>
      <w:r w:rsidR="00420FDE">
        <w:fldChar w:fldCharType="separate"/>
      </w:r>
      <w:r w:rsidR="00420FDE">
        <w:t>Tabulky 16</w:t>
      </w:r>
      <w:r w:rsidR="00420FDE">
        <w:fldChar w:fldCharType="end"/>
      </w:r>
      <w:r w:rsidRPr="002A0D4F">
        <w:t>, výdaje zhruba do 1 mil. Kč byly zhruba u 10 % projektů, 5 % projektů s nejvyššími výdaji překračovali částku 12 mil. Kč. Medián činí zhruba 2,8 mil. Kč na projekt.</w:t>
      </w:r>
    </w:p>
    <w:p w14:paraId="486976D8" w14:textId="6C6D851B" w:rsidR="00A14B9B" w:rsidRPr="00420FDE" w:rsidRDefault="00420FDE" w:rsidP="00420FDE">
      <w:pPr>
        <w:pStyle w:val="UZEITaB"/>
      </w:pPr>
      <w:bookmarkStart w:id="512" w:name="_Toc25920009"/>
      <w:r>
        <w:t xml:space="preserve"> </w:t>
      </w:r>
      <w:r w:rsidRPr="00420FDE">
        <w:t xml:space="preserve"> </w:t>
      </w:r>
      <w:bookmarkStart w:id="513" w:name="_Ref81770501"/>
      <w:bookmarkStart w:id="514" w:name="_Toc81815332"/>
      <w:bookmarkStart w:id="515" w:name="_Toc81817010"/>
      <w:bookmarkStart w:id="516" w:name="_Toc81817523"/>
      <w:r w:rsidR="00A14B9B" w:rsidRPr="00420FDE">
        <w:t>Charakteristika celkových výdajů u operace 6.4.1</w:t>
      </w:r>
      <w:bookmarkEnd w:id="512"/>
      <w:bookmarkEnd w:id="513"/>
      <w:bookmarkEnd w:id="514"/>
      <w:bookmarkEnd w:id="515"/>
      <w:bookmarkEnd w:id="516"/>
    </w:p>
    <w:p w14:paraId="1101199C" w14:textId="77777777" w:rsidR="00A14B9B" w:rsidRPr="002A0D4F" w:rsidRDefault="00A14B9B" w:rsidP="00A14B9B">
      <w:pPr>
        <w:rPr>
          <w:lang w:val="cs-CZ"/>
        </w:rPr>
      </w:pPr>
      <w:r w:rsidRPr="002A0D4F">
        <w:rPr>
          <w:noProof/>
          <w:lang w:val="cs-CZ" w:eastAsia="cs-CZ"/>
        </w:rPr>
        <w:drawing>
          <wp:inline distT="0" distB="0" distL="0" distR="0" wp14:anchorId="0B5D9DE5" wp14:editId="217F050D">
            <wp:extent cx="2509520" cy="1530985"/>
            <wp:effectExtent l="0" t="0" r="5080" b="0"/>
            <wp:docPr id="1841018087" name="Obrázek 1841018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509520" cy="1530985"/>
                    </a:xfrm>
                    <a:prstGeom prst="rect">
                      <a:avLst/>
                    </a:prstGeom>
                    <a:noFill/>
                    <a:ln>
                      <a:noFill/>
                    </a:ln>
                  </pic:spPr>
                </pic:pic>
              </a:graphicData>
            </a:graphic>
          </wp:inline>
        </w:drawing>
      </w:r>
    </w:p>
    <w:p w14:paraId="724020AE" w14:textId="77777777" w:rsidR="00A14B9B" w:rsidRPr="002A0D4F" w:rsidRDefault="00A14B9B" w:rsidP="00420FDE">
      <w:pPr>
        <w:pStyle w:val="UZEIZdroj"/>
      </w:pPr>
      <w:r w:rsidRPr="002A0D4F">
        <w:t xml:space="preserve">Zdroj: </w:t>
      </w:r>
      <w:proofErr w:type="spellStart"/>
      <w:r w:rsidRPr="002A0D4F">
        <w:t>MZe</w:t>
      </w:r>
      <w:proofErr w:type="spellEnd"/>
      <w:r w:rsidRPr="002A0D4F">
        <w:t>, 2019 (6 kol žádostí pro opatření 6.4.1 a 6.4.2 v rámci PRV 2014-2020, n = 573), vlastní zpracování</w:t>
      </w:r>
    </w:p>
    <w:p w14:paraId="21329718" w14:textId="40E15BCE" w:rsidR="00A14B9B" w:rsidRPr="002A0D4F" w:rsidRDefault="00A14B9B" w:rsidP="00420FDE">
      <w:pPr>
        <w:pStyle w:val="UZEINormaln"/>
      </w:pPr>
      <w:r w:rsidRPr="002A0D4F">
        <w:t>Percentilové charakteristiky z </w:t>
      </w:r>
      <w:r w:rsidR="00420FDE">
        <w:fldChar w:fldCharType="begin"/>
      </w:r>
      <w:r w:rsidR="00420FDE">
        <w:instrText xml:space="preserve"> REF _Ref81770501 \r \h </w:instrText>
      </w:r>
      <w:r w:rsidR="00420FDE">
        <w:fldChar w:fldCharType="separate"/>
      </w:r>
      <w:r w:rsidR="00420FDE">
        <w:t>Tabulky 16</w:t>
      </w:r>
      <w:r w:rsidR="00420FDE">
        <w:fldChar w:fldCharType="end"/>
      </w:r>
      <w:r w:rsidR="00420FDE">
        <w:t xml:space="preserve"> </w:t>
      </w:r>
      <w:r w:rsidRPr="002A0D4F">
        <w:t>jsou dokresleny zobrazením rozdělení celkových výdajů na projekt v </w:t>
      </w:r>
      <w:r w:rsidR="00233135">
        <w:fldChar w:fldCharType="begin"/>
      </w:r>
      <w:r w:rsidR="00233135">
        <w:instrText xml:space="preserve"> REF _Ref81770593 \r \h </w:instrText>
      </w:r>
      <w:r w:rsidR="00233135">
        <w:fldChar w:fldCharType="separate"/>
      </w:r>
      <w:r w:rsidR="00233135">
        <w:t>Obrázk</w:t>
      </w:r>
      <w:r w:rsidR="00A24D62">
        <w:t>u</w:t>
      </w:r>
      <w:r w:rsidR="00233135">
        <w:t xml:space="preserve"> 40</w:t>
      </w:r>
      <w:r w:rsidR="00233135">
        <w:fldChar w:fldCharType="end"/>
      </w:r>
      <w:r w:rsidRPr="002A0D4F">
        <w:t>. Zde je zřejmý silnější výskyt hodnot do zhruba 5-6 mil Kč.</w:t>
      </w:r>
    </w:p>
    <w:p w14:paraId="5FB58729" w14:textId="77777777" w:rsidR="00233135" w:rsidRDefault="00233135">
      <w:pPr>
        <w:spacing w:after="160" w:line="259" w:lineRule="auto"/>
        <w:jc w:val="left"/>
        <w:rPr>
          <w:rFonts w:eastAsia="Times New Roman" w:cs="Arial"/>
          <w:b/>
          <w:noProof/>
          <w:sz w:val="20"/>
          <w:szCs w:val="20"/>
          <w:lang w:val="cs-CZ" w:eastAsia="cs-CZ"/>
        </w:rPr>
      </w:pPr>
      <w:bookmarkStart w:id="517" w:name="_Toc25919882"/>
      <w:r>
        <w:br w:type="page"/>
      </w:r>
    </w:p>
    <w:p w14:paraId="6F39324C" w14:textId="5FA889A6" w:rsidR="00A14B9B" w:rsidRPr="00233135" w:rsidRDefault="00A14B9B" w:rsidP="00233135">
      <w:pPr>
        <w:pStyle w:val="UZEIObr"/>
      </w:pPr>
      <w:bookmarkStart w:id="518" w:name="_Ref81770593"/>
      <w:bookmarkStart w:id="519" w:name="_Toc81815421"/>
      <w:bookmarkStart w:id="520" w:name="_Toc81817626"/>
      <w:r w:rsidRPr="00233135">
        <w:lastRenderedPageBreak/>
        <w:t>Rozložení celkových výdajů (Kč na projekt)</w:t>
      </w:r>
      <w:bookmarkEnd w:id="517"/>
      <w:bookmarkEnd w:id="518"/>
      <w:bookmarkEnd w:id="519"/>
      <w:bookmarkEnd w:id="520"/>
    </w:p>
    <w:p w14:paraId="004B89EB" w14:textId="77777777" w:rsidR="00A14B9B" w:rsidRPr="002A0D4F" w:rsidRDefault="00A14B9B" w:rsidP="00A14B9B">
      <w:pPr>
        <w:rPr>
          <w:lang w:val="cs-CZ"/>
        </w:rPr>
      </w:pPr>
      <w:r w:rsidRPr="002A0D4F">
        <w:rPr>
          <w:noProof/>
          <w:lang w:val="cs-CZ" w:eastAsia="cs-CZ"/>
        </w:rPr>
        <w:drawing>
          <wp:inline distT="0" distB="0" distL="0" distR="0" wp14:anchorId="20F199AB" wp14:editId="6FA0F5B5">
            <wp:extent cx="4021666" cy="2373457"/>
            <wp:effectExtent l="0" t="0" r="4445" b="1905"/>
            <wp:docPr id="1618068100" name="Obrázek 1737972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737972130"/>
                    <pic:cNvPicPr/>
                  </pic:nvPicPr>
                  <pic:blipFill>
                    <a:blip r:embed="rId83">
                      <a:extLst>
                        <a:ext uri="{28A0092B-C50C-407E-A947-70E740481C1C}">
                          <a14:useLocalDpi xmlns:a14="http://schemas.microsoft.com/office/drawing/2010/main" val="0"/>
                        </a:ext>
                      </a:extLst>
                    </a:blip>
                    <a:stretch>
                      <a:fillRect/>
                    </a:stretch>
                  </pic:blipFill>
                  <pic:spPr>
                    <a:xfrm>
                      <a:off x="0" y="0"/>
                      <a:ext cx="4021666" cy="2373457"/>
                    </a:xfrm>
                    <a:prstGeom prst="rect">
                      <a:avLst/>
                    </a:prstGeom>
                  </pic:spPr>
                </pic:pic>
              </a:graphicData>
            </a:graphic>
          </wp:inline>
        </w:drawing>
      </w:r>
    </w:p>
    <w:p w14:paraId="6CF6BD08" w14:textId="77777777" w:rsidR="00A14B9B" w:rsidRPr="002A0D4F" w:rsidRDefault="00A14B9B" w:rsidP="00A24D62">
      <w:pPr>
        <w:pStyle w:val="UZEIZdroj"/>
      </w:pPr>
      <w:r w:rsidRPr="002A0D4F">
        <w:t xml:space="preserve">Zdroj: </w:t>
      </w:r>
      <w:proofErr w:type="spellStart"/>
      <w:r w:rsidRPr="002A0D4F">
        <w:t>MZe</w:t>
      </w:r>
      <w:proofErr w:type="spellEnd"/>
      <w:r w:rsidRPr="002A0D4F">
        <w:t>, 2019 (6 kol žádostí pro opatření 6.4.1 a 6.4.2 v rámci PRV 2014-2020), vlastní zpracování</w:t>
      </w:r>
    </w:p>
    <w:p w14:paraId="43A7AE65" w14:textId="77777777" w:rsidR="00A14B9B" w:rsidRPr="002A0D4F" w:rsidRDefault="00A14B9B" w:rsidP="00A24D62">
      <w:pPr>
        <w:pStyle w:val="UZEINormaln"/>
        <w:rPr>
          <w:sz w:val="18"/>
          <w:szCs w:val="18"/>
        </w:rPr>
      </w:pPr>
      <w:r w:rsidRPr="002A0D4F">
        <w:t xml:space="preserve">Spolu s celkovými výdaji na projekt je analyzována i hodnota výdajů na spolufinancování (dotace). Ta je odvozena určitým procentem od výdajů, ze kterých lze dotaci stanovit (vychází z očištěné částky celkových výdajů). Dotaci je dále možno členit na příspěvek EU a příspěvek národní. </w:t>
      </w:r>
    </w:p>
    <w:p w14:paraId="12DA3DB3" w14:textId="554F7971" w:rsidR="00A14B9B" w:rsidRPr="002A0D4F" w:rsidRDefault="00A14B9B" w:rsidP="00A24D62">
      <w:pPr>
        <w:pStyle w:val="UZEINormaln"/>
      </w:pPr>
      <w:r w:rsidRPr="002A0D4F">
        <w:t>Z </w:t>
      </w:r>
      <w:r w:rsidR="00E62153">
        <w:fldChar w:fldCharType="begin"/>
      </w:r>
      <w:r w:rsidR="00E62153">
        <w:instrText xml:space="preserve"> REF _Ref81770414 \r \h </w:instrText>
      </w:r>
      <w:r w:rsidR="00E62153">
        <w:fldChar w:fldCharType="separate"/>
      </w:r>
      <w:r w:rsidR="00E62153">
        <w:t>Tabulka 15</w:t>
      </w:r>
      <w:r w:rsidR="00E62153">
        <w:fldChar w:fldCharType="end"/>
      </w:r>
      <w:r w:rsidR="00E62153">
        <w:t xml:space="preserve"> </w:t>
      </w:r>
      <w:r w:rsidRPr="002A0D4F">
        <w:t>je možné vyčíst, že průměrná částka dotace na projekt je zhruba 1,5 mil. Kč, minimum cca 110 tis. Kč, maximum 4,5 mil. Kč. V </w:t>
      </w:r>
      <w:r w:rsidR="00FB70B2">
        <w:fldChar w:fldCharType="begin"/>
      </w:r>
      <w:r w:rsidR="00FB70B2">
        <w:instrText xml:space="preserve"> REF _Ref81770803 \r \h </w:instrText>
      </w:r>
      <w:r w:rsidR="00FB70B2">
        <w:fldChar w:fldCharType="separate"/>
      </w:r>
      <w:r w:rsidR="00FB70B2">
        <w:t>Tabulka 17</w:t>
      </w:r>
      <w:r w:rsidR="00FB70B2">
        <w:fldChar w:fldCharType="end"/>
      </w:r>
      <w:r w:rsidR="00FB70B2">
        <w:t xml:space="preserve"> </w:t>
      </w:r>
      <w:r w:rsidRPr="002A0D4F">
        <w:t>jsou k dispozici percentily hodnot dotací na projekt. Deset procent projektů s nejnižší částkou dotace nedosáhlo 310 tis. Kč. Deset procent projektů s nejvyšší veřejnou podporou pak přesáhlo 3,6 mil. Kč. Medián dotace činil zhruba 913 tis. Kč na projekt.</w:t>
      </w:r>
    </w:p>
    <w:p w14:paraId="597DA9CF" w14:textId="0AD0FED6" w:rsidR="00A14B9B" w:rsidRPr="00FB70B2" w:rsidRDefault="00FB70B2" w:rsidP="00FB70B2">
      <w:pPr>
        <w:pStyle w:val="UZEITaB"/>
      </w:pPr>
      <w:bookmarkStart w:id="521" w:name="_Toc25920010"/>
      <w:r w:rsidRPr="00FB70B2">
        <w:t xml:space="preserve"> </w:t>
      </w:r>
      <w:bookmarkStart w:id="522" w:name="_Ref81770803"/>
      <w:bookmarkStart w:id="523" w:name="_Toc81815333"/>
      <w:bookmarkStart w:id="524" w:name="_Toc81817011"/>
      <w:bookmarkStart w:id="525" w:name="_Toc81817524"/>
      <w:r w:rsidR="00A14B9B" w:rsidRPr="00FB70B2">
        <w:t>Charakteristika výdajů pro spolufinancování – dotace u operace 6.4.1</w:t>
      </w:r>
      <w:bookmarkEnd w:id="521"/>
      <w:bookmarkEnd w:id="522"/>
      <w:bookmarkEnd w:id="523"/>
      <w:bookmarkEnd w:id="524"/>
      <w:bookmarkEnd w:id="525"/>
    </w:p>
    <w:p w14:paraId="44E8435D" w14:textId="77777777" w:rsidR="00A14B9B" w:rsidRPr="002A0D4F" w:rsidRDefault="00A14B9B" w:rsidP="00A14B9B">
      <w:pPr>
        <w:rPr>
          <w:lang w:val="cs-CZ"/>
        </w:rPr>
      </w:pPr>
      <w:r w:rsidRPr="002A0D4F">
        <w:rPr>
          <w:noProof/>
          <w:lang w:val="cs-CZ" w:eastAsia="cs-CZ"/>
        </w:rPr>
        <w:drawing>
          <wp:inline distT="0" distB="0" distL="0" distR="0" wp14:anchorId="0CFF10A0" wp14:editId="302D84F2">
            <wp:extent cx="3365500" cy="1536700"/>
            <wp:effectExtent l="0" t="0" r="0" b="0"/>
            <wp:docPr id="10" name="Obráze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3365500" cy="1536700"/>
                    </a:xfrm>
                    <a:prstGeom prst="rect">
                      <a:avLst/>
                    </a:prstGeom>
                  </pic:spPr>
                </pic:pic>
              </a:graphicData>
            </a:graphic>
          </wp:inline>
        </w:drawing>
      </w:r>
    </w:p>
    <w:p w14:paraId="1D6D2679" w14:textId="77777777" w:rsidR="00A14B9B" w:rsidRPr="002A0D4F" w:rsidRDefault="00A14B9B" w:rsidP="00FB70B2">
      <w:pPr>
        <w:pStyle w:val="UZEIZdroj"/>
      </w:pPr>
      <w:r w:rsidRPr="002A0D4F">
        <w:t xml:space="preserve">Zdroj: </w:t>
      </w:r>
      <w:proofErr w:type="spellStart"/>
      <w:r w:rsidRPr="002A0D4F">
        <w:t>MZe</w:t>
      </w:r>
      <w:proofErr w:type="spellEnd"/>
      <w:r w:rsidRPr="002A0D4F">
        <w:t>, 2019 (6 kol žádostí pro opatření 6.4.1 a 6.4.2 v rámci PRV 2014-2020, n = 573), vlastní zpracování</w:t>
      </w:r>
    </w:p>
    <w:p w14:paraId="7F69A1B5" w14:textId="77777777" w:rsidR="00A14B9B" w:rsidRPr="002A0D4F" w:rsidRDefault="00A14B9B" w:rsidP="00FB70B2">
      <w:pPr>
        <w:pStyle w:val="UZEINormaln"/>
      </w:pPr>
      <w:r w:rsidRPr="002A0D4F">
        <w:t xml:space="preserve">Dále byly výdaje ze žádostí rozčleněny podle právní formy na fyzické a právnické osoby a podle velikostní kategorie podniku. Je zřejmé, že co do objemu prostředků dominuje u právnických osob malý podnik, u fyzických pak mikro. </w:t>
      </w:r>
    </w:p>
    <w:p w14:paraId="77E7A971" w14:textId="0FF36D40" w:rsidR="004E2021" w:rsidRDefault="004E2021" w:rsidP="004E2021">
      <w:pPr>
        <w:pStyle w:val="UZEITaB"/>
        <w:numPr>
          <w:ilvl w:val="0"/>
          <w:numId w:val="0"/>
        </w:numPr>
        <w:ind w:left="993" w:hanging="993"/>
      </w:pPr>
      <w:bookmarkStart w:id="526" w:name="_Toc25920011"/>
    </w:p>
    <w:p w14:paraId="26226117" w14:textId="77777777" w:rsidR="004E2021" w:rsidRDefault="004E2021">
      <w:pPr>
        <w:spacing w:after="160" w:line="259" w:lineRule="auto"/>
        <w:jc w:val="left"/>
        <w:rPr>
          <w:rFonts w:eastAsia="Times New Roman" w:cs="Arial"/>
          <w:b/>
          <w:color w:val="000000" w:themeColor="text1"/>
          <w:sz w:val="20"/>
          <w:szCs w:val="20"/>
          <w:lang w:val="cs-CZ" w:eastAsia="cs-CZ"/>
        </w:rPr>
      </w:pPr>
      <w:r>
        <w:br w:type="page"/>
      </w:r>
    </w:p>
    <w:p w14:paraId="0FEC4E9E" w14:textId="08B2E514" w:rsidR="00A14B9B" w:rsidRPr="004E2021" w:rsidRDefault="00A14B9B" w:rsidP="004E2021">
      <w:pPr>
        <w:pStyle w:val="UZEITaB"/>
      </w:pPr>
      <w:bookmarkStart w:id="527" w:name="_Toc81815334"/>
      <w:bookmarkStart w:id="528" w:name="_Toc81817012"/>
      <w:bookmarkStart w:id="529" w:name="_Toc81817525"/>
      <w:proofErr w:type="spellStart"/>
      <w:r w:rsidRPr="004E2021">
        <w:lastRenderedPageBreak/>
        <w:t>Chrakteristika</w:t>
      </w:r>
      <w:proofErr w:type="spellEnd"/>
      <w:r w:rsidRPr="004E2021">
        <w:t xml:space="preserve"> výdajů právnických osob v operaci 6.4.1 dle velikosti podniku</w:t>
      </w:r>
      <w:bookmarkEnd w:id="526"/>
      <w:bookmarkEnd w:id="527"/>
      <w:bookmarkEnd w:id="528"/>
      <w:bookmarkEnd w:id="529"/>
    </w:p>
    <w:p w14:paraId="7790CFF9" w14:textId="77777777" w:rsidR="00A14B9B" w:rsidRPr="002A0D4F" w:rsidRDefault="00A14B9B" w:rsidP="00A14B9B">
      <w:pPr>
        <w:rPr>
          <w:lang w:val="cs-CZ"/>
        </w:rPr>
      </w:pPr>
      <w:r w:rsidRPr="002A0D4F">
        <w:rPr>
          <w:noProof/>
          <w:lang w:val="cs-CZ" w:eastAsia="cs-CZ"/>
        </w:rPr>
        <w:drawing>
          <wp:inline distT="0" distB="0" distL="0" distR="0" wp14:anchorId="5D5201F1" wp14:editId="2E216613">
            <wp:extent cx="5760720" cy="1692879"/>
            <wp:effectExtent l="0" t="0" r="0" b="3175"/>
            <wp:docPr id="1737972132" name="Obrázek 1737972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5760720" cy="1692879"/>
                    </a:xfrm>
                    <a:prstGeom prst="rect">
                      <a:avLst/>
                    </a:prstGeom>
                    <a:noFill/>
                    <a:ln>
                      <a:noFill/>
                    </a:ln>
                  </pic:spPr>
                </pic:pic>
              </a:graphicData>
            </a:graphic>
          </wp:inline>
        </w:drawing>
      </w:r>
    </w:p>
    <w:p w14:paraId="098775BA" w14:textId="77777777" w:rsidR="00A14B9B" w:rsidRPr="002A0D4F" w:rsidRDefault="00A14B9B" w:rsidP="004E2021">
      <w:pPr>
        <w:pStyle w:val="UZEIZdroj"/>
      </w:pPr>
      <w:r w:rsidRPr="002A0D4F">
        <w:t xml:space="preserve">Zdroj: </w:t>
      </w:r>
      <w:proofErr w:type="spellStart"/>
      <w:r w:rsidRPr="002A0D4F">
        <w:t>MZe</w:t>
      </w:r>
      <w:proofErr w:type="spellEnd"/>
      <w:r w:rsidRPr="002A0D4F">
        <w:t>, 2019 (6 kol žádostí pro opatření 6.4.1 a 6.4.2 v rámci PRV 2014-2020), vlastní zpracování</w:t>
      </w:r>
    </w:p>
    <w:p w14:paraId="465FA1C6" w14:textId="5A7B2663" w:rsidR="00A14B9B" w:rsidRPr="004E2021" w:rsidRDefault="004E2021" w:rsidP="004E2021">
      <w:pPr>
        <w:pStyle w:val="UZEITaB"/>
      </w:pPr>
      <w:bookmarkStart w:id="530" w:name="_Toc25920012"/>
      <w:r>
        <w:t xml:space="preserve"> </w:t>
      </w:r>
      <w:bookmarkStart w:id="531" w:name="_Toc81815335"/>
      <w:bookmarkStart w:id="532" w:name="_Toc81817013"/>
      <w:bookmarkStart w:id="533" w:name="_Toc81817526"/>
      <w:r w:rsidR="00911351" w:rsidRPr="004E2021">
        <w:t>Charakteristika</w:t>
      </w:r>
      <w:r w:rsidR="00A14B9B" w:rsidRPr="004E2021">
        <w:t xml:space="preserve"> výdajů fyzických osob v operaci 6.4.1 dle velikosti podniku</w:t>
      </w:r>
      <w:bookmarkEnd w:id="530"/>
      <w:bookmarkEnd w:id="531"/>
      <w:bookmarkEnd w:id="532"/>
      <w:bookmarkEnd w:id="533"/>
    </w:p>
    <w:p w14:paraId="5DCDFA13" w14:textId="77777777" w:rsidR="00A14B9B" w:rsidRPr="002A0D4F" w:rsidRDefault="00A14B9B" w:rsidP="00A14B9B">
      <w:pPr>
        <w:rPr>
          <w:lang w:val="cs-CZ"/>
        </w:rPr>
      </w:pPr>
      <w:r w:rsidRPr="002A0D4F">
        <w:rPr>
          <w:noProof/>
          <w:lang w:val="cs-CZ" w:eastAsia="cs-CZ"/>
        </w:rPr>
        <w:drawing>
          <wp:inline distT="0" distB="0" distL="0" distR="0" wp14:anchorId="5255B37A" wp14:editId="3CD34196">
            <wp:extent cx="5760720" cy="1692879"/>
            <wp:effectExtent l="0" t="0" r="0" b="3175"/>
            <wp:docPr id="1737972137" name="Obrázek 1737972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5760720" cy="1692879"/>
                    </a:xfrm>
                    <a:prstGeom prst="rect">
                      <a:avLst/>
                    </a:prstGeom>
                    <a:noFill/>
                    <a:ln>
                      <a:noFill/>
                    </a:ln>
                  </pic:spPr>
                </pic:pic>
              </a:graphicData>
            </a:graphic>
          </wp:inline>
        </w:drawing>
      </w:r>
    </w:p>
    <w:p w14:paraId="41FFA03E" w14:textId="77777777" w:rsidR="00A14B9B" w:rsidRPr="002A0D4F" w:rsidRDefault="00A14B9B" w:rsidP="00911351">
      <w:pPr>
        <w:pStyle w:val="UZEIZdroj"/>
      </w:pPr>
      <w:r w:rsidRPr="002A0D4F">
        <w:t xml:space="preserve">Zdroj: </w:t>
      </w:r>
      <w:proofErr w:type="spellStart"/>
      <w:r w:rsidRPr="002A0D4F">
        <w:t>MZe</w:t>
      </w:r>
      <w:proofErr w:type="spellEnd"/>
      <w:r w:rsidRPr="002A0D4F">
        <w:t>, 2019 (6 kol žádostí pro opatření 6.4.1 a 6.4.2 v rámci PRV 2014-2020), vlastní zpracování</w:t>
      </w:r>
    </w:p>
    <w:p w14:paraId="065599C6" w14:textId="7325CED1" w:rsidR="00A14B9B" w:rsidRPr="002A0D4F" w:rsidRDefault="00911351" w:rsidP="00911351">
      <w:pPr>
        <w:pStyle w:val="UZEINormaln"/>
      </w:pPr>
      <w:r>
        <w:fldChar w:fldCharType="begin"/>
      </w:r>
      <w:r>
        <w:instrText xml:space="preserve"> REF _Ref81770943 \r \h </w:instrText>
      </w:r>
      <w:r>
        <w:fldChar w:fldCharType="separate"/>
      </w:r>
      <w:r>
        <w:t>Tabulka 20</w:t>
      </w:r>
      <w:r>
        <w:fldChar w:fldCharType="end"/>
      </w:r>
      <w:r>
        <w:t xml:space="preserve"> </w:t>
      </w:r>
      <w:r w:rsidR="00A14B9B" w:rsidRPr="002A0D4F">
        <w:t>obsahuje přehled průměrných hodnot výdajů na jeden projekt v členění podle různých typů podniku. Nejnákladnější projekty, jak z pohledu celkových výdajů na projekt, tak i výdajů pro spolufinancování jsou u malých podniků. Nejvyšší zájem o financování projektů projevily mikro podniky.</w:t>
      </w:r>
    </w:p>
    <w:p w14:paraId="177717ED" w14:textId="44B00040" w:rsidR="00A14B9B" w:rsidRPr="00911351" w:rsidRDefault="00911351" w:rsidP="00911351">
      <w:pPr>
        <w:pStyle w:val="UZEITaB"/>
      </w:pPr>
      <w:bookmarkStart w:id="534" w:name="_Toc25920013"/>
      <w:r w:rsidRPr="00911351">
        <w:t xml:space="preserve"> </w:t>
      </w:r>
      <w:bookmarkStart w:id="535" w:name="_Ref81770943"/>
      <w:bookmarkStart w:id="536" w:name="_Toc81815336"/>
      <w:bookmarkStart w:id="537" w:name="_Toc81817014"/>
      <w:bookmarkStart w:id="538" w:name="_Toc81817527"/>
      <w:r w:rsidR="00A14B9B" w:rsidRPr="00911351">
        <w:t>Charakteristika výdajů v operaci 6.4.1 dle velikosti podniku</w:t>
      </w:r>
      <w:bookmarkEnd w:id="534"/>
      <w:bookmarkEnd w:id="535"/>
      <w:bookmarkEnd w:id="536"/>
      <w:bookmarkEnd w:id="537"/>
      <w:bookmarkEnd w:id="538"/>
    </w:p>
    <w:p w14:paraId="4EDDB005" w14:textId="77777777" w:rsidR="00A14B9B" w:rsidRPr="002A0D4F" w:rsidRDefault="00A14B9B" w:rsidP="00A14B9B">
      <w:pPr>
        <w:rPr>
          <w:lang w:val="cs-CZ"/>
        </w:rPr>
      </w:pPr>
      <w:r w:rsidRPr="002A0D4F">
        <w:rPr>
          <w:noProof/>
          <w:lang w:val="cs-CZ" w:eastAsia="cs-CZ"/>
        </w:rPr>
        <w:drawing>
          <wp:inline distT="0" distB="0" distL="0" distR="0" wp14:anchorId="0F87F169" wp14:editId="6D44FB6B">
            <wp:extent cx="3752850" cy="1460500"/>
            <wp:effectExtent l="0" t="0" r="0" b="6350"/>
            <wp:docPr id="11" name="Obráze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3752850" cy="1460500"/>
                    </a:xfrm>
                    <a:prstGeom prst="rect">
                      <a:avLst/>
                    </a:prstGeom>
                  </pic:spPr>
                </pic:pic>
              </a:graphicData>
            </a:graphic>
          </wp:inline>
        </w:drawing>
      </w:r>
    </w:p>
    <w:p w14:paraId="29B69040" w14:textId="77777777" w:rsidR="00A14B9B" w:rsidRPr="002A0D4F" w:rsidRDefault="00A14B9B" w:rsidP="00911351">
      <w:pPr>
        <w:pStyle w:val="UZEIZdroj"/>
      </w:pPr>
      <w:r w:rsidRPr="002A0D4F">
        <w:t xml:space="preserve">Zdroj: </w:t>
      </w:r>
      <w:proofErr w:type="spellStart"/>
      <w:r w:rsidRPr="002A0D4F">
        <w:t>MZe</w:t>
      </w:r>
      <w:proofErr w:type="spellEnd"/>
      <w:r w:rsidRPr="002A0D4F">
        <w:t>, 2019 (6 kol žádostí pro opatření 6.4.1 a 6.4.2 v rámci PRV 2014-2020), vlastní zpracování</w:t>
      </w:r>
    </w:p>
    <w:p w14:paraId="5BC8B852" w14:textId="77777777" w:rsidR="00A14B9B" w:rsidRPr="002A0D4F" w:rsidRDefault="00A14B9B" w:rsidP="00911351">
      <w:pPr>
        <w:pStyle w:val="UZEINormaln"/>
      </w:pPr>
      <w:r w:rsidRPr="002A0D4F">
        <w:t xml:space="preserve">Způsobilé výdaje neboli uznatelné náklady jsou výdaje projektu, které mohou být podpořeny, jestliže jsou v souladu s příslušnými předpisy Evropské unie a České republiky. U projektů v operaci 6.4.1 bylo rozlišeno sedm kategorií způsobilých výdajů. Většina způsobilých výdajů spadala do prvních tří kategorie, z toho v 56 % na nákup strojů a technologií a 39 % na výdaje na stavební obnovu.  Z celkových způsobilých výdajů nepřipadá ani procento na kategorie nákup základního nábytku, nezbytné výpočetní techniky a nemovitosti. </w:t>
      </w:r>
    </w:p>
    <w:p w14:paraId="3E541029" w14:textId="77777777" w:rsidR="00A14B9B" w:rsidRPr="002A0D4F" w:rsidRDefault="00A14B9B" w:rsidP="00A14B9B">
      <w:pPr>
        <w:rPr>
          <w:rFonts w:asciiTheme="majorHAnsi" w:hAnsiTheme="majorHAnsi" w:cstheme="majorHAnsi"/>
          <w:b/>
          <w:bCs/>
          <w:iCs/>
          <w:sz w:val="22"/>
          <w:lang w:val="cs-CZ"/>
        </w:rPr>
      </w:pPr>
    </w:p>
    <w:p w14:paraId="05CAD66D" w14:textId="77777777" w:rsidR="000E0E49" w:rsidRDefault="000E0E49">
      <w:pPr>
        <w:spacing w:after="160" w:line="259" w:lineRule="auto"/>
        <w:jc w:val="left"/>
        <w:rPr>
          <w:rFonts w:eastAsia="Times New Roman" w:cs="Arial"/>
          <w:b/>
          <w:noProof/>
          <w:sz w:val="20"/>
          <w:szCs w:val="20"/>
          <w:lang w:val="cs-CZ" w:eastAsia="cs-CZ"/>
        </w:rPr>
      </w:pPr>
      <w:bookmarkStart w:id="539" w:name="_Toc25919883"/>
      <w:r>
        <w:br w:type="page"/>
      </w:r>
    </w:p>
    <w:p w14:paraId="39FCBDBA" w14:textId="0F1077A6" w:rsidR="00A14B9B" w:rsidRPr="000E0E49" w:rsidRDefault="00A14B9B" w:rsidP="000E0E49">
      <w:pPr>
        <w:pStyle w:val="UZEIObr"/>
      </w:pPr>
      <w:bookmarkStart w:id="540" w:name="_Toc81815422"/>
      <w:bookmarkStart w:id="541" w:name="_Toc81817627"/>
      <w:r w:rsidRPr="000E0E49">
        <w:lastRenderedPageBreak/>
        <w:t>Struktura způsobilých výdajů</w:t>
      </w:r>
      <w:bookmarkEnd w:id="539"/>
      <w:bookmarkEnd w:id="540"/>
      <w:bookmarkEnd w:id="541"/>
    </w:p>
    <w:p w14:paraId="30075154" w14:textId="77777777" w:rsidR="00A14B9B" w:rsidRPr="002A0D4F" w:rsidRDefault="00A14B9B" w:rsidP="00A14B9B">
      <w:pPr>
        <w:rPr>
          <w:lang w:val="cs-CZ"/>
        </w:rPr>
      </w:pPr>
      <w:r w:rsidRPr="002A0D4F">
        <w:rPr>
          <w:noProof/>
          <w:lang w:val="cs-CZ" w:eastAsia="cs-CZ"/>
        </w:rPr>
        <w:drawing>
          <wp:inline distT="0" distB="0" distL="0" distR="0" wp14:anchorId="0A6E3382" wp14:editId="40BAAA9D">
            <wp:extent cx="3200400" cy="2187314"/>
            <wp:effectExtent l="0" t="0" r="0" b="0"/>
            <wp:docPr id="130069115" name="Obrázek 1737972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737972154"/>
                    <pic:cNvPicPr/>
                  </pic:nvPicPr>
                  <pic:blipFill>
                    <a:blip r:embed="rId88" cstate="print">
                      <a:extLst>
                        <a:ext uri="{28A0092B-C50C-407E-A947-70E740481C1C}">
                          <a14:useLocalDpi xmlns:a14="http://schemas.microsoft.com/office/drawing/2010/main" val="0"/>
                        </a:ext>
                      </a:extLst>
                    </a:blip>
                    <a:stretch>
                      <a:fillRect/>
                    </a:stretch>
                  </pic:blipFill>
                  <pic:spPr>
                    <a:xfrm>
                      <a:off x="0" y="0"/>
                      <a:ext cx="3200400" cy="2187314"/>
                    </a:xfrm>
                    <a:prstGeom prst="rect">
                      <a:avLst/>
                    </a:prstGeom>
                  </pic:spPr>
                </pic:pic>
              </a:graphicData>
            </a:graphic>
          </wp:inline>
        </w:drawing>
      </w:r>
    </w:p>
    <w:p w14:paraId="23C7C54E" w14:textId="77777777" w:rsidR="00A14B9B" w:rsidRPr="002A0D4F" w:rsidRDefault="00A14B9B" w:rsidP="000E0E49">
      <w:pPr>
        <w:pStyle w:val="UZEIZdroj"/>
      </w:pPr>
      <w:r w:rsidRPr="002A0D4F">
        <w:t xml:space="preserve">Zdroj: </w:t>
      </w:r>
      <w:proofErr w:type="spellStart"/>
      <w:r w:rsidRPr="002A0D4F">
        <w:t>MZe</w:t>
      </w:r>
      <w:proofErr w:type="spellEnd"/>
      <w:r w:rsidRPr="002A0D4F">
        <w:t>, 2019 (6 kol žádostí pro opatření 6.4.1 a 6.4.2 v rámci PRV 2014-2020), vlastní zpracování</w:t>
      </w:r>
    </w:p>
    <w:p w14:paraId="23C7C16C" w14:textId="29F1B9B2" w:rsidR="00A14B9B" w:rsidRPr="000E0E49" w:rsidRDefault="000E0E49" w:rsidP="000E0E49">
      <w:pPr>
        <w:pStyle w:val="UZEITaB"/>
      </w:pPr>
      <w:bookmarkStart w:id="542" w:name="_Toc25920014"/>
      <w:r>
        <w:t xml:space="preserve"> </w:t>
      </w:r>
      <w:bookmarkStart w:id="543" w:name="_Toc81815337"/>
      <w:bookmarkStart w:id="544" w:name="_Toc81817015"/>
      <w:bookmarkStart w:id="545" w:name="_Toc81817528"/>
      <w:r w:rsidR="00A14B9B" w:rsidRPr="000E0E49">
        <w:t>Popisy kódů způsobilých výdajů</w:t>
      </w:r>
      <w:bookmarkEnd w:id="542"/>
      <w:bookmarkEnd w:id="543"/>
      <w:bookmarkEnd w:id="544"/>
      <w:bookmarkEnd w:id="545"/>
    </w:p>
    <w:p w14:paraId="4154154A" w14:textId="77777777" w:rsidR="00A14B9B" w:rsidRPr="002A0D4F" w:rsidRDefault="00A14B9B" w:rsidP="00A14B9B">
      <w:pPr>
        <w:rPr>
          <w:lang w:val="cs-CZ"/>
        </w:rPr>
      </w:pPr>
      <w:r w:rsidRPr="002A0D4F">
        <w:rPr>
          <w:noProof/>
          <w:lang w:val="cs-CZ" w:eastAsia="cs-CZ"/>
        </w:rPr>
        <w:drawing>
          <wp:inline distT="0" distB="0" distL="0" distR="0" wp14:anchorId="54301F34" wp14:editId="5529E362">
            <wp:extent cx="3200257" cy="1751965"/>
            <wp:effectExtent l="0" t="0" r="635" b="635"/>
            <wp:docPr id="1886373498" name="Obrázek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32"/>
                    <pic:cNvPicPr/>
                  </pic:nvPicPr>
                  <pic:blipFill>
                    <a:blip r:embed="rId89">
                      <a:extLst>
                        <a:ext uri="{28A0092B-C50C-407E-A947-70E740481C1C}">
                          <a14:useLocalDpi xmlns:a14="http://schemas.microsoft.com/office/drawing/2010/main" val="0"/>
                        </a:ext>
                      </a:extLst>
                    </a:blip>
                    <a:stretch>
                      <a:fillRect/>
                    </a:stretch>
                  </pic:blipFill>
                  <pic:spPr>
                    <a:xfrm>
                      <a:off x="0" y="0"/>
                      <a:ext cx="3200257" cy="1751965"/>
                    </a:xfrm>
                    <a:prstGeom prst="rect">
                      <a:avLst/>
                    </a:prstGeom>
                  </pic:spPr>
                </pic:pic>
              </a:graphicData>
            </a:graphic>
          </wp:inline>
        </w:drawing>
      </w:r>
    </w:p>
    <w:p w14:paraId="51C1958B" w14:textId="77777777" w:rsidR="00A14B9B" w:rsidRPr="002A0D4F" w:rsidRDefault="00A14B9B" w:rsidP="000E0E49">
      <w:pPr>
        <w:pStyle w:val="UZEIZdroj"/>
      </w:pPr>
      <w:r w:rsidRPr="002A0D4F">
        <w:t xml:space="preserve">Zdroj: </w:t>
      </w:r>
      <w:proofErr w:type="spellStart"/>
      <w:r w:rsidRPr="002A0D4F">
        <w:t>MZe</w:t>
      </w:r>
      <w:proofErr w:type="spellEnd"/>
      <w:r w:rsidRPr="002A0D4F">
        <w:t>, 2019</w:t>
      </w:r>
    </w:p>
    <w:p w14:paraId="3D73A48D" w14:textId="77777777" w:rsidR="00A14B9B" w:rsidRPr="00466E0C" w:rsidRDefault="00A14B9B" w:rsidP="000E0E49">
      <w:pPr>
        <w:pStyle w:val="UZEINormaln"/>
        <w:rPr>
          <w:b/>
          <w:bCs/>
        </w:rPr>
      </w:pPr>
      <w:r w:rsidRPr="00466E0C">
        <w:rPr>
          <w:b/>
          <w:bCs/>
        </w:rPr>
        <w:t>Klasifikace ekonomických činností u operace 6.4.1</w:t>
      </w:r>
    </w:p>
    <w:p w14:paraId="187C968F" w14:textId="4B379A41" w:rsidR="00A14B9B" w:rsidRPr="002A0D4F" w:rsidRDefault="00A14B9B" w:rsidP="000E0E49">
      <w:pPr>
        <w:pStyle w:val="UZEINormaln"/>
      </w:pPr>
      <w:r w:rsidRPr="002A0D4F">
        <w:t>Nejvíce žádostí spadalo do kategorie F43 – specializované stavební činnosti (41 %), která byla následovaná kategorií C16 – zpracování dřeva (20 %) a kategorií G45 – velkoobchod, maloobchod a opravy motorových vozidel (10 %). Do jedné ze tří výše uvedených kategorií spadalo 71 % ze všech žádostí. Několik kategorií je zastoupeno tak marginálně, že nepředstavují ani jedno procento. Podrobněji je procentuální zastoupení jednotlivých kategorií uvedeno v </w:t>
      </w:r>
      <w:r w:rsidR="00B4629C">
        <w:fldChar w:fldCharType="begin"/>
      </w:r>
      <w:r w:rsidR="00B4629C">
        <w:instrText xml:space="preserve"> REF _Ref81771085 \r \h </w:instrText>
      </w:r>
      <w:r w:rsidR="00B4629C">
        <w:fldChar w:fldCharType="separate"/>
      </w:r>
      <w:r w:rsidR="00B4629C">
        <w:t>Tabulka 22</w:t>
      </w:r>
      <w:r w:rsidR="00B4629C">
        <w:fldChar w:fldCharType="end"/>
      </w:r>
      <w:r w:rsidR="00B4629C">
        <w:t xml:space="preserve"> </w:t>
      </w:r>
      <w:r w:rsidRPr="002A0D4F">
        <w:t xml:space="preserve">(níže). </w:t>
      </w:r>
    </w:p>
    <w:p w14:paraId="7EA89D8C" w14:textId="77777777" w:rsidR="00A14B9B" w:rsidRPr="002A0D4F" w:rsidRDefault="00A14B9B" w:rsidP="000E0E49">
      <w:pPr>
        <w:pStyle w:val="UZEINormaln"/>
      </w:pPr>
    </w:p>
    <w:p w14:paraId="649FBE75" w14:textId="77777777" w:rsidR="00B4629C" w:rsidRDefault="00B4629C">
      <w:pPr>
        <w:spacing w:after="160" w:line="259" w:lineRule="auto"/>
        <w:jc w:val="left"/>
        <w:rPr>
          <w:rFonts w:eastAsia="Times New Roman" w:cs="Arial"/>
          <w:b/>
          <w:noProof/>
          <w:sz w:val="20"/>
          <w:szCs w:val="20"/>
          <w:lang w:val="cs-CZ" w:eastAsia="cs-CZ"/>
        </w:rPr>
      </w:pPr>
      <w:bookmarkStart w:id="546" w:name="_Toc25919884"/>
      <w:r>
        <w:br w:type="page"/>
      </w:r>
    </w:p>
    <w:p w14:paraId="25B10D81" w14:textId="0E761F69" w:rsidR="00A14B9B" w:rsidRPr="00B4629C" w:rsidRDefault="00A14B9B" w:rsidP="00B4629C">
      <w:pPr>
        <w:pStyle w:val="UZEIObr"/>
      </w:pPr>
      <w:bookmarkStart w:id="547" w:name="_Toc81815423"/>
      <w:bookmarkStart w:id="548" w:name="_Toc81817628"/>
      <w:r w:rsidRPr="00B4629C">
        <w:lastRenderedPageBreak/>
        <w:t>Uvedené ekonomické činnosti u žádostí v operaci 6.4.1</w:t>
      </w:r>
      <w:bookmarkEnd w:id="546"/>
      <w:bookmarkEnd w:id="547"/>
      <w:bookmarkEnd w:id="548"/>
    </w:p>
    <w:p w14:paraId="145FDB44" w14:textId="77777777" w:rsidR="00A14B9B" w:rsidRPr="002A0D4F" w:rsidRDefault="00A14B9B" w:rsidP="00A14B9B">
      <w:pPr>
        <w:rPr>
          <w:lang w:val="cs-CZ"/>
        </w:rPr>
      </w:pPr>
      <w:r w:rsidRPr="002A0D4F">
        <w:rPr>
          <w:noProof/>
          <w:lang w:val="cs-CZ" w:eastAsia="cs-CZ"/>
        </w:rPr>
        <w:drawing>
          <wp:inline distT="0" distB="0" distL="0" distR="0" wp14:anchorId="43050A1B" wp14:editId="3361900A">
            <wp:extent cx="4603117" cy="6096634"/>
            <wp:effectExtent l="0" t="0" r="6985" b="0"/>
            <wp:docPr id="945776859" name="Obrázek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34"/>
                    <pic:cNvPicPr/>
                  </pic:nvPicPr>
                  <pic:blipFill>
                    <a:blip r:embed="rId90">
                      <a:extLst>
                        <a:ext uri="{28A0092B-C50C-407E-A947-70E740481C1C}">
                          <a14:useLocalDpi xmlns:a14="http://schemas.microsoft.com/office/drawing/2010/main" val="0"/>
                        </a:ext>
                      </a:extLst>
                    </a:blip>
                    <a:stretch>
                      <a:fillRect/>
                    </a:stretch>
                  </pic:blipFill>
                  <pic:spPr>
                    <a:xfrm>
                      <a:off x="0" y="0"/>
                      <a:ext cx="4603117" cy="6096634"/>
                    </a:xfrm>
                    <a:prstGeom prst="rect">
                      <a:avLst/>
                    </a:prstGeom>
                  </pic:spPr>
                </pic:pic>
              </a:graphicData>
            </a:graphic>
          </wp:inline>
        </w:drawing>
      </w:r>
    </w:p>
    <w:p w14:paraId="3C6B8B88" w14:textId="77777777" w:rsidR="00A14B9B" w:rsidRPr="002A0D4F" w:rsidRDefault="00A14B9B" w:rsidP="00B4629C">
      <w:pPr>
        <w:pStyle w:val="UZEIZdroj"/>
      </w:pPr>
      <w:r w:rsidRPr="002A0D4F">
        <w:t xml:space="preserve">Zdroj: </w:t>
      </w:r>
      <w:proofErr w:type="spellStart"/>
      <w:r w:rsidRPr="002A0D4F">
        <w:t>MZe</w:t>
      </w:r>
      <w:proofErr w:type="spellEnd"/>
      <w:r w:rsidRPr="002A0D4F">
        <w:t>, 2019 (6 kol žádostí pro opatření 6.4.1 a 6.4.2 v rámci PRV 2014-2020), vlastní zpracování</w:t>
      </w:r>
    </w:p>
    <w:p w14:paraId="04D4B35B" w14:textId="77777777" w:rsidR="00A14B9B" w:rsidRPr="002A0D4F" w:rsidRDefault="00A14B9B" w:rsidP="00A14B9B">
      <w:pPr>
        <w:rPr>
          <w:lang w:val="cs-CZ"/>
        </w:rPr>
      </w:pPr>
    </w:p>
    <w:p w14:paraId="37F6422E" w14:textId="77777777" w:rsidR="00B4629C" w:rsidRDefault="00B4629C">
      <w:pPr>
        <w:spacing w:after="160" w:line="259" w:lineRule="auto"/>
        <w:jc w:val="left"/>
        <w:rPr>
          <w:rFonts w:eastAsia="Times New Roman" w:cs="Arial"/>
          <w:b/>
          <w:color w:val="000000" w:themeColor="text1"/>
          <w:sz w:val="20"/>
          <w:szCs w:val="20"/>
          <w:lang w:val="cs-CZ" w:eastAsia="cs-CZ"/>
        </w:rPr>
      </w:pPr>
      <w:bookmarkStart w:id="549" w:name="_Toc25920015"/>
      <w:r>
        <w:br w:type="page"/>
      </w:r>
    </w:p>
    <w:p w14:paraId="6EF16074" w14:textId="4290616C" w:rsidR="00A14B9B" w:rsidRPr="00B4629C" w:rsidRDefault="00B4629C" w:rsidP="00B4629C">
      <w:pPr>
        <w:pStyle w:val="UZEITaB"/>
      </w:pPr>
      <w:r w:rsidRPr="00B4629C">
        <w:lastRenderedPageBreak/>
        <w:t xml:space="preserve"> </w:t>
      </w:r>
      <w:bookmarkStart w:id="550" w:name="_Ref81771085"/>
      <w:bookmarkStart w:id="551" w:name="_Toc81815338"/>
      <w:bookmarkStart w:id="552" w:name="_Toc81817016"/>
      <w:bookmarkStart w:id="553" w:name="_Toc81817529"/>
      <w:r w:rsidR="00A14B9B" w:rsidRPr="00B4629C">
        <w:t>Klasifikace ekonomických činností u žádostí operace 6.4.1</w:t>
      </w:r>
      <w:bookmarkEnd w:id="549"/>
      <w:bookmarkEnd w:id="550"/>
      <w:bookmarkEnd w:id="551"/>
      <w:bookmarkEnd w:id="552"/>
      <w:bookmarkEnd w:id="553"/>
      <w:r w:rsidR="00A14B9B" w:rsidRPr="00B4629C">
        <w:t xml:space="preserve">  </w:t>
      </w:r>
    </w:p>
    <w:p w14:paraId="3D0E3D66" w14:textId="77777777" w:rsidR="00A14B9B" w:rsidRPr="002A0D4F" w:rsidRDefault="00A14B9B" w:rsidP="00A14B9B">
      <w:pPr>
        <w:rPr>
          <w:lang w:val="cs-CZ"/>
        </w:rPr>
      </w:pPr>
      <w:r w:rsidRPr="002A0D4F">
        <w:rPr>
          <w:noProof/>
          <w:lang w:val="cs-CZ" w:eastAsia="cs-CZ"/>
        </w:rPr>
        <w:drawing>
          <wp:inline distT="0" distB="0" distL="0" distR="0" wp14:anchorId="40DFAE7E" wp14:editId="6035EFF6">
            <wp:extent cx="5760720" cy="3190461"/>
            <wp:effectExtent l="0" t="0" r="0" b="0"/>
            <wp:docPr id="35" name="Obrázek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5760720" cy="3190461"/>
                    </a:xfrm>
                    <a:prstGeom prst="rect">
                      <a:avLst/>
                    </a:prstGeom>
                    <a:noFill/>
                    <a:ln>
                      <a:noFill/>
                    </a:ln>
                  </pic:spPr>
                </pic:pic>
              </a:graphicData>
            </a:graphic>
          </wp:inline>
        </w:drawing>
      </w:r>
    </w:p>
    <w:p w14:paraId="66564440" w14:textId="77777777" w:rsidR="00A14B9B" w:rsidRPr="00B4629C" w:rsidRDefault="00A14B9B" w:rsidP="00B4629C">
      <w:pPr>
        <w:pStyle w:val="UZEIZdroj"/>
      </w:pPr>
      <w:bookmarkStart w:id="554" w:name="_Toc12891436"/>
      <w:r w:rsidRPr="00B4629C">
        <w:t xml:space="preserve">Zdroj: </w:t>
      </w:r>
      <w:proofErr w:type="spellStart"/>
      <w:r w:rsidRPr="00B4629C">
        <w:t>MZe</w:t>
      </w:r>
      <w:proofErr w:type="spellEnd"/>
      <w:r w:rsidRPr="00B4629C">
        <w:t>, 2019 (6 kol žádostí pro opatření 6.4.1 a 6.4.2 v rámci PRV 2014-2020), vlastní zpracování</w:t>
      </w:r>
    </w:p>
    <w:p w14:paraId="0E6B03D5" w14:textId="77777777" w:rsidR="00A14B9B" w:rsidRPr="00B4629C" w:rsidRDefault="00A14B9B" w:rsidP="00B4629C">
      <w:pPr>
        <w:pStyle w:val="UZEINormaln"/>
        <w:rPr>
          <w:b/>
          <w:bCs/>
        </w:rPr>
      </w:pPr>
      <w:r w:rsidRPr="00B4629C">
        <w:rPr>
          <w:b/>
          <w:bCs/>
        </w:rPr>
        <w:t>3. Výsledky k operaci 6.4.2 Podpora agroturistiky</w:t>
      </w:r>
      <w:bookmarkEnd w:id="554"/>
    </w:p>
    <w:p w14:paraId="3A7EAA64" w14:textId="77777777" w:rsidR="00A14B9B" w:rsidRPr="002A0D4F" w:rsidRDefault="00A14B9B" w:rsidP="00B4629C">
      <w:pPr>
        <w:pStyle w:val="UZEINormaln"/>
      </w:pPr>
      <w:r w:rsidRPr="002A0D4F">
        <w:t xml:space="preserve">V této operaci jsou podporovány investice v oblasti agroturistiky, které mají podpořit diverzifikaci příjmů zemědělských subjektů. Z podkladového souboru bylo identifikováno 188 schválených žádostí, které spadají do této oblasti a byly přijaty do května roku 2018. </w:t>
      </w:r>
    </w:p>
    <w:p w14:paraId="285B9805" w14:textId="4FA7316C" w:rsidR="00A14B9B" w:rsidRPr="002A0D4F" w:rsidRDefault="00A14B9B" w:rsidP="00B4629C">
      <w:pPr>
        <w:pStyle w:val="UZEINormaln"/>
      </w:pPr>
      <w:r w:rsidRPr="002A0D4F">
        <w:t xml:space="preserve">Podrobnější rozprostření žádostí operace 6.4.2 podpora agroturistiky na území republiky je zobrazeno na mapce níže. Stejně jako u operace 6.4.1 jsou na </w:t>
      </w:r>
      <w:r w:rsidR="002D0406">
        <w:fldChar w:fldCharType="begin"/>
      </w:r>
      <w:r w:rsidR="002D0406">
        <w:instrText xml:space="preserve"> REF _Ref81771213 \r \h </w:instrText>
      </w:r>
      <w:r w:rsidR="002D0406">
        <w:fldChar w:fldCharType="separate"/>
      </w:r>
      <w:r w:rsidR="002D0406">
        <w:t>Obrázek 43</w:t>
      </w:r>
      <w:r w:rsidR="002D0406">
        <w:fldChar w:fldCharType="end"/>
      </w:r>
      <w:r w:rsidR="002D0406">
        <w:t xml:space="preserve"> </w:t>
      </w:r>
      <w:r w:rsidRPr="002A0D4F">
        <w:t xml:space="preserve">zobrazeny žádosti podle sídla (PO) nebo podle trvalého bydliště (FO) v jednotlivých okresech. Je patrné, že žádosti nejsou rozloženy rovnoměrně. V řadě okresů nebyla podaná ani jedna žádost. Více žádostí lze vysledovat v jižní části republiky, z krajů je to zejména Jihočeský, Středočeský a Vysočina, nejvíce pak v okresech Jihlava a Příbram. </w:t>
      </w:r>
    </w:p>
    <w:p w14:paraId="5CE3BB8D" w14:textId="77777777" w:rsidR="00A14B9B" w:rsidRPr="002A0D4F" w:rsidRDefault="00A14B9B" w:rsidP="00A14B9B">
      <w:pPr>
        <w:rPr>
          <w:lang w:val="cs-CZ"/>
        </w:rPr>
      </w:pPr>
    </w:p>
    <w:p w14:paraId="200E0BDA" w14:textId="77777777" w:rsidR="002D0406" w:rsidRDefault="002D0406">
      <w:pPr>
        <w:spacing w:after="160" w:line="259" w:lineRule="auto"/>
        <w:jc w:val="left"/>
        <w:rPr>
          <w:rFonts w:eastAsia="Times New Roman" w:cs="Arial"/>
          <w:b/>
          <w:noProof/>
          <w:sz w:val="20"/>
          <w:szCs w:val="20"/>
          <w:lang w:val="cs-CZ" w:eastAsia="cs-CZ"/>
        </w:rPr>
      </w:pPr>
      <w:bookmarkStart w:id="555" w:name="_Toc25919885"/>
      <w:r>
        <w:br w:type="page"/>
      </w:r>
    </w:p>
    <w:p w14:paraId="279EF1DB" w14:textId="0BFA6554" w:rsidR="00A14B9B" w:rsidRPr="002D0406" w:rsidRDefault="00A14B9B" w:rsidP="002D0406">
      <w:pPr>
        <w:pStyle w:val="UZEIObr"/>
      </w:pPr>
      <w:bookmarkStart w:id="556" w:name="_Ref81771213"/>
      <w:bookmarkStart w:id="557" w:name="_Toc81815424"/>
      <w:bookmarkStart w:id="558" w:name="_Toc81817629"/>
      <w:r w:rsidRPr="002D0406">
        <w:lastRenderedPageBreak/>
        <w:t>Přehled počtu žádosti v okresech</w:t>
      </w:r>
      <w:bookmarkEnd w:id="555"/>
      <w:bookmarkEnd w:id="556"/>
      <w:bookmarkEnd w:id="557"/>
      <w:bookmarkEnd w:id="558"/>
    </w:p>
    <w:p w14:paraId="17B12C0A" w14:textId="77777777" w:rsidR="00A14B9B" w:rsidRPr="002A0D4F" w:rsidRDefault="00A14B9B" w:rsidP="00A14B9B">
      <w:pPr>
        <w:rPr>
          <w:lang w:val="cs-CZ"/>
        </w:rPr>
      </w:pPr>
      <w:r w:rsidRPr="002A0D4F">
        <w:rPr>
          <w:noProof/>
          <w:lang w:val="cs-CZ" w:eastAsia="cs-CZ"/>
        </w:rPr>
        <w:drawing>
          <wp:inline distT="0" distB="0" distL="0" distR="0" wp14:anchorId="1043A88E" wp14:editId="0EA6108D">
            <wp:extent cx="5760720" cy="4076700"/>
            <wp:effectExtent l="0" t="0" r="0" b="0"/>
            <wp:docPr id="2124590826" name="Obrázek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60"/>
                    <pic:cNvPicPr/>
                  </pic:nvPicPr>
                  <pic:blipFill>
                    <a:blip r:embed="rId92">
                      <a:extLst>
                        <a:ext uri="{28A0092B-C50C-407E-A947-70E740481C1C}">
                          <a14:useLocalDpi xmlns:a14="http://schemas.microsoft.com/office/drawing/2010/main" val="0"/>
                        </a:ext>
                      </a:extLst>
                    </a:blip>
                    <a:stretch>
                      <a:fillRect/>
                    </a:stretch>
                  </pic:blipFill>
                  <pic:spPr>
                    <a:xfrm>
                      <a:off x="0" y="0"/>
                      <a:ext cx="5760720" cy="4076700"/>
                    </a:xfrm>
                    <a:prstGeom prst="rect">
                      <a:avLst/>
                    </a:prstGeom>
                  </pic:spPr>
                </pic:pic>
              </a:graphicData>
            </a:graphic>
          </wp:inline>
        </w:drawing>
      </w:r>
    </w:p>
    <w:p w14:paraId="02F32812" w14:textId="77777777" w:rsidR="00A14B9B" w:rsidRPr="002A0D4F" w:rsidRDefault="00A14B9B" w:rsidP="002D0406">
      <w:pPr>
        <w:pStyle w:val="UZEIZdroj"/>
      </w:pPr>
      <w:r w:rsidRPr="002A0D4F">
        <w:t xml:space="preserve">Zdroj: </w:t>
      </w:r>
      <w:proofErr w:type="spellStart"/>
      <w:r w:rsidRPr="002A0D4F">
        <w:t>MZe</w:t>
      </w:r>
      <w:proofErr w:type="spellEnd"/>
      <w:r w:rsidRPr="002A0D4F">
        <w:t>, 2019 (6 kol žádostí pro opatření 6.4.1 a 6.4.2 v rámci PRV 2014-2020), vlastní zpracování</w:t>
      </w:r>
    </w:p>
    <w:p w14:paraId="4554E300" w14:textId="71968AC9" w:rsidR="00A14B9B" w:rsidRPr="002A0D4F" w:rsidRDefault="00A14B9B" w:rsidP="002D0406">
      <w:pPr>
        <w:pStyle w:val="UZEINormaln"/>
      </w:pPr>
      <w:r w:rsidRPr="002A0D4F">
        <w:t xml:space="preserve">Na </w:t>
      </w:r>
      <w:r w:rsidR="002D0406">
        <w:fldChar w:fldCharType="begin"/>
      </w:r>
      <w:r w:rsidR="002D0406">
        <w:instrText xml:space="preserve"> REF _Ref81771281 \r \h </w:instrText>
      </w:r>
      <w:r w:rsidR="002D0406">
        <w:fldChar w:fldCharType="separate"/>
      </w:r>
      <w:r w:rsidR="002D0406">
        <w:t>Obrázek 44</w:t>
      </w:r>
      <w:r w:rsidR="002D0406">
        <w:fldChar w:fldCharType="end"/>
      </w:r>
      <w:r w:rsidRPr="002A0D4F">
        <w:t xml:space="preserve"> jsou pak uvedeny místa realizace jednotlivých projektů v rámci operace 6.4.2, přičemž je zřetelné, že nejvíce projektů bylo realizované v okrese Jihlava. </w:t>
      </w:r>
    </w:p>
    <w:p w14:paraId="3FFBB046" w14:textId="77777777" w:rsidR="002D0406" w:rsidRDefault="002D0406">
      <w:pPr>
        <w:spacing w:after="160" w:line="259" w:lineRule="auto"/>
        <w:jc w:val="left"/>
        <w:rPr>
          <w:rFonts w:eastAsia="Times New Roman" w:cs="Arial"/>
          <w:b/>
          <w:noProof/>
          <w:sz w:val="20"/>
          <w:szCs w:val="20"/>
          <w:lang w:val="cs-CZ" w:eastAsia="cs-CZ"/>
        </w:rPr>
      </w:pPr>
      <w:bookmarkStart w:id="559" w:name="_Toc25919886"/>
      <w:r>
        <w:br w:type="page"/>
      </w:r>
    </w:p>
    <w:p w14:paraId="64955423" w14:textId="278BF9D2" w:rsidR="00A14B9B" w:rsidRPr="002D0406" w:rsidRDefault="00A14B9B" w:rsidP="002D0406">
      <w:pPr>
        <w:pStyle w:val="UZEIObr"/>
      </w:pPr>
      <w:bookmarkStart w:id="560" w:name="_Ref81771281"/>
      <w:bookmarkStart w:id="561" w:name="_Toc81815425"/>
      <w:bookmarkStart w:id="562" w:name="_Toc81817630"/>
      <w:r w:rsidRPr="002D0406">
        <w:lastRenderedPageBreak/>
        <w:t>Lokalizace žádostí podle míst realizace</w:t>
      </w:r>
      <w:bookmarkEnd w:id="559"/>
      <w:bookmarkEnd w:id="560"/>
      <w:bookmarkEnd w:id="561"/>
      <w:bookmarkEnd w:id="562"/>
    </w:p>
    <w:p w14:paraId="4FC9AB17" w14:textId="77777777" w:rsidR="00A14B9B" w:rsidRPr="002A0D4F" w:rsidRDefault="00A14B9B" w:rsidP="00A14B9B">
      <w:pPr>
        <w:rPr>
          <w:lang w:val="cs-CZ"/>
        </w:rPr>
      </w:pPr>
      <w:r w:rsidRPr="002A0D4F">
        <w:rPr>
          <w:noProof/>
          <w:lang w:val="cs-CZ" w:eastAsia="cs-CZ"/>
        </w:rPr>
        <w:drawing>
          <wp:inline distT="0" distB="0" distL="0" distR="0" wp14:anchorId="13D5B735" wp14:editId="08E238C2">
            <wp:extent cx="5760720" cy="4076700"/>
            <wp:effectExtent l="0" t="0" r="0" b="0"/>
            <wp:docPr id="1570873902" name="Obrázek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36"/>
                    <pic:cNvPicPr/>
                  </pic:nvPicPr>
                  <pic:blipFill>
                    <a:blip r:embed="rId93">
                      <a:extLst>
                        <a:ext uri="{28A0092B-C50C-407E-A947-70E740481C1C}">
                          <a14:useLocalDpi xmlns:a14="http://schemas.microsoft.com/office/drawing/2010/main" val="0"/>
                        </a:ext>
                      </a:extLst>
                    </a:blip>
                    <a:stretch>
                      <a:fillRect/>
                    </a:stretch>
                  </pic:blipFill>
                  <pic:spPr>
                    <a:xfrm>
                      <a:off x="0" y="0"/>
                      <a:ext cx="5760720" cy="4076700"/>
                    </a:xfrm>
                    <a:prstGeom prst="rect">
                      <a:avLst/>
                    </a:prstGeom>
                  </pic:spPr>
                </pic:pic>
              </a:graphicData>
            </a:graphic>
          </wp:inline>
        </w:drawing>
      </w:r>
    </w:p>
    <w:p w14:paraId="06B56C2C" w14:textId="77777777" w:rsidR="00A14B9B" w:rsidRPr="002A0D4F" w:rsidRDefault="00A14B9B" w:rsidP="00A14B9B">
      <w:pPr>
        <w:rPr>
          <w:lang w:val="cs-CZ"/>
        </w:rPr>
      </w:pPr>
    </w:p>
    <w:p w14:paraId="79038D27" w14:textId="7AEE4700" w:rsidR="00A14B9B" w:rsidRPr="002A0D4F" w:rsidRDefault="00A14B9B" w:rsidP="00D05FB9">
      <w:pPr>
        <w:pStyle w:val="UZEINormaln"/>
      </w:pPr>
      <w:r w:rsidRPr="002A0D4F">
        <w:t xml:space="preserve">Stejně jako u přechozí operace byly z dostupných dat zjišťovány charakteristiky subjektů žádajících o podporu. V rámci operace 6.4.2 převládají mezi žádajícími fyzické osoby nad právnickými viz </w:t>
      </w:r>
      <w:r w:rsidR="00D05FB9">
        <w:fldChar w:fldCharType="begin"/>
      </w:r>
      <w:r w:rsidR="00D05FB9">
        <w:instrText xml:space="preserve"> REF _Ref81771354 \r \h </w:instrText>
      </w:r>
      <w:r w:rsidR="00D05FB9">
        <w:fldChar w:fldCharType="separate"/>
      </w:r>
      <w:r w:rsidR="00D05FB9">
        <w:t>Obrázek 45</w:t>
      </w:r>
      <w:r w:rsidR="00D05FB9">
        <w:fldChar w:fldCharType="end"/>
      </w:r>
      <w:r w:rsidRPr="002A0D4F">
        <w:t xml:space="preserve">. Z hlediska velikostní struktury převažují mikro podniky viz </w:t>
      </w:r>
      <w:r w:rsidR="00174845">
        <w:fldChar w:fldCharType="begin"/>
      </w:r>
      <w:r w:rsidR="00174845">
        <w:instrText xml:space="preserve"> REF _Ref81771433 \r \h </w:instrText>
      </w:r>
      <w:r w:rsidR="00174845">
        <w:fldChar w:fldCharType="separate"/>
      </w:r>
      <w:r w:rsidR="00174845">
        <w:t>Obrázek 46</w:t>
      </w:r>
      <w:r w:rsidR="00174845">
        <w:fldChar w:fldCharType="end"/>
      </w:r>
      <w:r w:rsidRPr="002A0D4F">
        <w:t xml:space="preserve">. Tři čtvrtiny tvořily žádosti právě těchto podniků. </w:t>
      </w:r>
    </w:p>
    <w:p w14:paraId="108D765E" w14:textId="2DA5D25D" w:rsidR="00A14B9B" w:rsidRPr="00D05FB9" w:rsidRDefault="00A14B9B" w:rsidP="00D05FB9">
      <w:pPr>
        <w:pStyle w:val="UZEIObr"/>
      </w:pPr>
      <w:bookmarkStart w:id="563" w:name="_Toc25919887"/>
      <w:bookmarkStart w:id="564" w:name="_Ref81771354"/>
      <w:bookmarkStart w:id="565" w:name="_Toc81815426"/>
      <w:bookmarkStart w:id="566" w:name="_Toc81817631"/>
      <w:r w:rsidRPr="00D05FB9">
        <w:t>Struktura žadatelů dle právní formy</w:t>
      </w:r>
      <w:bookmarkEnd w:id="563"/>
      <w:bookmarkEnd w:id="564"/>
      <w:bookmarkEnd w:id="565"/>
      <w:bookmarkEnd w:id="566"/>
    </w:p>
    <w:p w14:paraId="1E02A00F" w14:textId="77777777" w:rsidR="00A14B9B" w:rsidRPr="002A0D4F" w:rsidRDefault="00A14B9B" w:rsidP="00A14B9B">
      <w:pPr>
        <w:keepNext/>
        <w:rPr>
          <w:lang w:val="cs-CZ"/>
        </w:rPr>
      </w:pPr>
      <w:r w:rsidRPr="002A0D4F">
        <w:rPr>
          <w:noProof/>
          <w:lang w:val="cs-CZ" w:eastAsia="cs-CZ"/>
        </w:rPr>
        <w:drawing>
          <wp:inline distT="0" distB="0" distL="0" distR="0" wp14:anchorId="69A82F69" wp14:editId="742FAD2D">
            <wp:extent cx="3412066" cy="1952321"/>
            <wp:effectExtent l="0" t="0" r="4445" b="3810"/>
            <wp:docPr id="530029267" name="Obrázek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46"/>
                    <pic:cNvPicPr/>
                  </pic:nvPicPr>
                  <pic:blipFill>
                    <a:blip r:embed="rId94">
                      <a:extLst>
                        <a:ext uri="{28A0092B-C50C-407E-A947-70E740481C1C}">
                          <a14:useLocalDpi xmlns:a14="http://schemas.microsoft.com/office/drawing/2010/main" val="0"/>
                        </a:ext>
                      </a:extLst>
                    </a:blip>
                    <a:stretch>
                      <a:fillRect/>
                    </a:stretch>
                  </pic:blipFill>
                  <pic:spPr>
                    <a:xfrm>
                      <a:off x="0" y="0"/>
                      <a:ext cx="3412066" cy="1952321"/>
                    </a:xfrm>
                    <a:prstGeom prst="rect">
                      <a:avLst/>
                    </a:prstGeom>
                  </pic:spPr>
                </pic:pic>
              </a:graphicData>
            </a:graphic>
          </wp:inline>
        </w:drawing>
      </w:r>
    </w:p>
    <w:p w14:paraId="65C323DB" w14:textId="77777777" w:rsidR="00A14B9B" w:rsidRPr="002A0D4F" w:rsidRDefault="00A14B9B" w:rsidP="00174845">
      <w:pPr>
        <w:pStyle w:val="UZEIZdroj"/>
      </w:pPr>
      <w:r w:rsidRPr="002A0D4F">
        <w:t xml:space="preserve">Zdroj: </w:t>
      </w:r>
      <w:proofErr w:type="spellStart"/>
      <w:r w:rsidRPr="002A0D4F">
        <w:t>MZe</w:t>
      </w:r>
      <w:proofErr w:type="spellEnd"/>
      <w:r w:rsidRPr="002A0D4F">
        <w:t>, 2019 (6 kol žádostí pro opatření 6.4.1 a 6.4.2 v rámci PRV 2014-2020), vlastní zpracování</w:t>
      </w:r>
    </w:p>
    <w:p w14:paraId="0A43828C" w14:textId="77777777" w:rsidR="00A14B9B" w:rsidRPr="002A0D4F" w:rsidRDefault="00A14B9B" w:rsidP="00A14B9B">
      <w:pPr>
        <w:pStyle w:val="Titulek"/>
      </w:pPr>
    </w:p>
    <w:p w14:paraId="17EDCE4A" w14:textId="77777777" w:rsidR="00174845" w:rsidRDefault="00174845">
      <w:pPr>
        <w:spacing w:after="160" w:line="259" w:lineRule="auto"/>
        <w:jc w:val="left"/>
        <w:rPr>
          <w:rFonts w:eastAsia="Times New Roman" w:cs="Arial"/>
          <w:b/>
          <w:noProof/>
          <w:sz w:val="20"/>
          <w:szCs w:val="20"/>
          <w:lang w:val="cs-CZ" w:eastAsia="cs-CZ"/>
        </w:rPr>
      </w:pPr>
      <w:bookmarkStart w:id="567" w:name="_Toc25919888"/>
      <w:r>
        <w:br w:type="page"/>
      </w:r>
    </w:p>
    <w:p w14:paraId="5AF3DD3F" w14:textId="384DB38C" w:rsidR="00A14B9B" w:rsidRPr="00174845" w:rsidRDefault="00A14B9B" w:rsidP="00174845">
      <w:pPr>
        <w:pStyle w:val="UZEIObr"/>
      </w:pPr>
      <w:bookmarkStart w:id="568" w:name="_Ref81771433"/>
      <w:bookmarkStart w:id="569" w:name="_Toc81815427"/>
      <w:bookmarkStart w:id="570" w:name="_Toc81817632"/>
      <w:r w:rsidRPr="00174845">
        <w:lastRenderedPageBreak/>
        <w:t>Velikostní struktura podniků</w:t>
      </w:r>
      <w:bookmarkEnd w:id="567"/>
      <w:bookmarkEnd w:id="568"/>
      <w:bookmarkEnd w:id="569"/>
      <w:bookmarkEnd w:id="570"/>
    </w:p>
    <w:p w14:paraId="587B900E" w14:textId="77777777" w:rsidR="00A14B9B" w:rsidRPr="002A0D4F" w:rsidRDefault="00A14B9B" w:rsidP="00A14B9B">
      <w:pPr>
        <w:keepNext/>
        <w:rPr>
          <w:lang w:val="cs-CZ"/>
        </w:rPr>
      </w:pPr>
      <w:r w:rsidRPr="002A0D4F">
        <w:rPr>
          <w:noProof/>
          <w:lang w:val="cs-CZ" w:eastAsia="cs-CZ"/>
        </w:rPr>
        <w:drawing>
          <wp:inline distT="0" distB="0" distL="0" distR="0" wp14:anchorId="641395F9" wp14:editId="5E6D70C2">
            <wp:extent cx="3462866" cy="1909430"/>
            <wp:effectExtent l="0" t="0" r="4445" b="0"/>
            <wp:docPr id="999155085" name="Obrázek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37"/>
                    <pic:cNvPicPr/>
                  </pic:nvPicPr>
                  <pic:blipFill>
                    <a:blip r:embed="rId95" cstate="print">
                      <a:extLst>
                        <a:ext uri="{28A0092B-C50C-407E-A947-70E740481C1C}">
                          <a14:useLocalDpi xmlns:a14="http://schemas.microsoft.com/office/drawing/2010/main" val="0"/>
                        </a:ext>
                      </a:extLst>
                    </a:blip>
                    <a:stretch>
                      <a:fillRect/>
                    </a:stretch>
                  </pic:blipFill>
                  <pic:spPr>
                    <a:xfrm>
                      <a:off x="0" y="0"/>
                      <a:ext cx="3462866" cy="1909430"/>
                    </a:xfrm>
                    <a:prstGeom prst="rect">
                      <a:avLst/>
                    </a:prstGeom>
                  </pic:spPr>
                </pic:pic>
              </a:graphicData>
            </a:graphic>
          </wp:inline>
        </w:drawing>
      </w:r>
    </w:p>
    <w:p w14:paraId="17523E95" w14:textId="77777777" w:rsidR="00A14B9B" w:rsidRPr="002A0D4F" w:rsidRDefault="00A14B9B" w:rsidP="00174845">
      <w:pPr>
        <w:pStyle w:val="UZEIZdroj"/>
      </w:pPr>
      <w:r w:rsidRPr="002A0D4F">
        <w:t xml:space="preserve">Zdroj: </w:t>
      </w:r>
      <w:proofErr w:type="spellStart"/>
      <w:r w:rsidRPr="002A0D4F">
        <w:t>MZe</w:t>
      </w:r>
      <w:proofErr w:type="spellEnd"/>
      <w:r w:rsidRPr="002A0D4F">
        <w:t>, 2019 (6 kol žádostí pro opatření 6.4.1 a 6.4.2 v rámci PRV 2014-2020), vlastní zpracování</w:t>
      </w:r>
    </w:p>
    <w:p w14:paraId="49379745" w14:textId="77777777" w:rsidR="00A14B9B" w:rsidRPr="002A0D4F" w:rsidRDefault="00A14B9B" w:rsidP="00174845">
      <w:pPr>
        <w:pStyle w:val="UZEINormaln"/>
      </w:pPr>
      <w:r w:rsidRPr="002A0D4F">
        <w:t xml:space="preserve">V žádostech mikro podniků jasně dominují fyzické osoby nad právnickými, kterých je necelá třetina, avšak u malých a středních podniků pochází více žádostí od právnických osob. U operace 6.4.2 nebyla ani jedna žádost podána podnikem, který spadá do velikostní kategorie velký.  </w:t>
      </w:r>
    </w:p>
    <w:p w14:paraId="151E8679" w14:textId="269482DD" w:rsidR="00A14B9B" w:rsidRPr="00174845" w:rsidRDefault="00A14B9B" w:rsidP="00174845">
      <w:pPr>
        <w:pStyle w:val="UZEIObr"/>
      </w:pPr>
      <w:bookmarkStart w:id="571" w:name="_Toc25919889"/>
      <w:bookmarkStart w:id="572" w:name="_Toc81815428"/>
      <w:bookmarkStart w:id="573" w:name="_Toc81817633"/>
      <w:r w:rsidRPr="00174845">
        <w:t>Žádosti podle velikosti a právní formy podniku</w:t>
      </w:r>
      <w:bookmarkEnd w:id="571"/>
      <w:bookmarkEnd w:id="572"/>
      <w:bookmarkEnd w:id="573"/>
    </w:p>
    <w:p w14:paraId="4F1981EF" w14:textId="77777777" w:rsidR="00A14B9B" w:rsidRPr="002A0D4F" w:rsidRDefault="00A14B9B" w:rsidP="00A14B9B">
      <w:pPr>
        <w:keepNext/>
        <w:rPr>
          <w:lang w:val="cs-CZ"/>
        </w:rPr>
      </w:pPr>
      <w:r w:rsidRPr="002A0D4F">
        <w:rPr>
          <w:noProof/>
          <w:lang w:val="cs-CZ" w:eastAsia="cs-CZ"/>
        </w:rPr>
        <w:drawing>
          <wp:inline distT="0" distB="0" distL="0" distR="0" wp14:anchorId="278BB39F" wp14:editId="357698E1">
            <wp:extent cx="3285067" cy="1974680"/>
            <wp:effectExtent l="0" t="0" r="4445" b="0"/>
            <wp:docPr id="148973394" name="Obrázek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47"/>
                    <pic:cNvPicPr/>
                  </pic:nvPicPr>
                  <pic:blipFill>
                    <a:blip r:embed="rId96">
                      <a:extLst>
                        <a:ext uri="{28A0092B-C50C-407E-A947-70E740481C1C}">
                          <a14:useLocalDpi xmlns:a14="http://schemas.microsoft.com/office/drawing/2010/main" val="0"/>
                        </a:ext>
                      </a:extLst>
                    </a:blip>
                    <a:stretch>
                      <a:fillRect/>
                    </a:stretch>
                  </pic:blipFill>
                  <pic:spPr>
                    <a:xfrm>
                      <a:off x="0" y="0"/>
                      <a:ext cx="3285067" cy="1974680"/>
                    </a:xfrm>
                    <a:prstGeom prst="rect">
                      <a:avLst/>
                    </a:prstGeom>
                  </pic:spPr>
                </pic:pic>
              </a:graphicData>
            </a:graphic>
          </wp:inline>
        </w:drawing>
      </w:r>
    </w:p>
    <w:p w14:paraId="209A8D96" w14:textId="77777777" w:rsidR="00A14B9B" w:rsidRPr="00174845" w:rsidRDefault="00A14B9B" w:rsidP="00174845">
      <w:pPr>
        <w:pStyle w:val="UZEIZdroj"/>
      </w:pPr>
      <w:r w:rsidRPr="00174845">
        <w:t xml:space="preserve">Zdroj: </w:t>
      </w:r>
      <w:proofErr w:type="spellStart"/>
      <w:r w:rsidRPr="00174845">
        <w:t>MZe</w:t>
      </w:r>
      <w:proofErr w:type="spellEnd"/>
      <w:r w:rsidRPr="00174845">
        <w:t>, 2019 (6 kol žádostí pro opatření 6.4.1 a 6.4.2 v rámci PRV 2014-2020), vlastní zpracování</w:t>
      </w:r>
    </w:p>
    <w:p w14:paraId="16E240B7" w14:textId="186257AE" w:rsidR="00A14B9B" w:rsidRPr="00540F35" w:rsidRDefault="00540F35" w:rsidP="00540F35">
      <w:pPr>
        <w:pStyle w:val="UZEITaB"/>
      </w:pPr>
      <w:bookmarkStart w:id="574" w:name="_Toc25920016"/>
      <w:r>
        <w:t xml:space="preserve"> </w:t>
      </w:r>
      <w:bookmarkStart w:id="575" w:name="_Toc81815339"/>
      <w:bookmarkStart w:id="576" w:name="_Toc81817017"/>
      <w:bookmarkStart w:id="577" w:name="_Toc81817530"/>
      <w:r w:rsidR="00A14B9B" w:rsidRPr="00540F35">
        <w:t>Charakteristika celkových výdajů u operace 6.4.2</w:t>
      </w:r>
      <w:bookmarkEnd w:id="574"/>
      <w:bookmarkEnd w:id="575"/>
      <w:bookmarkEnd w:id="576"/>
      <w:bookmarkEnd w:id="577"/>
    </w:p>
    <w:p w14:paraId="00D971F1" w14:textId="77777777" w:rsidR="00A14B9B" w:rsidRPr="002A0D4F" w:rsidRDefault="00A14B9B" w:rsidP="00A14B9B">
      <w:pPr>
        <w:rPr>
          <w:lang w:val="cs-CZ"/>
        </w:rPr>
      </w:pPr>
      <w:r w:rsidRPr="002A0D4F">
        <w:rPr>
          <w:noProof/>
          <w:lang w:val="cs-CZ" w:eastAsia="cs-CZ"/>
        </w:rPr>
        <w:drawing>
          <wp:inline distT="0" distB="0" distL="0" distR="0" wp14:anchorId="21D3B978" wp14:editId="527F003E">
            <wp:extent cx="5452533" cy="1575464"/>
            <wp:effectExtent l="0" t="0" r="0" b="0"/>
            <wp:docPr id="54" name="Obrázek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472468" cy="1581224"/>
                    </a:xfrm>
                    <a:prstGeom prst="rect">
                      <a:avLst/>
                    </a:prstGeom>
                    <a:noFill/>
                    <a:ln>
                      <a:noFill/>
                    </a:ln>
                  </pic:spPr>
                </pic:pic>
              </a:graphicData>
            </a:graphic>
          </wp:inline>
        </w:drawing>
      </w:r>
    </w:p>
    <w:p w14:paraId="30F4ECA4" w14:textId="77777777" w:rsidR="00A14B9B" w:rsidRPr="002A0D4F" w:rsidRDefault="00A14B9B" w:rsidP="00540F35">
      <w:pPr>
        <w:pStyle w:val="UZEIZdroj"/>
      </w:pPr>
      <w:r w:rsidRPr="002A0D4F">
        <w:t xml:space="preserve">Zdroj: </w:t>
      </w:r>
      <w:proofErr w:type="spellStart"/>
      <w:r w:rsidRPr="002A0D4F">
        <w:t>MZe</w:t>
      </w:r>
      <w:proofErr w:type="spellEnd"/>
      <w:r w:rsidRPr="002A0D4F">
        <w:t>, 2019 (6 kol žádostí pro opatření 6.4.1 a 6.4.2 v rámci PRV 2014-2020), vlastní zpracování</w:t>
      </w:r>
    </w:p>
    <w:p w14:paraId="3F270AFF" w14:textId="4EFC3C4D" w:rsidR="00A14B9B" w:rsidRPr="002A0D4F" w:rsidRDefault="00A14B9B" w:rsidP="00540F35">
      <w:pPr>
        <w:pStyle w:val="UZEINormaln"/>
        <w:rPr>
          <w:i/>
          <w:iCs/>
        </w:rPr>
      </w:pPr>
      <w:r w:rsidRPr="002A0D4F">
        <w:t>Obdobně jako u operace 6.4.1 i v případě podpory agroturistiky je rozpětí výdajů na projekt poměrně značné (</w:t>
      </w:r>
      <w:r w:rsidR="00690213">
        <w:fldChar w:fldCharType="begin"/>
      </w:r>
      <w:r w:rsidR="00690213">
        <w:instrText xml:space="preserve"> REF _Ref81771544 \r \h </w:instrText>
      </w:r>
      <w:r w:rsidR="00690213">
        <w:fldChar w:fldCharType="separate"/>
      </w:r>
      <w:r w:rsidR="00690213">
        <w:t>Tabulka 24</w:t>
      </w:r>
      <w:r w:rsidR="00690213">
        <w:fldChar w:fldCharType="end"/>
      </w:r>
      <w:r w:rsidRPr="002A0D4F">
        <w:t>). Zatímco 5 % projektů s nejnižšími výdaji na projekt vykázalo hodnoty nižší než 800 tis. Kč, 5 % projektů s nejvyššími výdaji přesáhlo 16 mil. Kč na projekt. Medián celkových výdajů činil zhruba 6,2 mil. Kč.</w:t>
      </w:r>
    </w:p>
    <w:p w14:paraId="57DDBF8D" w14:textId="77777777" w:rsidR="00A14B9B" w:rsidRPr="002A0D4F" w:rsidRDefault="00A14B9B" w:rsidP="00540F35">
      <w:pPr>
        <w:pStyle w:val="UZEINormaln"/>
      </w:pPr>
    </w:p>
    <w:p w14:paraId="299C433D" w14:textId="77777777" w:rsidR="00690213" w:rsidRDefault="00690213">
      <w:pPr>
        <w:spacing w:after="160" w:line="259" w:lineRule="auto"/>
        <w:jc w:val="left"/>
        <w:rPr>
          <w:rFonts w:eastAsia="Times New Roman" w:cs="Arial"/>
          <w:b/>
          <w:color w:val="000000" w:themeColor="text1"/>
          <w:sz w:val="20"/>
          <w:szCs w:val="20"/>
          <w:lang w:val="cs-CZ" w:eastAsia="cs-CZ"/>
        </w:rPr>
      </w:pPr>
      <w:bookmarkStart w:id="578" w:name="_Toc25920017"/>
      <w:r>
        <w:br w:type="page"/>
      </w:r>
    </w:p>
    <w:p w14:paraId="710A5D62" w14:textId="709F480E" w:rsidR="00A14B9B" w:rsidRPr="00690213" w:rsidRDefault="00A14B9B" w:rsidP="00690213">
      <w:pPr>
        <w:pStyle w:val="UZEITaB"/>
      </w:pPr>
      <w:bookmarkStart w:id="579" w:name="_Ref81771544"/>
      <w:bookmarkStart w:id="580" w:name="_Toc81815340"/>
      <w:bookmarkStart w:id="581" w:name="_Toc81817018"/>
      <w:bookmarkStart w:id="582" w:name="_Toc81817531"/>
      <w:r w:rsidRPr="00690213">
        <w:lastRenderedPageBreak/>
        <w:t>Charakteristika celkových výdajů u operace 6.4.2</w:t>
      </w:r>
      <w:bookmarkEnd w:id="578"/>
      <w:bookmarkEnd w:id="579"/>
      <w:bookmarkEnd w:id="580"/>
      <w:bookmarkEnd w:id="581"/>
      <w:bookmarkEnd w:id="582"/>
    </w:p>
    <w:p w14:paraId="35AD7EA6" w14:textId="77777777" w:rsidR="00A14B9B" w:rsidRPr="002A0D4F" w:rsidRDefault="00A14B9B" w:rsidP="00A14B9B">
      <w:pPr>
        <w:rPr>
          <w:lang w:val="cs-CZ"/>
        </w:rPr>
      </w:pPr>
      <w:r w:rsidRPr="002A0D4F">
        <w:rPr>
          <w:noProof/>
          <w:lang w:val="cs-CZ" w:eastAsia="cs-CZ"/>
        </w:rPr>
        <w:drawing>
          <wp:inline distT="0" distB="0" distL="0" distR="0" wp14:anchorId="6D392795" wp14:editId="44B06FE5">
            <wp:extent cx="2057400" cy="1352964"/>
            <wp:effectExtent l="0" t="0" r="0" b="6350"/>
            <wp:docPr id="12" name="Obráze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a:stretch>
                      <a:fillRect/>
                    </a:stretch>
                  </pic:blipFill>
                  <pic:spPr>
                    <a:xfrm>
                      <a:off x="0" y="0"/>
                      <a:ext cx="2065879" cy="1358540"/>
                    </a:xfrm>
                    <a:prstGeom prst="rect">
                      <a:avLst/>
                    </a:prstGeom>
                  </pic:spPr>
                </pic:pic>
              </a:graphicData>
            </a:graphic>
          </wp:inline>
        </w:drawing>
      </w:r>
    </w:p>
    <w:p w14:paraId="5BE07E7E" w14:textId="77777777" w:rsidR="00A14B9B" w:rsidRPr="002A0D4F" w:rsidRDefault="00A14B9B" w:rsidP="00A14B9B">
      <w:pPr>
        <w:spacing w:after="240"/>
        <w:rPr>
          <w:sz w:val="18"/>
          <w:szCs w:val="18"/>
          <w:lang w:val="cs-CZ"/>
        </w:rPr>
      </w:pPr>
      <w:r w:rsidRPr="002A0D4F">
        <w:rPr>
          <w:sz w:val="18"/>
          <w:szCs w:val="18"/>
          <w:lang w:val="cs-CZ"/>
        </w:rPr>
        <w:t xml:space="preserve">Zdroj: </w:t>
      </w:r>
      <w:proofErr w:type="spellStart"/>
      <w:r w:rsidRPr="002A0D4F">
        <w:rPr>
          <w:sz w:val="18"/>
          <w:szCs w:val="18"/>
          <w:lang w:val="cs-CZ"/>
        </w:rPr>
        <w:t>MZe</w:t>
      </w:r>
      <w:proofErr w:type="spellEnd"/>
      <w:r w:rsidRPr="002A0D4F">
        <w:rPr>
          <w:sz w:val="18"/>
          <w:szCs w:val="18"/>
          <w:lang w:val="cs-CZ"/>
        </w:rPr>
        <w:t>, 2019 (6 kol žádostí pro opatření 6.4.1 a 6.4.2 v rámci PRV 2014-2020, n = 188), vlastní zpracování</w:t>
      </w:r>
    </w:p>
    <w:p w14:paraId="4E619FF5" w14:textId="542E65E8" w:rsidR="00A14B9B" w:rsidRPr="002A0D4F" w:rsidRDefault="00A14B9B" w:rsidP="00A14B9B">
      <w:pPr>
        <w:rPr>
          <w:lang w:val="cs-CZ"/>
        </w:rPr>
      </w:pPr>
      <w:r w:rsidRPr="002A0D4F">
        <w:rPr>
          <w:lang w:val="cs-CZ"/>
        </w:rPr>
        <w:t>Percentilové charakteristiky z </w:t>
      </w:r>
      <w:r w:rsidR="00D06250">
        <w:rPr>
          <w:lang w:val="cs-CZ"/>
        </w:rPr>
        <w:fldChar w:fldCharType="begin"/>
      </w:r>
      <w:r w:rsidR="00D06250">
        <w:rPr>
          <w:lang w:val="cs-CZ"/>
        </w:rPr>
        <w:instrText xml:space="preserve"> REF _Ref81771544 \r \h </w:instrText>
      </w:r>
      <w:r w:rsidR="00D06250">
        <w:rPr>
          <w:lang w:val="cs-CZ"/>
        </w:rPr>
      </w:r>
      <w:r w:rsidR="00D06250">
        <w:rPr>
          <w:lang w:val="cs-CZ"/>
        </w:rPr>
        <w:fldChar w:fldCharType="separate"/>
      </w:r>
      <w:r w:rsidR="00D06250">
        <w:rPr>
          <w:lang w:val="cs-CZ"/>
        </w:rPr>
        <w:t>Tabulka 24</w:t>
      </w:r>
      <w:r w:rsidR="00D06250">
        <w:rPr>
          <w:lang w:val="cs-CZ"/>
        </w:rPr>
        <w:fldChar w:fldCharType="end"/>
      </w:r>
      <w:r w:rsidR="00D06250">
        <w:rPr>
          <w:lang w:val="cs-CZ"/>
        </w:rPr>
        <w:t xml:space="preserve"> </w:t>
      </w:r>
      <w:r w:rsidRPr="002A0D4F">
        <w:rPr>
          <w:lang w:val="cs-CZ"/>
        </w:rPr>
        <w:t>jsou dále doplněny rozdělením celkových výdajů na projekt v </w:t>
      </w:r>
      <w:r w:rsidR="00D06250">
        <w:rPr>
          <w:lang w:val="cs-CZ"/>
        </w:rPr>
        <w:fldChar w:fldCharType="begin"/>
      </w:r>
      <w:r w:rsidR="00D06250">
        <w:rPr>
          <w:lang w:val="cs-CZ"/>
        </w:rPr>
        <w:instrText xml:space="preserve"> REF _Ref81771635 \r \h </w:instrText>
      </w:r>
      <w:r w:rsidR="00D06250">
        <w:rPr>
          <w:lang w:val="cs-CZ"/>
        </w:rPr>
      </w:r>
      <w:r w:rsidR="00D06250">
        <w:rPr>
          <w:lang w:val="cs-CZ"/>
        </w:rPr>
        <w:fldChar w:fldCharType="separate"/>
      </w:r>
      <w:r w:rsidR="00D06250">
        <w:rPr>
          <w:lang w:val="cs-CZ"/>
        </w:rPr>
        <w:t>Obrázek 48</w:t>
      </w:r>
      <w:r w:rsidR="00D06250">
        <w:rPr>
          <w:lang w:val="cs-CZ"/>
        </w:rPr>
        <w:fldChar w:fldCharType="end"/>
      </w:r>
      <w:r w:rsidRPr="002A0D4F">
        <w:rPr>
          <w:lang w:val="cs-CZ"/>
        </w:rPr>
        <w:t>. Zde je zřejmý silnější výskyt hodnot do zhruba 10 mil Kč.</w:t>
      </w:r>
    </w:p>
    <w:p w14:paraId="179CBFDD" w14:textId="624198A2" w:rsidR="00A14B9B" w:rsidRPr="00D06250" w:rsidRDefault="00A14B9B" w:rsidP="00D06250">
      <w:pPr>
        <w:pStyle w:val="UZEIObr"/>
      </w:pPr>
      <w:bookmarkStart w:id="583" w:name="_Toc25919890"/>
      <w:bookmarkStart w:id="584" w:name="_Ref81771635"/>
      <w:bookmarkStart w:id="585" w:name="_Toc81815429"/>
      <w:bookmarkStart w:id="586" w:name="_Toc81817634"/>
      <w:r w:rsidRPr="00D06250">
        <w:t>Rozložení celkových výdajů (Kč na projekt)</w:t>
      </w:r>
      <w:bookmarkEnd w:id="583"/>
      <w:bookmarkEnd w:id="584"/>
      <w:bookmarkEnd w:id="585"/>
      <w:bookmarkEnd w:id="586"/>
    </w:p>
    <w:p w14:paraId="73794DC9" w14:textId="77777777" w:rsidR="00A14B9B" w:rsidRPr="002A0D4F" w:rsidRDefault="00A14B9B" w:rsidP="00A14B9B">
      <w:pPr>
        <w:rPr>
          <w:sz w:val="18"/>
          <w:szCs w:val="18"/>
          <w:lang w:val="cs-CZ"/>
        </w:rPr>
      </w:pPr>
      <w:r w:rsidRPr="002A0D4F">
        <w:rPr>
          <w:noProof/>
          <w:lang w:val="cs-CZ" w:eastAsia="cs-CZ"/>
        </w:rPr>
        <w:drawing>
          <wp:inline distT="0" distB="0" distL="0" distR="0" wp14:anchorId="3FC18C44" wp14:editId="7F2EF201">
            <wp:extent cx="4504710" cy="2658533"/>
            <wp:effectExtent l="0" t="0" r="3810" b="0"/>
            <wp:docPr id="1346165361" name="Obráze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5"/>
                    <pic:cNvPicPr/>
                  </pic:nvPicPr>
                  <pic:blipFill>
                    <a:blip r:embed="rId99">
                      <a:extLst>
                        <a:ext uri="{28A0092B-C50C-407E-A947-70E740481C1C}">
                          <a14:useLocalDpi xmlns:a14="http://schemas.microsoft.com/office/drawing/2010/main" val="0"/>
                        </a:ext>
                      </a:extLst>
                    </a:blip>
                    <a:stretch>
                      <a:fillRect/>
                    </a:stretch>
                  </pic:blipFill>
                  <pic:spPr>
                    <a:xfrm>
                      <a:off x="0" y="0"/>
                      <a:ext cx="4504710" cy="2658533"/>
                    </a:xfrm>
                    <a:prstGeom prst="rect">
                      <a:avLst/>
                    </a:prstGeom>
                  </pic:spPr>
                </pic:pic>
              </a:graphicData>
            </a:graphic>
          </wp:inline>
        </w:drawing>
      </w:r>
    </w:p>
    <w:p w14:paraId="0FAA0352" w14:textId="77777777" w:rsidR="00A14B9B" w:rsidRPr="00D06250" w:rsidRDefault="00A14B9B" w:rsidP="00D06250">
      <w:pPr>
        <w:pStyle w:val="UZEIZdroj"/>
      </w:pPr>
      <w:r w:rsidRPr="00D06250">
        <w:t xml:space="preserve">Zdroj: </w:t>
      </w:r>
      <w:proofErr w:type="spellStart"/>
      <w:r w:rsidRPr="00D06250">
        <w:t>MZe</w:t>
      </w:r>
      <w:proofErr w:type="spellEnd"/>
      <w:r w:rsidRPr="00D06250">
        <w:t>, 2019 (6 kol žádostí pro opatření 6.4.1 a 6.4.2 v rámci PRV 2014-2020), vlastní zpracování</w:t>
      </w:r>
    </w:p>
    <w:p w14:paraId="370D3F22" w14:textId="3D6E06CE" w:rsidR="00A14B9B" w:rsidRPr="002A0D4F" w:rsidRDefault="00D06250" w:rsidP="00D06250">
      <w:pPr>
        <w:pStyle w:val="UZEINormaln"/>
      </w:pPr>
      <w:r>
        <w:fldChar w:fldCharType="begin"/>
      </w:r>
      <w:r>
        <w:instrText xml:space="preserve"> REF _Ref81771674 \r \h </w:instrText>
      </w:r>
      <w:r>
        <w:fldChar w:fldCharType="separate"/>
      </w:r>
      <w:r>
        <w:t>Tabulka 25</w:t>
      </w:r>
      <w:r>
        <w:fldChar w:fldCharType="end"/>
      </w:r>
      <w:r w:rsidR="00A14B9B" w:rsidRPr="002A0D4F">
        <w:t xml:space="preserve"> obsahuje percentily výdajů na spolufinancování (dotace). Medián činí zhruba 2,250 mil Kč. na projekt, 5 % s nejvyššími výdaji přesahuje částku 4,5 mil. Kč na projekt.</w:t>
      </w:r>
    </w:p>
    <w:p w14:paraId="123BD425" w14:textId="7FD0A6E7" w:rsidR="00A14B9B" w:rsidRPr="00D06250" w:rsidRDefault="00D06250" w:rsidP="00D06250">
      <w:pPr>
        <w:pStyle w:val="UZEITaB"/>
      </w:pPr>
      <w:bookmarkStart w:id="587" w:name="_Toc25920018"/>
      <w:r w:rsidRPr="00D06250">
        <w:t xml:space="preserve"> </w:t>
      </w:r>
      <w:bookmarkStart w:id="588" w:name="_Ref81771674"/>
      <w:bookmarkStart w:id="589" w:name="_Toc81815341"/>
      <w:bookmarkStart w:id="590" w:name="_Toc81817019"/>
      <w:bookmarkStart w:id="591" w:name="_Toc81817532"/>
      <w:r w:rsidR="00A14B9B" w:rsidRPr="00D06250">
        <w:t>Charakteristika výdajů pro spolufinancování – dotace u operace 6.4.2</w:t>
      </w:r>
      <w:bookmarkEnd w:id="587"/>
      <w:bookmarkEnd w:id="588"/>
      <w:bookmarkEnd w:id="589"/>
      <w:bookmarkEnd w:id="590"/>
      <w:bookmarkEnd w:id="591"/>
    </w:p>
    <w:p w14:paraId="1C464C49" w14:textId="77777777" w:rsidR="00A14B9B" w:rsidRPr="002A0D4F" w:rsidRDefault="00A14B9B" w:rsidP="00A14B9B">
      <w:pPr>
        <w:rPr>
          <w:lang w:val="cs-CZ"/>
        </w:rPr>
      </w:pPr>
      <w:r w:rsidRPr="002A0D4F">
        <w:rPr>
          <w:noProof/>
          <w:lang w:val="cs-CZ" w:eastAsia="cs-CZ"/>
        </w:rPr>
        <w:drawing>
          <wp:inline distT="0" distB="0" distL="0" distR="0" wp14:anchorId="47070062" wp14:editId="72A6785B">
            <wp:extent cx="3314700" cy="1536700"/>
            <wp:effectExtent l="0" t="0" r="0" b="0"/>
            <wp:docPr id="52" name="Obrázek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0"/>
                    <a:stretch>
                      <a:fillRect/>
                    </a:stretch>
                  </pic:blipFill>
                  <pic:spPr>
                    <a:xfrm>
                      <a:off x="0" y="0"/>
                      <a:ext cx="3314700" cy="1536700"/>
                    </a:xfrm>
                    <a:prstGeom prst="rect">
                      <a:avLst/>
                    </a:prstGeom>
                  </pic:spPr>
                </pic:pic>
              </a:graphicData>
            </a:graphic>
          </wp:inline>
        </w:drawing>
      </w:r>
    </w:p>
    <w:p w14:paraId="4FE952E0" w14:textId="77777777" w:rsidR="00A14B9B" w:rsidRPr="002A0D4F" w:rsidRDefault="00A14B9B" w:rsidP="00D06250">
      <w:pPr>
        <w:pStyle w:val="UZEIZdroj"/>
      </w:pPr>
      <w:r w:rsidRPr="002A0D4F">
        <w:t xml:space="preserve">Zdroj: </w:t>
      </w:r>
      <w:proofErr w:type="spellStart"/>
      <w:r w:rsidRPr="002A0D4F">
        <w:t>MZe</w:t>
      </w:r>
      <w:proofErr w:type="spellEnd"/>
      <w:r w:rsidRPr="002A0D4F">
        <w:t>, 2019 (6 kol žádostí pro opatření 6.4.1 a 6.4.2 v rámci PRV 2014-2020, n = 188), vlastní zpracování</w:t>
      </w:r>
    </w:p>
    <w:p w14:paraId="451D4AB8" w14:textId="3304B1D7" w:rsidR="00A14B9B" w:rsidRPr="002A0D4F" w:rsidRDefault="00A14B9B" w:rsidP="00D06250">
      <w:pPr>
        <w:pStyle w:val="UZEINormaln"/>
      </w:pPr>
      <w:r w:rsidRPr="002A0D4F">
        <w:t>Rozdělení částek výdajů na spolufinancování (dotace) je zřejmé z </w:t>
      </w:r>
      <w:r w:rsidR="00D06250">
        <w:fldChar w:fldCharType="begin"/>
      </w:r>
      <w:r w:rsidR="00D06250">
        <w:instrText xml:space="preserve"> REF _Ref81771721 \r \h </w:instrText>
      </w:r>
      <w:r w:rsidR="00D06250">
        <w:fldChar w:fldCharType="separate"/>
      </w:r>
      <w:r w:rsidR="00D06250">
        <w:t>Obrázek 49</w:t>
      </w:r>
      <w:r w:rsidR="00D06250">
        <w:fldChar w:fldCharType="end"/>
      </w:r>
      <w:r w:rsidRPr="002A0D4F">
        <w:t>. Je zřejmé, že výraznější výskyt je patrný zhruba u hodnoty 1,1 mil. Kč na projekt, dále u 2,3 mil. Kč a u 4,5 mil. Kč na projekt.</w:t>
      </w:r>
    </w:p>
    <w:p w14:paraId="3C2AE15A" w14:textId="77777777" w:rsidR="00D06250" w:rsidRDefault="00D06250">
      <w:pPr>
        <w:spacing w:after="160" w:line="259" w:lineRule="auto"/>
        <w:jc w:val="left"/>
        <w:rPr>
          <w:rFonts w:eastAsia="Times New Roman" w:cs="Arial"/>
          <w:b/>
          <w:noProof/>
          <w:sz w:val="20"/>
          <w:szCs w:val="20"/>
          <w:lang w:val="cs-CZ" w:eastAsia="cs-CZ"/>
        </w:rPr>
      </w:pPr>
      <w:bookmarkStart w:id="592" w:name="_Toc25919891"/>
      <w:bookmarkStart w:id="593" w:name="_Ref81771721"/>
      <w:r>
        <w:br w:type="page"/>
      </w:r>
    </w:p>
    <w:p w14:paraId="1206A6AE" w14:textId="56274910" w:rsidR="00A14B9B" w:rsidRPr="00D06250" w:rsidRDefault="00A14B9B" w:rsidP="00D06250">
      <w:pPr>
        <w:pStyle w:val="UZEIObr"/>
      </w:pPr>
      <w:bookmarkStart w:id="594" w:name="_Toc81815430"/>
      <w:bookmarkStart w:id="595" w:name="_Toc81817635"/>
      <w:r w:rsidRPr="00D06250">
        <w:lastRenderedPageBreak/>
        <w:t>Rozložení celkových výdajů (Kč na projekt)</w:t>
      </w:r>
      <w:bookmarkEnd w:id="592"/>
      <w:bookmarkEnd w:id="593"/>
      <w:bookmarkEnd w:id="594"/>
      <w:bookmarkEnd w:id="595"/>
    </w:p>
    <w:p w14:paraId="243527DF" w14:textId="77777777" w:rsidR="00A14B9B" w:rsidRPr="002A0D4F" w:rsidRDefault="00A14B9B" w:rsidP="00A14B9B">
      <w:pPr>
        <w:rPr>
          <w:sz w:val="18"/>
          <w:szCs w:val="18"/>
          <w:lang w:val="cs-CZ"/>
        </w:rPr>
      </w:pPr>
      <w:r w:rsidRPr="002A0D4F">
        <w:rPr>
          <w:noProof/>
          <w:lang w:val="cs-CZ" w:eastAsia="cs-CZ"/>
        </w:rPr>
        <w:drawing>
          <wp:inline distT="0" distB="0" distL="0" distR="0" wp14:anchorId="77642335" wp14:editId="57A794AD">
            <wp:extent cx="5198533" cy="3068005"/>
            <wp:effectExtent l="0" t="0" r="0" b="5715"/>
            <wp:docPr id="293245062" name="Obráze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9"/>
                    <pic:cNvPicPr/>
                  </pic:nvPicPr>
                  <pic:blipFill>
                    <a:blip r:embed="rId101">
                      <a:extLst>
                        <a:ext uri="{28A0092B-C50C-407E-A947-70E740481C1C}">
                          <a14:useLocalDpi xmlns:a14="http://schemas.microsoft.com/office/drawing/2010/main" val="0"/>
                        </a:ext>
                      </a:extLst>
                    </a:blip>
                    <a:stretch>
                      <a:fillRect/>
                    </a:stretch>
                  </pic:blipFill>
                  <pic:spPr>
                    <a:xfrm>
                      <a:off x="0" y="0"/>
                      <a:ext cx="5198533" cy="3068005"/>
                    </a:xfrm>
                    <a:prstGeom prst="rect">
                      <a:avLst/>
                    </a:prstGeom>
                  </pic:spPr>
                </pic:pic>
              </a:graphicData>
            </a:graphic>
          </wp:inline>
        </w:drawing>
      </w:r>
    </w:p>
    <w:p w14:paraId="26475481" w14:textId="77777777" w:rsidR="00A14B9B" w:rsidRPr="002A0D4F" w:rsidRDefault="00A14B9B" w:rsidP="00D06250">
      <w:pPr>
        <w:pStyle w:val="UZEIZdroj"/>
      </w:pPr>
      <w:r w:rsidRPr="002A0D4F">
        <w:t xml:space="preserve">Zdroj: </w:t>
      </w:r>
      <w:proofErr w:type="spellStart"/>
      <w:r w:rsidRPr="002A0D4F">
        <w:t>MZe</w:t>
      </w:r>
      <w:proofErr w:type="spellEnd"/>
      <w:r w:rsidRPr="002A0D4F">
        <w:t>, 2019 (6 kol žádostí pro opatření 6.4.1 a 6.4.2 v rámci PRV 2014-2020), vlastní zpracování</w:t>
      </w:r>
    </w:p>
    <w:p w14:paraId="19819F13" w14:textId="3EC28653" w:rsidR="00A14B9B" w:rsidRPr="002A0D4F" w:rsidRDefault="00D06250" w:rsidP="00D06250">
      <w:pPr>
        <w:pStyle w:val="UZEINormaln"/>
      </w:pPr>
      <w:r>
        <w:fldChar w:fldCharType="begin"/>
      </w:r>
      <w:r>
        <w:instrText xml:space="preserve"> REF _Ref81771774 \r \h </w:instrText>
      </w:r>
      <w:r>
        <w:fldChar w:fldCharType="separate"/>
      </w:r>
      <w:r>
        <w:t>Tabulka 26</w:t>
      </w:r>
      <w:r>
        <w:fldChar w:fldCharType="end"/>
      </w:r>
      <w:r>
        <w:t xml:space="preserve"> a </w:t>
      </w:r>
      <w:r>
        <w:fldChar w:fldCharType="begin"/>
      </w:r>
      <w:r>
        <w:instrText xml:space="preserve"> REF _Ref81771776 \r \h </w:instrText>
      </w:r>
      <w:r>
        <w:fldChar w:fldCharType="separate"/>
      </w:r>
      <w:r>
        <w:t>Tabulka 27</w:t>
      </w:r>
      <w:r>
        <w:fldChar w:fldCharType="end"/>
      </w:r>
      <w:r>
        <w:t xml:space="preserve"> </w:t>
      </w:r>
      <w:r w:rsidR="00A14B9B" w:rsidRPr="002A0D4F">
        <w:t xml:space="preserve">obsahují objemy výdajů na projekty, a to v třídění podle právní formy a velikosti podniku. U obou právních forem z pohledu objemu dominovaly mikro podniky. </w:t>
      </w:r>
    </w:p>
    <w:p w14:paraId="1CC056F3" w14:textId="57ED620D" w:rsidR="00A14B9B" w:rsidRPr="00D06250" w:rsidRDefault="00FB2964" w:rsidP="00D06250">
      <w:pPr>
        <w:pStyle w:val="UZEITaB"/>
      </w:pPr>
      <w:bookmarkStart w:id="596" w:name="_Toc25920019"/>
      <w:bookmarkStart w:id="597" w:name="_Ref81771774"/>
      <w:r>
        <w:t xml:space="preserve"> </w:t>
      </w:r>
      <w:bookmarkStart w:id="598" w:name="_Toc81815342"/>
      <w:bookmarkStart w:id="599" w:name="_Toc81817020"/>
      <w:bookmarkStart w:id="600" w:name="_Toc81817533"/>
      <w:r w:rsidR="00A14B9B" w:rsidRPr="00D06250">
        <w:t>Ch</w:t>
      </w:r>
      <w:r>
        <w:t>a</w:t>
      </w:r>
      <w:r w:rsidR="00A14B9B" w:rsidRPr="00D06250">
        <w:t>rakteristika výdajů právnických osob v operaci 6.4.2 dle velikosti podniku</w:t>
      </w:r>
      <w:bookmarkEnd w:id="596"/>
      <w:bookmarkEnd w:id="597"/>
      <w:bookmarkEnd w:id="598"/>
      <w:bookmarkEnd w:id="599"/>
      <w:bookmarkEnd w:id="600"/>
    </w:p>
    <w:p w14:paraId="19D460DA" w14:textId="77777777" w:rsidR="00A14B9B" w:rsidRPr="002A0D4F" w:rsidRDefault="00A14B9B" w:rsidP="00A14B9B">
      <w:pPr>
        <w:rPr>
          <w:lang w:val="cs-CZ"/>
        </w:rPr>
      </w:pPr>
      <w:r w:rsidRPr="002A0D4F">
        <w:rPr>
          <w:noProof/>
          <w:lang w:val="cs-CZ" w:eastAsia="cs-CZ"/>
        </w:rPr>
        <w:drawing>
          <wp:inline distT="0" distB="0" distL="0" distR="0" wp14:anchorId="52FF8464" wp14:editId="2F86DE79">
            <wp:extent cx="5760720" cy="1684661"/>
            <wp:effectExtent l="0" t="0" r="0" b="0"/>
            <wp:docPr id="26" name="Obráze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5760720" cy="1684661"/>
                    </a:xfrm>
                    <a:prstGeom prst="rect">
                      <a:avLst/>
                    </a:prstGeom>
                    <a:noFill/>
                    <a:ln>
                      <a:noFill/>
                    </a:ln>
                  </pic:spPr>
                </pic:pic>
              </a:graphicData>
            </a:graphic>
          </wp:inline>
        </w:drawing>
      </w:r>
    </w:p>
    <w:p w14:paraId="039443FF" w14:textId="77777777" w:rsidR="00A14B9B" w:rsidRPr="002A0D4F" w:rsidRDefault="00A14B9B" w:rsidP="00FB2964">
      <w:pPr>
        <w:pStyle w:val="UZEIZdroj"/>
      </w:pPr>
      <w:r w:rsidRPr="002A0D4F">
        <w:t xml:space="preserve">Zdroj: </w:t>
      </w:r>
      <w:proofErr w:type="spellStart"/>
      <w:r w:rsidRPr="002A0D4F">
        <w:t>MZe</w:t>
      </w:r>
      <w:proofErr w:type="spellEnd"/>
      <w:r w:rsidRPr="002A0D4F">
        <w:t>, 2019 (6 kol žádostí pro opatření 6.4.1 a 6.4.2 v rámci PRV 2014-2020), vlastní zpracování</w:t>
      </w:r>
    </w:p>
    <w:p w14:paraId="4B5A1C28" w14:textId="0E0FEB40" w:rsidR="00A14B9B" w:rsidRPr="00D06250" w:rsidRDefault="00FB2964" w:rsidP="00D06250">
      <w:pPr>
        <w:pStyle w:val="UZEITaB"/>
      </w:pPr>
      <w:bookmarkStart w:id="601" w:name="_Toc25920020"/>
      <w:bookmarkStart w:id="602" w:name="_Ref81771776"/>
      <w:r>
        <w:t xml:space="preserve"> </w:t>
      </w:r>
      <w:bookmarkStart w:id="603" w:name="_Toc81815343"/>
      <w:bookmarkStart w:id="604" w:name="_Toc81817021"/>
      <w:bookmarkStart w:id="605" w:name="_Toc81817534"/>
      <w:r w:rsidR="00A14B9B" w:rsidRPr="00D06250">
        <w:t>Ch</w:t>
      </w:r>
      <w:r>
        <w:t>a</w:t>
      </w:r>
      <w:r w:rsidR="00A14B9B" w:rsidRPr="00D06250">
        <w:t>rakteristika výdajů fyzických osob v operaci 6.4.2 dle velikosti podniku</w:t>
      </w:r>
      <w:bookmarkEnd w:id="601"/>
      <w:bookmarkEnd w:id="602"/>
      <w:bookmarkEnd w:id="603"/>
      <w:bookmarkEnd w:id="604"/>
      <w:bookmarkEnd w:id="605"/>
    </w:p>
    <w:p w14:paraId="5AF7135B" w14:textId="77777777" w:rsidR="00A14B9B" w:rsidRPr="002A0D4F" w:rsidRDefault="00A14B9B" w:rsidP="00A14B9B">
      <w:pPr>
        <w:rPr>
          <w:lang w:val="cs-CZ"/>
        </w:rPr>
      </w:pPr>
      <w:r w:rsidRPr="002A0D4F">
        <w:rPr>
          <w:noProof/>
          <w:lang w:val="cs-CZ" w:eastAsia="cs-CZ"/>
        </w:rPr>
        <w:drawing>
          <wp:inline distT="0" distB="0" distL="0" distR="0" wp14:anchorId="6411A23E" wp14:editId="138A2002">
            <wp:extent cx="5760720" cy="1684661"/>
            <wp:effectExtent l="0" t="0" r="0" b="0"/>
            <wp:docPr id="53" name="Obrázek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5760720" cy="1684661"/>
                    </a:xfrm>
                    <a:prstGeom prst="rect">
                      <a:avLst/>
                    </a:prstGeom>
                    <a:noFill/>
                    <a:ln>
                      <a:noFill/>
                    </a:ln>
                  </pic:spPr>
                </pic:pic>
              </a:graphicData>
            </a:graphic>
          </wp:inline>
        </w:drawing>
      </w:r>
    </w:p>
    <w:p w14:paraId="53AE6851" w14:textId="77777777" w:rsidR="00A14B9B" w:rsidRPr="002A0D4F" w:rsidRDefault="00A14B9B" w:rsidP="00FB2964">
      <w:pPr>
        <w:pStyle w:val="UZEIZdroj"/>
      </w:pPr>
      <w:r w:rsidRPr="002A0D4F">
        <w:t xml:space="preserve">Zdroj: </w:t>
      </w:r>
      <w:proofErr w:type="spellStart"/>
      <w:r w:rsidRPr="002A0D4F">
        <w:t>MZe</w:t>
      </w:r>
      <w:proofErr w:type="spellEnd"/>
      <w:r w:rsidRPr="002A0D4F">
        <w:t>, 2019 (6 kol žádostí pro opatření 6.4.1 a 6.4.2 v rámci PRV 2014-2020), vlastní zpracování</w:t>
      </w:r>
    </w:p>
    <w:p w14:paraId="64E4D898" w14:textId="3AC16569" w:rsidR="00A14B9B" w:rsidRPr="002A0D4F" w:rsidRDefault="00FB2964" w:rsidP="00FB2964">
      <w:pPr>
        <w:pStyle w:val="UZEINormaln"/>
      </w:pPr>
      <w:r>
        <w:fldChar w:fldCharType="begin"/>
      </w:r>
      <w:r>
        <w:instrText xml:space="preserve"> REF _Ref81771887 \r \h </w:instrText>
      </w:r>
      <w:r>
        <w:fldChar w:fldCharType="separate"/>
      </w:r>
      <w:r>
        <w:t>Tabulka 28</w:t>
      </w:r>
      <w:r>
        <w:fldChar w:fldCharType="end"/>
      </w:r>
      <w:r>
        <w:t xml:space="preserve"> </w:t>
      </w:r>
      <w:r w:rsidR="00A14B9B" w:rsidRPr="002A0D4F">
        <w:t xml:space="preserve">obsahuje přehled průměrných hodnot výdajů na jeden projekt v členění podle různých typů podniku. Nejnákladnější projekty z pohledu celkových výdajů na projekt byly realizovány u středních podniků. Výdaje pro spolufinancování (dotace) jsou u všech tří kategorií podniků srovnatelné. </w:t>
      </w:r>
    </w:p>
    <w:p w14:paraId="17C95B0F" w14:textId="09458786" w:rsidR="00A14B9B" w:rsidRPr="00FB2964" w:rsidRDefault="00FB2964" w:rsidP="00FB2964">
      <w:pPr>
        <w:pStyle w:val="UZEITaB"/>
      </w:pPr>
      <w:bookmarkStart w:id="606" w:name="_Toc25920021"/>
      <w:r>
        <w:lastRenderedPageBreak/>
        <w:t xml:space="preserve"> </w:t>
      </w:r>
      <w:r w:rsidRPr="00FB2964">
        <w:t xml:space="preserve"> </w:t>
      </w:r>
      <w:bookmarkStart w:id="607" w:name="_Ref81771887"/>
      <w:bookmarkStart w:id="608" w:name="_Toc81815344"/>
      <w:bookmarkStart w:id="609" w:name="_Toc81817022"/>
      <w:bookmarkStart w:id="610" w:name="_Toc81817535"/>
      <w:r w:rsidR="00A14B9B" w:rsidRPr="00FB2964">
        <w:t>Charakteristika výdajů v operaci 6.4.2 dle velikosti podniku</w:t>
      </w:r>
      <w:bookmarkEnd w:id="606"/>
      <w:bookmarkEnd w:id="607"/>
      <w:bookmarkEnd w:id="608"/>
      <w:bookmarkEnd w:id="609"/>
      <w:bookmarkEnd w:id="610"/>
    </w:p>
    <w:p w14:paraId="22B70A3E" w14:textId="77777777" w:rsidR="00A14B9B" w:rsidRPr="002A0D4F" w:rsidRDefault="00A14B9B" w:rsidP="00A14B9B">
      <w:pPr>
        <w:rPr>
          <w:lang w:val="cs-CZ"/>
        </w:rPr>
      </w:pPr>
      <w:r w:rsidRPr="002A0D4F">
        <w:rPr>
          <w:noProof/>
          <w:lang w:val="cs-CZ" w:eastAsia="cs-CZ"/>
        </w:rPr>
        <w:drawing>
          <wp:inline distT="0" distB="0" distL="0" distR="0" wp14:anchorId="34FAAD64" wp14:editId="0FDAA5CE">
            <wp:extent cx="3987800" cy="1460500"/>
            <wp:effectExtent l="0" t="0" r="0" b="0"/>
            <wp:docPr id="57" name="Obrázek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4"/>
                    <a:stretch>
                      <a:fillRect/>
                    </a:stretch>
                  </pic:blipFill>
                  <pic:spPr>
                    <a:xfrm>
                      <a:off x="0" y="0"/>
                      <a:ext cx="3987800" cy="1460500"/>
                    </a:xfrm>
                    <a:prstGeom prst="rect">
                      <a:avLst/>
                    </a:prstGeom>
                  </pic:spPr>
                </pic:pic>
              </a:graphicData>
            </a:graphic>
          </wp:inline>
        </w:drawing>
      </w:r>
    </w:p>
    <w:p w14:paraId="6310C46A" w14:textId="77777777" w:rsidR="00A14B9B" w:rsidRPr="002A0D4F" w:rsidRDefault="00A14B9B" w:rsidP="00A14B9B">
      <w:pPr>
        <w:spacing w:after="240"/>
        <w:rPr>
          <w:sz w:val="18"/>
          <w:szCs w:val="18"/>
          <w:lang w:val="cs-CZ"/>
        </w:rPr>
      </w:pPr>
      <w:r w:rsidRPr="002A0D4F">
        <w:rPr>
          <w:sz w:val="18"/>
          <w:szCs w:val="18"/>
          <w:lang w:val="cs-CZ"/>
        </w:rPr>
        <w:t xml:space="preserve">Zdroj: </w:t>
      </w:r>
      <w:proofErr w:type="spellStart"/>
      <w:r w:rsidRPr="002A0D4F">
        <w:rPr>
          <w:sz w:val="18"/>
          <w:szCs w:val="18"/>
          <w:lang w:val="cs-CZ"/>
        </w:rPr>
        <w:t>MZe</w:t>
      </w:r>
      <w:proofErr w:type="spellEnd"/>
      <w:r w:rsidRPr="002A0D4F">
        <w:rPr>
          <w:sz w:val="18"/>
          <w:szCs w:val="18"/>
          <w:lang w:val="cs-CZ"/>
        </w:rPr>
        <w:t>, 2019 (6 kol žádostí pro opatření 6.4.1 a 6.4.2 v rámci PRV 2014-2020), vlastní zpracování</w:t>
      </w:r>
    </w:p>
    <w:p w14:paraId="154BF2D3" w14:textId="77777777" w:rsidR="00A14B9B" w:rsidRPr="002A0D4F" w:rsidRDefault="00A14B9B" w:rsidP="00FB2964">
      <w:pPr>
        <w:pStyle w:val="UZEINormaln"/>
      </w:pPr>
      <w:r w:rsidRPr="002A0D4F">
        <w:t xml:space="preserve">U projektů v rámci operace 6.4.2 bylo rozlišeno šest kategorií způsobilých výdajů. Většina projektů byla zaměřena na stavební obnovu. </w:t>
      </w:r>
    </w:p>
    <w:p w14:paraId="1DAF33BD" w14:textId="51A8DF39" w:rsidR="00A14B9B" w:rsidRPr="00FB2964" w:rsidRDefault="00A14B9B" w:rsidP="00FB2964">
      <w:pPr>
        <w:pStyle w:val="UZEIObr"/>
      </w:pPr>
      <w:bookmarkStart w:id="611" w:name="_Toc25919892"/>
      <w:bookmarkStart w:id="612" w:name="_Toc81815431"/>
      <w:bookmarkStart w:id="613" w:name="_Toc81817636"/>
      <w:r w:rsidRPr="00FB2964">
        <w:t>Struktura způsobilých výdajů</w:t>
      </w:r>
      <w:bookmarkEnd w:id="611"/>
      <w:bookmarkEnd w:id="612"/>
      <w:bookmarkEnd w:id="613"/>
    </w:p>
    <w:p w14:paraId="65609E25" w14:textId="77777777" w:rsidR="00A14B9B" w:rsidRPr="002A0D4F" w:rsidRDefault="00A14B9B" w:rsidP="00A14B9B">
      <w:pPr>
        <w:keepNext/>
        <w:rPr>
          <w:lang w:val="cs-CZ"/>
        </w:rPr>
      </w:pPr>
      <w:r w:rsidRPr="002A0D4F">
        <w:rPr>
          <w:noProof/>
          <w:lang w:val="cs-CZ" w:eastAsia="cs-CZ"/>
        </w:rPr>
        <w:drawing>
          <wp:inline distT="0" distB="0" distL="0" distR="0" wp14:anchorId="52178675" wp14:editId="6B8E204D">
            <wp:extent cx="4087200" cy="2762826"/>
            <wp:effectExtent l="0" t="0" r="8890" b="0"/>
            <wp:docPr id="737370344" name="Obráze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4"/>
                    <pic:cNvPicPr/>
                  </pic:nvPicPr>
                  <pic:blipFill>
                    <a:blip r:embed="rId105">
                      <a:extLst>
                        <a:ext uri="{28A0092B-C50C-407E-A947-70E740481C1C}">
                          <a14:useLocalDpi xmlns:a14="http://schemas.microsoft.com/office/drawing/2010/main" val="0"/>
                        </a:ext>
                      </a:extLst>
                    </a:blip>
                    <a:stretch>
                      <a:fillRect/>
                    </a:stretch>
                  </pic:blipFill>
                  <pic:spPr>
                    <a:xfrm>
                      <a:off x="0" y="0"/>
                      <a:ext cx="4087200" cy="2762826"/>
                    </a:xfrm>
                    <a:prstGeom prst="rect">
                      <a:avLst/>
                    </a:prstGeom>
                  </pic:spPr>
                </pic:pic>
              </a:graphicData>
            </a:graphic>
          </wp:inline>
        </w:drawing>
      </w:r>
    </w:p>
    <w:p w14:paraId="469FCC08" w14:textId="77777777" w:rsidR="00A14B9B" w:rsidRPr="00615FCF" w:rsidRDefault="00A14B9B" w:rsidP="00615FCF">
      <w:pPr>
        <w:pStyle w:val="UZEIZdroj"/>
      </w:pPr>
      <w:r w:rsidRPr="00615FCF">
        <w:t xml:space="preserve">Zdroj: </w:t>
      </w:r>
      <w:proofErr w:type="spellStart"/>
      <w:r w:rsidRPr="00615FCF">
        <w:t>MZe</w:t>
      </w:r>
      <w:proofErr w:type="spellEnd"/>
      <w:r w:rsidRPr="00615FCF">
        <w:t>, 2019 (6 kol žádostí pro opatření 6.4.1 a 6.4.2 v rámci PRV 2014-2020), vlastní zpracování</w:t>
      </w:r>
    </w:p>
    <w:p w14:paraId="7B631988" w14:textId="77777777" w:rsidR="00A14B9B" w:rsidRPr="00615FCF" w:rsidRDefault="00A14B9B" w:rsidP="00615FCF">
      <w:pPr>
        <w:pStyle w:val="UZEIZdroj"/>
      </w:pPr>
      <w:r w:rsidRPr="00615FCF">
        <w:t xml:space="preserve">*Pozn. Mezi kategorie patří ještě KZV 007 – nákup nemovitosti v souvislosti s projektem, která nebyla v souboru u žádné ze schválených žádostí uplatněna, proto není grafu uvedena.  </w:t>
      </w:r>
    </w:p>
    <w:p w14:paraId="23D77350" w14:textId="77777777" w:rsidR="00A14B9B" w:rsidRPr="00615FCF" w:rsidRDefault="00A14B9B" w:rsidP="00615FCF">
      <w:pPr>
        <w:pStyle w:val="UZEINormaln"/>
        <w:rPr>
          <w:b/>
          <w:bCs/>
        </w:rPr>
      </w:pPr>
      <w:r w:rsidRPr="00615FCF">
        <w:rPr>
          <w:b/>
          <w:bCs/>
        </w:rPr>
        <w:t>Klasifikace ekonomických činností u operace 6.4.2</w:t>
      </w:r>
    </w:p>
    <w:p w14:paraId="1B6F961D" w14:textId="77777777" w:rsidR="00A14B9B" w:rsidRPr="002A0D4F" w:rsidRDefault="00A14B9B" w:rsidP="00615FCF">
      <w:pPr>
        <w:pStyle w:val="UZEINormaln"/>
      </w:pPr>
      <w:r w:rsidRPr="002A0D4F">
        <w:t xml:space="preserve">U většiny žádostí v souboru nebyla uvedena kategorie NACE (73 %), u těch, u kterých uvedena byla, se vyskytovala jedna ze dvou kategorií, a to buď I55 ubytování, anebo R93 Sportovní, zábavní a rekreační činnost. </w:t>
      </w:r>
    </w:p>
    <w:p w14:paraId="0C484A6F" w14:textId="77777777" w:rsidR="00615FCF" w:rsidRDefault="00615FCF">
      <w:pPr>
        <w:spacing w:after="160" w:line="259" w:lineRule="auto"/>
        <w:jc w:val="left"/>
        <w:rPr>
          <w:rFonts w:eastAsia="Times New Roman" w:cs="Arial"/>
          <w:b/>
          <w:noProof/>
          <w:sz w:val="20"/>
          <w:szCs w:val="20"/>
          <w:lang w:val="cs-CZ" w:eastAsia="cs-CZ"/>
        </w:rPr>
      </w:pPr>
      <w:bookmarkStart w:id="614" w:name="_Toc25919893"/>
      <w:r>
        <w:br w:type="page"/>
      </w:r>
    </w:p>
    <w:p w14:paraId="4DC90D9E" w14:textId="1613AFB4" w:rsidR="00A14B9B" w:rsidRPr="00615FCF" w:rsidRDefault="00A14B9B" w:rsidP="00615FCF">
      <w:pPr>
        <w:pStyle w:val="UZEIObr"/>
      </w:pPr>
      <w:bookmarkStart w:id="615" w:name="_Toc81815432"/>
      <w:bookmarkStart w:id="616" w:name="_Toc81817637"/>
      <w:r w:rsidRPr="00615FCF">
        <w:lastRenderedPageBreak/>
        <w:t>Uvedené ekonomické činnosti u žádostí v operaci 6.4.2</w:t>
      </w:r>
      <w:bookmarkEnd w:id="614"/>
      <w:bookmarkEnd w:id="615"/>
      <w:bookmarkEnd w:id="616"/>
    </w:p>
    <w:p w14:paraId="351C3406" w14:textId="77777777" w:rsidR="00A14B9B" w:rsidRPr="002A0D4F" w:rsidRDefault="00A14B9B" w:rsidP="00A14B9B">
      <w:pPr>
        <w:rPr>
          <w:sz w:val="18"/>
          <w:szCs w:val="18"/>
          <w:lang w:val="cs-CZ"/>
        </w:rPr>
      </w:pPr>
      <w:r w:rsidRPr="002A0D4F">
        <w:rPr>
          <w:noProof/>
          <w:lang w:val="cs-CZ" w:eastAsia="cs-CZ"/>
        </w:rPr>
        <w:drawing>
          <wp:inline distT="0" distB="0" distL="0" distR="0" wp14:anchorId="467A1618" wp14:editId="54AE74C1">
            <wp:extent cx="2838202" cy="3161394"/>
            <wp:effectExtent l="0" t="0" r="635" b="1270"/>
            <wp:docPr id="1298632449" name="Obrázek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31"/>
                    <pic:cNvPicPr/>
                  </pic:nvPicPr>
                  <pic:blipFill>
                    <a:blip r:embed="rId106">
                      <a:extLst>
                        <a:ext uri="{28A0092B-C50C-407E-A947-70E740481C1C}">
                          <a14:useLocalDpi xmlns:a14="http://schemas.microsoft.com/office/drawing/2010/main" val="0"/>
                        </a:ext>
                      </a:extLst>
                    </a:blip>
                    <a:stretch>
                      <a:fillRect/>
                    </a:stretch>
                  </pic:blipFill>
                  <pic:spPr>
                    <a:xfrm>
                      <a:off x="0" y="0"/>
                      <a:ext cx="2838202" cy="3161394"/>
                    </a:xfrm>
                    <a:prstGeom prst="rect">
                      <a:avLst/>
                    </a:prstGeom>
                  </pic:spPr>
                </pic:pic>
              </a:graphicData>
            </a:graphic>
          </wp:inline>
        </w:drawing>
      </w:r>
    </w:p>
    <w:p w14:paraId="1604AAEA" w14:textId="77777777" w:rsidR="00A14B9B" w:rsidRPr="002A0D4F" w:rsidRDefault="00A14B9B" w:rsidP="00615FCF">
      <w:pPr>
        <w:pStyle w:val="UZEIZdroj"/>
      </w:pPr>
      <w:r w:rsidRPr="002A0D4F">
        <w:t xml:space="preserve">Zdroj: </w:t>
      </w:r>
      <w:proofErr w:type="spellStart"/>
      <w:r w:rsidRPr="002A0D4F">
        <w:t>MZe</w:t>
      </w:r>
      <w:proofErr w:type="spellEnd"/>
      <w:r w:rsidRPr="002A0D4F">
        <w:t>, 2019 (6 kol žádostí pro opatření 6.4.1 a 6.4.2 v rámci PRV 2014-2020), vlastní zpracování</w:t>
      </w:r>
    </w:p>
    <w:p w14:paraId="4C1D9997" w14:textId="77777777" w:rsidR="00A14B9B" w:rsidRPr="00615FCF" w:rsidRDefault="00A14B9B" w:rsidP="00615FCF">
      <w:pPr>
        <w:pStyle w:val="UZEINormaln"/>
        <w:rPr>
          <w:b/>
          <w:bCs/>
        </w:rPr>
      </w:pPr>
      <w:r w:rsidRPr="00615FCF">
        <w:rPr>
          <w:b/>
          <w:bCs/>
        </w:rPr>
        <w:t>4</w:t>
      </w:r>
      <w:r w:rsidRPr="00615FCF">
        <w:rPr>
          <w:b/>
          <w:bCs/>
          <w:sz w:val="18"/>
          <w:szCs w:val="18"/>
        </w:rPr>
        <w:t xml:space="preserve">. </w:t>
      </w:r>
      <w:r w:rsidRPr="00615FCF">
        <w:rPr>
          <w:b/>
          <w:bCs/>
        </w:rPr>
        <w:t>Diverzifikace u subjektů s lesními pozemky větších než 10 ha</w:t>
      </w:r>
    </w:p>
    <w:p w14:paraId="269A13BE" w14:textId="77777777" w:rsidR="00A14B9B" w:rsidRPr="002A0D4F" w:rsidRDefault="00A14B9B" w:rsidP="00615FCF">
      <w:pPr>
        <w:pStyle w:val="UZEINormaln"/>
      </w:pPr>
      <w:r w:rsidRPr="002A0D4F">
        <w:t xml:space="preserve">(výběr ze souboru schválených žádostí) </w:t>
      </w:r>
    </w:p>
    <w:p w14:paraId="7FF42A59" w14:textId="77777777" w:rsidR="00A14B9B" w:rsidRPr="00615FCF" w:rsidRDefault="00A14B9B" w:rsidP="00615FCF">
      <w:pPr>
        <w:pStyle w:val="UZEINormaln"/>
        <w:rPr>
          <w:b/>
          <w:bCs/>
        </w:rPr>
      </w:pPr>
      <w:r w:rsidRPr="00615FCF">
        <w:rPr>
          <w:b/>
          <w:bCs/>
        </w:rPr>
        <w:t>Popis souboru:</w:t>
      </w:r>
    </w:p>
    <w:p w14:paraId="55099FBA" w14:textId="77777777" w:rsidR="00A14B9B" w:rsidRPr="002A0D4F" w:rsidRDefault="00A14B9B" w:rsidP="00615FCF">
      <w:pPr>
        <w:pStyle w:val="UZEIOdrky"/>
      </w:pPr>
      <w:r w:rsidRPr="002A0D4F">
        <w:t>V původním souboru schválených žádostí bylo vyčísleno 761, které odpovídaly stanoveným kritériím.</w:t>
      </w:r>
    </w:p>
    <w:p w14:paraId="6D418519" w14:textId="77777777" w:rsidR="00A14B9B" w:rsidRPr="002A0D4F" w:rsidRDefault="00A14B9B" w:rsidP="00615FCF">
      <w:pPr>
        <w:pStyle w:val="UZEIOdrky"/>
      </w:pPr>
      <w:r w:rsidRPr="002A0D4F">
        <w:t xml:space="preserve">Z tohoto souboru byly dále vybrány jen žádosti, u kterých je výměra lesních pozemků větší než 10 ha. Těmto vybraným žádostem se podrobněji věnuje následující část. </w:t>
      </w:r>
    </w:p>
    <w:p w14:paraId="059C0AD2" w14:textId="77777777" w:rsidR="00A14B9B" w:rsidRPr="00615FCF" w:rsidRDefault="00A14B9B" w:rsidP="00615FCF">
      <w:pPr>
        <w:pStyle w:val="UZEINormaln"/>
        <w:rPr>
          <w:b/>
          <w:bCs/>
        </w:rPr>
      </w:pPr>
      <w:r w:rsidRPr="00615FCF">
        <w:rPr>
          <w:b/>
          <w:bCs/>
        </w:rPr>
        <w:t xml:space="preserve">Popis souboru – subjekty s lesními pozemky většími než 10 ha </w:t>
      </w:r>
    </w:p>
    <w:p w14:paraId="4E57BBC8" w14:textId="77777777" w:rsidR="00A14B9B" w:rsidRPr="002A0D4F" w:rsidRDefault="00A14B9B" w:rsidP="00615FCF">
      <w:pPr>
        <w:pStyle w:val="UZEIOdrky"/>
      </w:pPr>
      <w:r w:rsidRPr="002A0D4F">
        <w:t xml:space="preserve">u </w:t>
      </w:r>
      <w:r w:rsidRPr="002A0D4F">
        <w:rPr>
          <w:u w:val="single"/>
        </w:rPr>
        <w:t>80 žádostí</w:t>
      </w:r>
      <w:r w:rsidRPr="002A0D4F">
        <w:t xml:space="preserve"> byla výměra půdy větší než 10 ha (80 projektů neznamená 80 žádajících subjektů, některými podniky bylo totiž podáno více žádostí)</w:t>
      </w:r>
    </w:p>
    <w:p w14:paraId="16CBC8EA" w14:textId="77777777" w:rsidR="00A14B9B" w:rsidRPr="002A0D4F" w:rsidRDefault="00A14B9B" w:rsidP="00615FCF">
      <w:pPr>
        <w:pStyle w:val="UZEIOdrky"/>
      </w:pPr>
      <w:r w:rsidRPr="002A0D4F">
        <w:t>Celkově bylo více žádostí podáno fyzickými osobami (51) než právnickými osobami (29)</w:t>
      </w:r>
    </w:p>
    <w:p w14:paraId="22E78A02" w14:textId="77777777" w:rsidR="00A14B9B" w:rsidRPr="002A0D4F" w:rsidRDefault="00A14B9B" w:rsidP="00615FCF">
      <w:pPr>
        <w:pStyle w:val="UZEIOdrky"/>
      </w:pPr>
      <w:r w:rsidRPr="002A0D4F">
        <w:t>Více projektů bylo podáno u operace 6.4.1 než u 6.4.2</w:t>
      </w:r>
    </w:p>
    <w:p w14:paraId="27A62FC4" w14:textId="77777777" w:rsidR="00A14B9B" w:rsidRPr="002A0D4F" w:rsidRDefault="00A14B9B" w:rsidP="00615FCF">
      <w:pPr>
        <w:pStyle w:val="UZEIOdrky"/>
      </w:pPr>
      <w:r w:rsidRPr="002A0D4F">
        <w:t>U operace 6.4.1 i 6.4.2 bylo více než 60 % žádostí podáno fyzickými osobami</w:t>
      </w:r>
    </w:p>
    <w:p w14:paraId="2D833F28" w14:textId="77777777" w:rsidR="00A14B9B" w:rsidRPr="002A0D4F" w:rsidRDefault="00A14B9B" w:rsidP="00615FCF">
      <w:pPr>
        <w:pStyle w:val="UZEIOdrky"/>
        <w:rPr>
          <w:u w:val="single"/>
        </w:rPr>
      </w:pPr>
      <w:r w:rsidRPr="002A0D4F">
        <w:t xml:space="preserve">V rámci operace </w:t>
      </w:r>
      <w:r w:rsidRPr="002A0D4F">
        <w:rPr>
          <w:u w:val="single"/>
        </w:rPr>
        <w:t>6.4.1</w:t>
      </w:r>
      <w:r w:rsidRPr="002A0D4F">
        <w:t xml:space="preserve"> se jednalo celkem o </w:t>
      </w:r>
      <w:r w:rsidRPr="002A0D4F">
        <w:rPr>
          <w:u w:val="single"/>
        </w:rPr>
        <w:t>62 žádostí</w:t>
      </w:r>
    </w:p>
    <w:p w14:paraId="1F1AA9EA" w14:textId="77777777" w:rsidR="00A14B9B" w:rsidRPr="002A0D4F" w:rsidRDefault="00A14B9B" w:rsidP="00615FCF">
      <w:pPr>
        <w:pStyle w:val="UZEIOdrky"/>
        <w:rPr>
          <w:u w:val="single"/>
        </w:rPr>
      </w:pPr>
      <w:r w:rsidRPr="002A0D4F">
        <w:t xml:space="preserve">V rámci operace </w:t>
      </w:r>
      <w:r w:rsidRPr="002A0D4F">
        <w:rPr>
          <w:u w:val="single"/>
        </w:rPr>
        <w:t xml:space="preserve">6.4.2 </w:t>
      </w:r>
      <w:r w:rsidRPr="002A0D4F">
        <w:t xml:space="preserve">se jednalo o </w:t>
      </w:r>
      <w:r w:rsidRPr="002A0D4F">
        <w:rPr>
          <w:u w:val="single"/>
        </w:rPr>
        <w:t xml:space="preserve">18 žádostí </w:t>
      </w:r>
    </w:p>
    <w:p w14:paraId="46F16CF0" w14:textId="25FD4874" w:rsidR="00A14B9B" w:rsidRPr="00615FCF" w:rsidRDefault="00615FCF" w:rsidP="00615FCF">
      <w:pPr>
        <w:pStyle w:val="UZEITaB"/>
      </w:pPr>
      <w:bookmarkStart w:id="617" w:name="_Toc25920022"/>
      <w:r>
        <w:t xml:space="preserve"> </w:t>
      </w:r>
      <w:bookmarkStart w:id="618" w:name="_Toc81815345"/>
      <w:bookmarkStart w:id="619" w:name="_Toc81817023"/>
      <w:bookmarkStart w:id="620" w:name="_Toc81817536"/>
      <w:r w:rsidR="00A14B9B" w:rsidRPr="00615FCF">
        <w:t>Počet žádostí u operací 6.4.1 a 6.4.2</w:t>
      </w:r>
      <w:bookmarkEnd w:id="617"/>
      <w:bookmarkEnd w:id="618"/>
      <w:bookmarkEnd w:id="619"/>
      <w:bookmarkEnd w:id="620"/>
    </w:p>
    <w:p w14:paraId="36ED1D36" w14:textId="77777777" w:rsidR="00A14B9B" w:rsidRPr="002A0D4F" w:rsidRDefault="00A14B9B" w:rsidP="00615FCF">
      <w:pPr>
        <w:pStyle w:val="UZEIZdroj"/>
      </w:pPr>
      <w:r w:rsidRPr="002A0D4F">
        <w:rPr>
          <w:noProof/>
          <w:lang w:eastAsia="cs-CZ"/>
        </w:rPr>
        <w:drawing>
          <wp:inline distT="0" distB="0" distL="0" distR="0" wp14:anchorId="43C1E861" wp14:editId="7B19C61C">
            <wp:extent cx="2502708" cy="723900"/>
            <wp:effectExtent l="0" t="0" r="0" b="0"/>
            <wp:docPr id="8" name="Obráze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2567795" cy="742726"/>
                    </a:xfrm>
                    <a:prstGeom prst="rect">
                      <a:avLst/>
                    </a:prstGeom>
                    <a:noFill/>
                    <a:ln>
                      <a:noFill/>
                    </a:ln>
                  </pic:spPr>
                </pic:pic>
              </a:graphicData>
            </a:graphic>
          </wp:inline>
        </w:drawing>
      </w:r>
      <w:r w:rsidRPr="002A0D4F">
        <w:br/>
        <w:t xml:space="preserve">Zdroj: </w:t>
      </w:r>
      <w:proofErr w:type="spellStart"/>
      <w:r w:rsidRPr="002A0D4F">
        <w:t>MZe</w:t>
      </w:r>
      <w:proofErr w:type="spellEnd"/>
      <w:r w:rsidRPr="002A0D4F">
        <w:t>, 2019, vlastní zpracování</w:t>
      </w:r>
    </w:p>
    <w:p w14:paraId="5F344AC0" w14:textId="77777777" w:rsidR="00A14B9B" w:rsidRPr="002A0D4F" w:rsidRDefault="00A14B9B" w:rsidP="00615FCF">
      <w:pPr>
        <w:pStyle w:val="UZEIOdrky"/>
        <w:rPr>
          <w:u w:val="single"/>
        </w:rPr>
      </w:pPr>
      <w:r w:rsidRPr="002A0D4F">
        <w:t xml:space="preserve">Z kraje Vysočina a Jihočeského pocházelo více než 50 % všech </w:t>
      </w:r>
    </w:p>
    <w:p w14:paraId="7424A088" w14:textId="77777777" w:rsidR="00A14B9B" w:rsidRPr="002A0D4F" w:rsidRDefault="00A14B9B" w:rsidP="00615FCF">
      <w:pPr>
        <w:pStyle w:val="UZEIOdrky"/>
        <w:rPr>
          <w:u w:val="single"/>
        </w:rPr>
      </w:pPr>
      <w:r w:rsidRPr="002A0D4F">
        <w:t>Žádný projekt nebyl podán v Libereckém kraji, ve čtyřech krajích bylo pak podáno po jednom projektu</w:t>
      </w:r>
    </w:p>
    <w:p w14:paraId="046C9C5B" w14:textId="298EB7FD" w:rsidR="00A14B9B" w:rsidRPr="00B13D9B" w:rsidRDefault="00B13D9B" w:rsidP="00B13D9B">
      <w:pPr>
        <w:pStyle w:val="UZEITaB"/>
      </w:pPr>
      <w:bookmarkStart w:id="621" w:name="_Toc25920023"/>
      <w:r>
        <w:lastRenderedPageBreak/>
        <w:t xml:space="preserve"> </w:t>
      </w:r>
      <w:r w:rsidRPr="00B13D9B">
        <w:t xml:space="preserve"> </w:t>
      </w:r>
      <w:bookmarkStart w:id="622" w:name="_Toc81815346"/>
      <w:bookmarkStart w:id="623" w:name="_Toc81817024"/>
      <w:bookmarkStart w:id="624" w:name="_Toc81817537"/>
      <w:r w:rsidR="00A14B9B" w:rsidRPr="00B13D9B">
        <w:t>Počet žádostí dle krajů</w:t>
      </w:r>
      <w:bookmarkEnd w:id="621"/>
      <w:bookmarkEnd w:id="622"/>
      <w:bookmarkEnd w:id="623"/>
      <w:bookmarkEnd w:id="624"/>
      <w:r w:rsidR="00A14B9B" w:rsidRPr="00B13D9B">
        <w:t xml:space="preserve"> </w:t>
      </w:r>
    </w:p>
    <w:p w14:paraId="55B6FF29" w14:textId="77777777" w:rsidR="00A14B9B" w:rsidRPr="002A0D4F" w:rsidRDefault="00A14B9B" w:rsidP="00A14B9B">
      <w:pPr>
        <w:rPr>
          <w:szCs w:val="24"/>
          <w:lang w:val="cs-CZ"/>
        </w:rPr>
      </w:pPr>
      <w:r w:rsidRPr="002A0D4F">
        <w:rPr>
          <w:noProof/>
          <w:szCs w:val="24"/>
          <w:lang w:val="cs-CZ" w:eastAsia="cs-CZ"/>
        </w:rPr>
        <w:drawing>
          <wp:inline distT="0" distB="0" distL="0" distR="0" wp14:anchorId="7813B1BF" wp14:editId="2696D91C">
            <wp:extent cx="2512612" cy="2400442"/>
            <wp:effectExtent l="0" t="0" r="2540" b="0"/>
            <wp:docPr id="21" name="Obráze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2571023" cy="2456245"/>
                    </a:xfrm>
                    <a:prstGeom prst="rect">
                      <a:avLst/>
                    </a:prstGeom>
                    <a:noFill/>
                    <a:ln>
                      <a:noFill/>
                    </a:ln>
                  </pic:spPr>
                </pic:pic>
              </a:graphicData>
            </a:graphic>
          </wp:inline>
        </w:drawing>
      </w:r>
    </w:p>
    <w:p w14:paraId="6867B942" w14:textId="77777777" w:rsidR="00A14B9B" w:rsidRPr="002A0D4F" w:rsidRDefault="00A14B9B" w:rsidP="00B13D9B">
      <w:pPr>
        <w:pStyle w:val="UZEIZdroj"/>
      </w:pPr>
      <w:r w:rsidRPr="002A0D4F">
        <w:t xml:space="preserve">Zdroj: </w:t>
      </w:r>
      <w:proofErr w:type="spellStart"/>
      <w:r w:rsidRPr="002A0D4F">
        <w:t>MZe</w:t>
      </w:r>
      <w:proofErr w:type="spellEnd"/>
      <w:r w:rsidRPr="002A0D4F">
        <w:t>, 2019, vlastní zpracování</w:t>
      </w:r>
    </w:p>
    <w:p w14:paraId="6B3C3726" w14:textId="77777777" w:rsidR="00A14B9B" w:rsidRPr="00B13D9B" w:rsidRDefault="00A14B9B" w:rsidP="00B13D9B">
      <w:pPr>
        <w:pStyle w:val="UZEINormaln"/>
        <w:rPr>
          <w:b/>
          <w:bCs/>
        </w:rPr>
      </w:pPr>
      <w:r w:rsidRPr="00B13D9B">
        <w:rPr>
          <w:b/>
          <w:bCs/>
        </w:rPr>
        <w:t xml:space="preserve">Žádost podle velikosti podniku  </w:t>
      </w:r>
    </w:p>
    <w:p w14:paraId="001CA405" w14:textId="77777777" w:rsidR="00A14B9B" w:rsidRPr="002A0D4F" w:rsidRDefault="00A14B9B" w:rsidP="00B13D9B">
      <w:pPr>
        <w:pStyle w:val="UZEIOdrky"/>
      </w:pPr>
      <w:r w:rsidRPr="002A0D4F">
        <w:t>Nejvíce žádostí bylo podáno mikro podniky (66 %) a malými podniky (20 %), což tvoří 86 % všech žádostí, které byly podány podniky s lesní půdou více než 10 ha</w:t>
      </w:r>
    </w:p>
    <w:p w14:paraId="65CD06FE" w14:textId="77777777" w:rsidR="00A14B9B" w:rsidRPr="002A0D4F" w:rsidRDefault="00A14B9B" w:rsidP="00B13D9B">
      <w:pPr>
        <w:pStyle w:val="UZEIOdrky"/>
      </w:pPr>
      <w:r w:rsidRPr="002A0D4F">
        <w:t>Naopak u kategorie velkých podniků se jednalo jen o dva projekty u obou operací</w:t>
      </w:r>
    </w:p>
    <w:p w14:paraId="510D0C95" w14:textId="70592521" w:rsidR="00A14B9B" w:rsidRPr="00B13D9B" w:rsidRDefault="00A14B9B" w:rsidP="00B13D9B">
      <w:pPr>
        <w:pStyle w:val="UZEIObr"/>
      </w:pPr>
      <w:bookmarkStart w:id="625" w:name="_Toc25919894"/>
      <w:bookmarkStart w:id="626" w:name="_Toc81815433"/>
      <w:bookmarkStart w:id="627" w:name="_Toc81817638"/>
      <w:r w:rsidRPr="00B13D9B">
        <w:t>Žádosti podle velikosti podniku</w:t>
      </w:r>
      <w:bookmarkEnd w:id="625"/>
      <w:bookmarkEnd w:id="626"/>
      <w:bookmarkEnd w:id="627"/>
    </w:p>
    <w:p w14:paraId="7CA89E6C" w14:textId="77777777" w:rsidR="00A14B9B" w:rsidRPr="002A0D4F" w:rsidRDefault="00A14B9B" w:rsidP="00B13D9B">
      <w:pPr>
        <w:pStyle w:val="UZEIZdroj"/>
        <w:rPr>
          <w:b/>
        </w:rPr>
      </w:pPr>
      <w:r w:rsidRPr="002A0D4F">
        <w:rPr>
          <w:noProof/>
          <w:lang w:eastAsia="cs-CZ"/>
        </w:rPr>
        <w:drawing>
          <wp:inline distT="0" distB="0" distL="0" distR="0" wp14:anchorId="0413DBC5" wp14:editId="08E2CAD1">
            <wp:extent cx="3764478" cy="2982591"/>
            <wp:effectExtent l="0" t="0" r="7620" b="8890"/>
            <wp:docPr id="783224005" name="Obráze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2"/>
                    <pic:cNvPicPr/>
                  </pic:nvPicPr>
                  <pic:blipFill>
                    <a:blip r:embed="rId109">
                      <a:extLst>
                        <a:ext uri="{28A0092B-C50C-407E-A947-70E740481C1C}">
                          <a14:useLocalDpi xmlns:a14="http://schemas.microsoft.com/office/drawing/2010/main" val="0"/>
                        </a:ext>
                      </a:extLst>
                    </a:blip>
                    <a:stretch>
                      <a:fillRect/>
                    </a:stretch>
                  </pic:blipFill>
                  <pic:spPr>
                    <a:xfrm>
                      <a:off x="0" y="0"/>
                      <a:ext cx="3764478" cy="2982591"/>
                    </a:xfrm>
                    <a:prstGeom prst="rect">
                      <a:avLst/>
                    </a:prstGeom>
                  </pic:spPr>
                </pic:pic>
              </a:graphicData>
            </a:graphic>
          </wp:inline>
        </w:drawing>
      </w:r>
      <w:r w:rsidRPr="002A0D4F">
        <w:br/>
        <w:t xml:space="preserve">Zdroj: </w:t>
      </w:r>
      <w:proofErr w:type="spellStart"/>
      <w:r w:rsidRPr="002A0D4F">
        <w:t>MZe</w:t>
      </w:r>
      <w:proofErr w:type="spellEnd"/>
      <w:r w:rsidRPr="002A0D4F">
        <w:t>, 2019, vlastní zpracování</w:t>
      </w:r>
    </w:p>
    <w:p w14:paraId="0523E4D3" w14:textId="77777777" w:rsidR="00A14B9B" w:rsidRPr="00B13D9B" w:rsidRDefault="00A14B9B" w:rsidP="00B13D9B">
      <w:pPr>
        <w:pStyle w:val="UZEINormaln"/>
        <w:rPr>
          <w:b/>
          <w:bCs/>
        </w:rPr>
      </w:pPr>
      <w:r w:rsidRPr="00B13D9B">
        <w:rPr>
          <w:b/>
          <w:bCs/>
        </w:rPr>
        <w:t>Rozdělení podle podniků</w:t>
      </w:r>
    </w:p>
    <w:p w14:paraId="4D0E14BF" w14:textId="77777777" w:rsidR="00A14B9B" w:rsidRPr="002A0D4F" w:rsidRDefault="00A14B9B" w:rsidP="00B13D9B">
      <w:pPr>
        <w:pStyle w:val="UZEIOdrky"/>
      </w:pPr>
      <w:r w:rsidRPr="002A0D4F">
        <w:t>z celkového počtu 61 podniků je jich 22 právnických osobu (PO, 36 %) a 39 fyzických osob (FO,64 %)</w:t>
      </w:r>
    </w:p>
    <w:p w14:paraId="303EAFAA" w14:textId="77777777" w:rsidR="00A14B9B" w:rsidRPr="002A0D4F" w:rsidRDefault="00A14B9B" w:rsidP="00B13D9B">
      <w:pPr>
        <w:pStyle w:val="UZEIOdrky"/>
      </w:pPr>
      <w:r w:rsidRPr="002A0D4F">
        <w:t>Celková výměra lesních pozemků je u PO vyšší než u FO</w:t>
      </w:r>
    </w:p>
    <w:p w14:paraId="6FE5E326" w14:textId="77777777" w:rsidR="00A14B9B" w:rsidRPr="002A0D4F" w:rsidRDefault="00A14B9B" w:rsidP="00B13D9B">
      <w:pPr>
        <w:pStyle w:val="UZEIOdrky"/>
      </w:pPr>
      <w:r w:rsidRPr="002A0D4F">
        <w:t>Avšak u PO je výsledek zkreslen jedním podnikem, který hospodaří na 10 266,45 ha (92 % z celkové výměry PO), což je i maximální výměra lesních pozemků u PO v souboru</w:t>
      </w:r>
    </w:p>
    <w:p w14:paraId="61481333" w14:textId="77777777" w:rsidR="00A14B9B" w:rsidRPr="002A0D4F" w:rsidRDefault="00A14B9B" w:rsidP="00B13D9B">
      <w:pPr>
        <w:pStyle w:val="UZEIOdrky"/>
      </w:pPr>
      <w:r w:rsidRPr="002A0D4F">
        <w:lastRenderedPageBreak/>
        <w:t>U FO je pak maximální výměra 1130 ha, což tvoří skoro 47 % z celkové výměry podniků FO</w:t>
      </w:r>
    </w:p>
    <w:p w14:paraId="4636DB43" w14:textId="5DD4D1FE" w:rsidR="00A14B9B" w:rsidRPr="00B13D9B" w:rsidRDefault="00B13D9B" w:rsidP="00B13D9B">
      <w:pPr>
        <w:pStyle w:val="UZEITaB"/>
      </w:pPr>
      <w:bookmarkStart w:id="628" w:name="_Toc25920024"/>
      <w:r w:rsidRPr="00B13D9B">
        <w:t xml:space="preserve"> </w:t>
      </w:r>
      <w:bookmarkStart w:id="629" w:name="_Toc81815347"/>
      <w:bookmarkStart w:id="630" w:name="_Toc81817025"/>
      <w:bookmarkStart w:id="631" w:name="_Toc81817538"/>
      <w:r w:rsidR="00A14B9B" w:rsidRPr="00B13D9B">
        <w:t>Výměra lesních pozemků</w:t>
      </w:r>
      <w:bookmarkEnd w:id="628"/>
      <w:bookmarkEnd w:id="629"/>
      <w:bookmarkEnd w:id="630"/>
      <w:bookmarkEnd w:id="631"/>
    </w:p>
    <w:p w14:paraId="41866DA2" w14:textId="77777777" w:rsidR="00A14B9B" w:rsidRPr="002A0D4F" w:rsidRDefault="00A14B9B" w:rsidP="00A14B9B">
      <w:pPr>
        <w:rPr>
          <w:szCs w:val="24"/>
          <w:lang w:val="cs-CZ"/>
        </w:rPr>
      </w:pPr>
      <w:r w:rsidRPr="002A0D4F">
        <w:rPr>
          <w:noProof/>
          <w:lang w:val="cs-CZ" w:eastAsia="cs-CZ"/>
        </w:rPr>
        <w:drawing>
          <wp:inline distT="0" distB="0" distL="0" distR="0" wp14:anchorId="7F8B7AE1" wp14:editId="2D034CF2">
            <wp:extent cx="3067140" cy="800100"/>
            <wp:effectExtent l="0" t="0" r="0" b="0"/>
            <wp:docPr id="23" name="Obráze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3155450" cy="823137"/>
                    </a:xfrm>
                    <a:prstGeom prst="rect">
                      <a:avLst/>
                    </a:prstGeom>
                    <a:noFill/>
                    <a:ln>
                      <a:noFill/>
                    </a:ln>
                  </pic:spPr>
                </pic:pic>
              </a:graphicData>
            </a:graphic>
          </wp:inline>
        </w:drawing>
      </w:r>
    </w:p>
    <w:p w14:paraId="5D28C6F4" w14:textId="77777777" w:rsidR="00A14B9B" w:rsidRPr="002A0D4F" w:rsidRDefault="00A14B9B" w:rsidP="00B13D9B">
      <w:pPr>
        <w:pStyle w:val="UZEIZdroj"/>
      </w:pPr>
      <w:r w:rsidRPr="002A0D4F">
        <w:t xml:space="preserve">Zdroj: </w:t>
      </w:r>
      <w:proofErr w:type="spellStart"/>
      <w:r w:rsidRPr="002A0D4F">
        <w:t>MZe</w:t>
      </w:r>
      <w:proofErr w:type="spellEnd"/>
      <w:r w:rsidRPr="002A0D4F">
        <w:t>, 2019, vlastní zpracování</w:t>
      </w:r>
    </w:p>
    <w:p w14:paraId="4AA43C7E" w14:textId="77777777" w:rsidR="00A14B9B" w:rsidRPr="00B13D9B" w:rsidRDefault="00A14B9B" w:rsidP="00B13D9B">
      <w:pPr>
        <w:pStyle w:val="UZEINormaln"/>
        <w:rPr>
          <w:b/>
          <w:bCs/>
        </w:rPr>
      </w:pPr>
      <w:r w:rsidRPr="00B13D9B">
        <w:rPr>
          <w:b/>
          <w:bCs/>
        </w:rPr>
        <w:t>Podniky – lesní (více než 10) a zemědělské půda</w:t>
      </w:r>
    </w:p>
    <w:p w14:paraId="19B197F3" w14:textId="77777777" w:rsidR="00A14B9B" w:rsidRPr="002A0D4F" w:rsidRDefault="00A14B9B" w:rsidP="00B13D9B">
      <w:pPr>
        <w:pStyle w:val="UZEIOdrky"/>
      </w:pPr>
      <w:r w:rsidRPr="002A0D4F">
        <w:t xml:space="preserve">12 podniků s lesními pozemky vetší než 10 ha, nemá žádnou zemědělskou půdu </w:t>
      </w:r>
    </w:p>
    <w:p w14:paraId="4D1F15E6" w14:textId="77777777" w:rsidR="00A14B9B" w:rsidRPr="002A0D4F" w:rsidRDefault="00A14B9B" w:rsidP="00B13D9B">
      <w:pPr>
        <w:pStyle w:val="UZEIOdrky"/>
      </w:pPr>
      <w:r w:rsidRPr="002A0D4F">
        <w:t xml:space="preserve">Další 2 podniky mají jen necelý hektar zemědělské půdy (bráno podle toho, co bylo uvedeno u schválených projektů) </w:t>
      </w:r>
    </w:p>
    <w:p w14:paraId="3C98037A" w14:textId="77777777" w:rsidR="00A14B9B" w:rsidRPr="002A0D4F" w:rsidRDefault="00A14B9B" w:rsidP="00B13D9B">
      <w:pPr>
        <w:pStyle w:val="UZEIOdrky"/>
      </w:pPr>
      <w:r w:rsidRPr="002A0D4F">
        <w:t xml:space="preserve">U některých podniků, u kterých je evidováno více projektů, je uvedena rozdílná výměra </w:t>
      </w:r>
    </w:p>
    <w:p w14:paraId="2027BE40" w14:textId="669CD1D2" w:rsidR="00A14B9B" w:rsidRPr="00B13D9B" w:rsidRDefault="00B13D9B" w:rsidP="00B13D9B">
      <w:pPr>
        <w:pStyle w:val="UZEITaB"/>
      </w:pPr>
      <w:bookmarkStart w:id="632" w:name="_Toc25920025"/>
      <w:r w:rsidRPr="00B13D9B">
        <w:t xml:space="preserve"> </w:t>
      </w:r>
      <w:bookmarkStart w:id="633" w:name="_Toc81815348"/>
      <w:bookmarkStart w:id="634" w:name="_Toc81817026"/>
      <w:bookmarkStart w:id="635" w:name="_Toc81817539"/>
      <w:r w:rsidR="00A14B9B" w:rsidRPr="00B13D9B">
        <w:t>Výměra zemědělské půdy</w:t>
      </w:r>
      <w:bookmarkEnd w:id="632"/>
      <w:bookmarkEnd w:id="633"/>
      <w:bookmarkEnd w:id="634"/>
      <w:bookmarkEnd w:id="635"/>
    </w:p>
    <w:p w14:paraId="2FBA4DCE" w14:textId="77777777" w:rsidR="00A14B9B" w:rsidRPr="002A0D4F" w:rsidRDefault="00A14B9B" w:rsidP="00B13D9B">
      <w:pPr>
        <w:pStyle w:val="UZEIZdroj"/>
      </w:pPr>
      <w:r w:rsidRPr="002A0D4F">
        <w:rPr>
          <w:noProof/>
          <w:lang w:eastAsia="cs-CZ"/>
        </w:rPr>
        <w:drawing>
          <wp:inline distT="0" distB="0" distL="0" distR="0" wp14:anchorId="0DFC5378" wp14:editId="65F44B68">
            <wp:extent cx="3057525" cy="802102"/>
            <wp:effectExtent l="0" t="0" r="0" b="0"/>
            <wp:docPr id="24" name="Obráze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3173962" cy="832648"/>
                    </a:xfrm>
                    <a:prstGeom prst="rect">
                      <a:avLst/>
                    </a:prstGeom>
                    <a:noFill/>
                    <a:ln>
                      <a:noFill/>
                    </a:ln>
                  </pic:spPr>
                </pic:pic>
              </a:graphicData>
            </a:graphic>
          </wp:inline>
        </w:drawing>
      </w:r>
      <w:r w:rsidRPr="002A0D4F">
        <w:br/>
        <w:t xml:space="preserve">Zdroj: </w:t>
      </w:r>
      <w:proofErr w:type="spellStart"/>
      <w:r w:rsidRPr="002A0D4F">
        <w:t>MZe</w:t>
      </w:r>
      <w:proofErr w:type="spellEnd"/>
      <w:r w:rsidRPr="002A0D4F">
        <w:t>, 2019, vlastní zpracování</w:t>
      </w:r>
    </w:p>
    <w:p w14:paraId="1947A64A" w14:textId="77777777" w:rsidR="00A14B9B" w:rsidRPr="00B13D9B" w:rsidRDefault="00A14B9B" w:rsidP="00B13D9B">
      <w:pPr>
        <w:pStyle w:val="UZEINormaln"/>
        <w:rPr>
          <w:b/>
          <w:bCs/>
        </w:rPr>
      </w:pPr>
      <w:r w:rsidRPr="00B13D9B">
        <w:rPr>
          <w:b/>
          <w:bCs/>
        </w:rPr>
        <w:t>Podniky podle kraje, ve kterém se nachází</w:t>
      </w:r>
    </w:p>
    <w:p w14:paraId="6CC31F2D" w14:textId="77777777" w:rsidR="00A14B9B" w:rsidRPr="002A0D4F" w:rsidRDefault="00A14B9B" w:rsidP="00B13D9B">
      <w:pPr>
        <w:pStyle w:val="UZEIOdrky"/>
        <w:rPr>
          <w:b/>
        </w:rPr>
      </w:pPr>
      <w:r w:rsidRPr="00B13D9B">
        <w:rPr>
          <w:rStyle w:val="UZEIOdrkyChar"/>
        </w:rPr>
        <w:t>Jihočeský kraj (15) a kraj Vysočina (16) nejvíce projektů jak u FO, tak u PO. Třetí kraj, ve kterém bylo podáno nejvíce žádostí, je kraj Středočeský</w:t>
      </w:r>
      <w:r w:rsidRPr="002A0D4F">
        <w:t>.</w:t>
      </w:r>
    </w:p>
    <w:p w14:paraId="6FAA3D3B" w14:textId="0DF2BC9B" w:rsidR="00A14B9B" w:rsidRPr="00B13D9B" w:rsidRDefault="00B13D9B" w:rsidP="00B13D9B">
      <w:pPr>
        <w:pStyle w:val="UZEITaB"/>
      </w:pPr>
      <w:bookmarkStart w:id="636" w:name="_Toc25920026"/>
      <w:r w:rsidRPr="00B13D9B">
        <w:t xml:space="preserve"> </w:t>
      </w:r>
      <w:bookmarkStart w:id="637" w:name="_Toc81815349"/>
      <w:bookmarkStart w:id="638" w:name="_Toc81817027"/>
      <w:bookmarkStart w:id="639" w:name="_Toc81817540"/>
      <w:r w:rsidR="00A14B9B" w:rsidRPr="00B13D9B">
        <w:t>Počet žádostí dle krajů</w:t>
      </w:r>
      <w:bookmarkEnd w:id="636"/>
      <w:bookmarkEnd w:id="637"/>
      <w:bookmarkEnd w:id="638"/>
      <w:bookmarkEnd w:id="639"/>
      <w:r w:rsidR="00A14B9B" w:rsidRPr="00B13D9B">
        <w:t xml:space="preserve"> </w:t>
      </w:r>
    </w:p>
    <w:p w14:paraId="70FBF7B7" w14:textId="77777777" w:rsidR="00A14B9B" w:rsidRPr="002A0D4F" w:rsidRDefault="00A14B9B" w:rsidP="00B13D9B">
      <w:pPr>
        <w:pStyle w:val="UZEIZdroj"/>
      </w:pPr>
      <w:r w:rsidRPr="002A0D4F">
        <w:rPr>
          <w:noProof/>
          <w:lang w:eastAsia="cs-CZ"/>
        </w:rPr>
        <w:drawing>
          <wp:inline distT="0" distB="0" distL="0" distR="0" wp14:anchorId="3805BA82" wp14:editId="4ED0E771">
            <wp:extent cx="2604211" cy="2137984"/>
            <wp:effectExtent l="0" t="0" r="5715" b="0"/>
            <wp:docPr id="25" name="Obráze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2648603" cy="2174429"/>
                    </a:xfrm>
                    <a:prstGeom prst="rect">
                      <a:avLst/>
                    </a:prstGeom>
                    <a:noFill/>
                    <a:ln>
                      <a:noFill/>
                    </a:ln>
                  </pic:spPr>
                </pic:pic>
              </a:graphicData>
            </a:graphic>
          </wp:inline>
        </w:drawing>
      </w:r>
      <w:r w:rsidRPr="002A0D4F">
        <w:br/>
        <w:t xml:space="preserve">Zdroj: </w:t>
      </w:r>
      <w:proofErr w:type="spellStart"/>
      <w:r w:rsidRPr="002A0D4F">
        <w:t>MZe</w:t>
      </w:r>
      <w:proofErr w:type="spellEnd"/>
      <w:r w:rsidRPr="002A0D4F">
        <w:t>, 2019, vlastní zpracování</w:t>
      </w:r>
    </w:p>
    <w:p w14:paraId="7E0B2AF0" w14:textId="77777777" w:rsidR="00A14B9B" w:rsidRPr="00B13D9B" w:rsidRDefault="00A14B9B" w:rsidP="00B13D9B">
      <w:pPr>
        <w:pStyle w:val="UZEINormaln"/>
        <w:rPr>
          <w:b/>
          <w:bCs/>
        </w:rPr>
      </w:pPr>
      <w:r w:rsidRPr="00B13D9B">
        <w:rPr>
          <w:b/>
          <w:bCs/>
        </w:rPr>
        <w:t>Výsledky k operaci 6.4.1 Investice do nezemědělských činností</w:t>
      </w:r>
    </w:p>
    <w:p w14:paraId="0D7B2E87" w14:textId="77777777" w:rsidR="00A14B9B" w:rsidRPr="002A0D4F" w:rsidRDefault="00A14B9B" w:rsidP="00B13D9B">
      <w:pPr>
        <w:pStyle w:val="UZEINormaln"/>
      </w:pPr>
      <w:r w:rsidRPr="002A0D4F">
        <w:t xml:space="preserve">V rámci operace 6.4.1 bylo identifikováno 62 žádostí, ze kterých bylo 40 podáno fyzickými osobami a 22 právnickými osobami.  Tedy více než dvě třetiny žádostí připadají na fyzické osoby. Podle velikostní kategorie žádajících subjektů převládají mikro podniky nad všemi ostatními typy. Z kategorie velkých podniků byly v souboru identifikovány pouze dvě žádosti. </w:t>
      </w:r>
    </w:p>
    <w:p w14:paraId="49B4B5E7" w14:textId="77777777" w:rsidR="00A14B9B" w:rsidRPr="002A0D4F" w:rsidRDefault="00A14B9B" w:rsidP="00B13D9B">
      <w:pPr>
        <w:pStyle w:val="UZEINormaln"/>
      </w:pPr>
    </w:p>
    <w:p w14:paraId="34B335FC" w14:textId="77777777" w:rsidR="00A14B9B" w:rsidRPr="002A0D4F" w:rsidRDefault="00A14B9B" w:rsidP="00A14B9B">
      <w:pPr>
        <w:rPr>
          <w:noProof/>
          <w:szCs w:val="24"/>
          <w:lang w:val="cs-CZ"/>
        </w:rPr>
      </w:pPr>
    </w:p>
    <w:p w14:paraId="5A2AE0EF" w14:textId="77777777" w:rsidR="00A14B9B" w:rsidRPr="002A0D4F" w:rsidRDefault="00A14B9B" w:rsidP="00A14B9B">
      <w:pPr>
        <w:rPr>
          <w:szCs w:val="24"/>
          <w:lang w:val="cs-CZ"/>
        </w:rPr>
      </w:pPr>
    </w:p>
    <w:p w14:paraId="3A04093E" w14:textId="0455803E" w:rsidR="00A14B9B" w:rsidRPr="00B13D9B" w:rsidRDefault="00A14B9B" w:rsidP="00B13D9B">
      <w:pPr>
        <w:pStyle w:val="UZEIObr"/>
      </w:pPr>
      <w:bookmarkStart w:id="640" w:name="_Toc25919895"/>
      <w:bookmarkStart w:id="641" w:name="_Toc81815434"/>
      <w:bookmarkStart w:id="642" w:name="_Toc81817639"/>
      <w:r w:rsidRPr="00B13D9B">
        <w:lastRenderedPageBreak/>
        <w:t>Subjekty podle typu právní formy uvedené na žádosti 6.4.1</w:t>
      </w:r>
      <w:bookmarkEnd w:id="640"/>
      <w:bookmarkEnd w:id="641"/>
      <w:bookmarkEnd w:id="642"/>
    </w:p>
    <w:p w14:paraId="47E34FE3" w14:textId="77777777" w:rsidR="00A14B9B" w:rsidRPr="002A0D4F" w:rsidRDefault="00A14B9B" w:rsidP="00A14B9B">
      <w:pPr>
        <w:rPr>
          <w:szCs w:val="24"/>
          <w:lang w:val="cs-CZ"/>
        </w:rPr>
      </w:pPr>
      <w:r w:rsidRPr="002A0D4F">
        <w:rPr>
          <w:noProof/>
          <w:lang w:val="cs-CZ" w:eastAsia="cs-CZ"/>
        </w:rPr>
        <w:drawing>
          <wp:inline distT="0" distB="0" distL="0" distR="0" wp14:anchorId="3F4BA834" wp14:editId="548097AD">
            <wp:extent cx="3561353" cy="2196935"/>
            <wp:effectExtent l="0" t="0" r="1270" b="0"/>
            <wp:docPr id="1302998632" name="Obrázek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7"/>
                    <pic:cNvPicPr/>
                  </pic:nvPicPr>
                  <pic:blipFill>
                    <a:blip r:embed="rId113">
                      <a:extLst>
                        <a:ext uri="{28A0092B-C50C-407E-A947-70E740481C1C}">
                          <a14:useLocalDpi xmlns:a14="http://schemas.microsoft.com/office/drawing/2010/main" val="0"/>
                        </a:ext>
                      </a:extLst>
                    </a:blip>
                    <a:stretch>
                      <a:fillRect/>
                    </a:stretch>
                  </pic:blipFill>
                  <pic:spPr>
                    <a:xfrm>
                      <a:off x="0" y="0"/>
                      <a:ext cx="3561353" cy="2196935"/>
                    </a:xfrm>
                    <a:prstGeom prst="rect">
                      <a:avLst/>
                    </a:prstGeom>
                  </pic:spPr>
                </pic:pic>
              </a:graphicData>
            </a:graphic>
          </wp:inline>
        </w:drawing>
      </w:r>
    </w:p>
    <w:p w14:paraId="767C926D" w14:textId="77777777" w:rsidR="00A14B9B" w:rsidRPr="002A0D4F" w:rsidRDefault="00A14B9B" w:rsidP="00B13D9B">
      <w:pPr>
        <w:pStyle w:val="UZEIZdroj"/>
      </w:pPr>
      <w:r w:rsidRPr="002A0D4F">
        <w:t xml:space="preserve">Zdroj: </w:t>
      </w:r>
      <w:proofErr w:type="spellStart"/>
      <w:r w:rsidRPr="002A0D4F">
        <w:t>MZe</w:t>
      </w:r>
      <w:proofErr w:type="spellEnd"/>
      <w:r w:rsidRPr="002A0D4F">
        <w:t>, 2019, vlastní zpracování</w:t>
      </w:r>
    </w:p>
    <w:p w14:paraId="3A3B6D8D" w14:textId="77777777" w:rsidR="00A14B9B" w:rsidRPr="002A0D4F" w:rsidRDefault="00A14B9B" w:rsidP="00B13D9B">
      <w:pPr>
        <w:pStyle w:val="UZEINormaln"/>
      </w:pPr>
      <w:r w:rsidRPr="002A0D4F">
        <w:t xml:space="preserve">Nejvíce žádostí bylo podáno v kraji Jihočeském a kraji Vysočina, a to po 16 žádostech. V Libereckém a Olomouckém kraji nebyla podána ani jedna žádost. </w:t>
      </w:r>
    </w:p>
    <w:p w14:paraId="6CF059CD" w14:textId="05FFF077" w:rsidR="00A14B9B" w:rsidRPr="00B13D9B" w:rsidRDefault="00B13D9B" w:rsidP="00B13D9B">
      <w:pPr>
        <w:pStyle w:val="UZEITaB"/>
      </w:pPr>
      <w:bookmarkStart w:id="643" w:name="_Toc25920027"/>
      <w:r w:rsidRPr="00B13D9B">
        <w:t xml:space="preserve"> </w:t>
      </w:r>
      <w:bookmarkStart w:id="644" w:name="_Toc81815350"/>
      <w:bookmarkStart w:id="645" w:name="_Toc81817028"/>
      <w:bookmarkStart w:id="646" w:name="_Toc81817541"/>
      <w:r w:rsidR="00A14B9B" w:rsidRPr="00B13D9B">
        <w:t>Počet žádostí dle krajů</w:t>
      </w:r>
      <w:bookmarkEnd w:id="643"/>
      <w:bookmarkEnd w:id="644"/>
      <w:bookmarkEnd w:id="645"/>
      <w:bookmarkEnd w:id="646"/>
      <w:r w:rsidR="00A14B9B" w:rsidRPr="00B13D9B">
        <w:t xml:space="preserve"> </w:t>
      </w:r>
    </w:p>
    <w:p w14:paraId="5BB1FE03" w14:textId="77777777" w:rsidR="00A14B9B" w:rsidRPr="002A0D4F" w:rsidRDefault="00A14B9B" w:rsidP="00A14B9B">
      <w:pPr>
        <w:rPr>
          <w:szCs w:val="24"/>
          <w:lang w:val="cs-CZ"/>
        </w:rPr>
      </w:pPr>
      <w:r w:rsidRPr="002A0D4F">
        <w:rPr>
          <w:noProof/>
          <w:szCs w:val="24"/>
          <w:lang w:val="cs-CZ" w:eastAsia="cs-CZ"/>
        </w:rPr>
        <w:drawing>
          <wp:inline distT="0" distB="0" distL="0" distR="0" wp14:anchorId="644797F2" wp14:editId="3BA76041">
            <wp:extent cx="1885950" cy="2577894"/>
            <wp:effectExtent l="0" t="0" r="0" b="0"/>
            <wp:docPr id="1737972134" name="Obrázek 1737972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1888254" cy="2581044"/>
                    </a:xfrm>
                    <a:prstGeom prst="rect">
                      <a:avLst/>
                    </a:prstGeom>
                    <a:noFill/>
                    <a:ln>
                      <a:noFill/>
                    </a:ln>
                  </pic:spPr>
                </pic:pic>
              </a:graphicData>
            </a:graphic>
          </wp:inline>
        </w:drawing>
      </w:r>
    </w:p>
    <w:p w14:paraId="566AB2B3" w14:textId="77777777" w:rsidR="00A14B9B" w:rsidRPr="002A0D4F" w:rsidRDefault="00A14B9B" w:rsidP="00B13D9B">
      <w:pPr>
        <w:pStyle w:val="UZEIZdroj"/>
      </w:pPr>
      <w:r w:rsidRPr="002A0D4F">
        <w:t xml:space="preserve">Zdroj: </w:t>
      </w:r>
      <w:proofErr w:type="spellStart"/>
      <w:r w:rsidRPr="002A0D4F">
        <w:t>MZe</w:t>
      </w:r>
      <w:proofErr w:type="spellEnd"/>
      <w:r w:rsidRPr="002A0D4F">
        <w:t>, 2019, vlastní zpracování</w:t>
      </w:r>
    </w:p>
    <w:p w14:paraId="482D0162" w14:textId="77777777" w:rsidR="00A14B9B" w:rsidRPr="002A0D4F" w:rsidRDefault="00A14B9B" w:rsidP="00B13D9B">
      <w:pPr>
        <w:pStyle w:val="UZEINormaln"/>
      </w:pPr>
      <w:r w:rsidRPr="002A0D4F">
        <w:t>U mikro podniků tvoří více než osmdesát procent žádosti fyzických osob.  Do velikostí kategorie velkých podniků spadají jen dvě žádosti, a to právnických osob.</w:t>
      </w:r>
    </w:p>
    <w:p w14:paraId="019AE03A" w14:textId="77777777" w:rsidR="00A14B9B" w:rsidRPr="002A0D4F" w:rsidRDefault="00A14B9B" w:rsidP="00A14B9B">
      <w:pPr>
        <w:rPr>
          <w:szCs w:val="24"/>
          <w:lang w:val="cs-CZ"/>
        </w:rPr>
      </w:pPr>
    </w:p>
    <w:p w14:paraId="41BD94C2" w14:textId="77777777" w:rsidR="00B13D9B" w:rsidRDefault="00B13D9B">
      <w:pPr>
        <w:spacing w:after="160" w:line="259" w:lineRule="auto"/>
        <w:jc w:val="left"/>
        <w:rPr>
          <w:rFonts w:eastAsia="Times New Roman" w:cs="Arial"/>
          <w:b/>
          <w:noProof/>
          <w:sz w:val="20"/>
          <w:szCs w:val="20"/>
          <w:lang w:val="cs-CZ" w:eastAsia="cs-CZ"/>
        </w:rPr>
      </w:pPr>
      <w:bookmarkStart w:id="647" w:name="_Toc25919896"/>
      <w:r>
        <w:br w:type="page"/>
      </w:r>
    </w:p>
    <w:p w14:paraId="2D98B975" w14:textId="6EE0D0F7" w:rsidR="00A14B9B" w:rsidRPr="00B13D9B" w:rsidRDefault="00B13D9B" w:rsidP="00B13D9B">
      <w:pPr>
        <w:pStyle w:val="UZEIObr"/>
      </w:pPr>
      <w:r w:rsidRPr="00B13D9B">
        <w:lastRenderedPageBreak/>
        <w:t xml:space="preserve"> </w:t>
      </w:r>
      <w:bookmarkStart w:id="648" w:name="_Toc81815435"/>
      <w:bookmarkStart w:id="649" w:name="_Toc81817640"/>
      <w:r w:rsidR="00A14B9B" w:rsidRPr="00B13D9B">
        <w:t>Počty žádostí u podniků s více než 10 ha lesní půdy (6.4.1)</w:t>
      </w:r>
      <w:bookmarkEnd w:id="647"/>
      <w:bookmarkEnd w:id="648"/>
      <w:bookmarkEnd w:id="649"/>
    </w:p>
    <w:p w14:paraId="570F93AC" w14:textId="77777777" w:rsidR="00A14B9B" w:rsidRPr="002A0D4F" w:rsidRDefault="00A14B9B" w:rsidP="00B13D9B">
      <w:pPr>
        <w:pStyle w:val="UZEIZdroj"/>
      </w:pPr>
      <w:r w:rsidRPr="002A0D4F">
        <w:rPr>
          <w:noProof/>
          <w:lang w:eastAsia="cs-CZ"/>
        </w:rPr>
        <w:drawing>
          <wp:inline distT="0" distB="0" distL="0" distR="0" wp14:anchorId="06FFAA47" wp14:editId="193429AE">
            <wp:extent cx="4315914" cy="2196935"/>
            <wp:effectExtent l="0" t="0" r="8890" b="0"/>
            <wp:docPr id="1096112967" name="Obrázek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59"/>
                    <pic:cNvPicPr/>
                  </pic:nvPicPr>
                  <pic:blipFill>
                    <a:blip r:embed="rId115">
                      <a:extLst>
                        <a:ext uri="{28A0092B-C50C-407E-A947-70E740481C1C}">
                          <a14:useLocalDpi xmlns:a14="http://schemas.microsoft.com/office/drawing/2010/main" val="0"/>
                        </a:ext>
                      </a:extLst>
                    </a:blip>
                    <a:stretch>
                      <a:fillRect/>
                    </a:stretch>
                  </pic:blipFill>
                  <pic:spPr>
                    <a:xfrm>
                      <a:off x="0" y="0"/>
                      <a:ext cx="4315914" cy="2196935"/>
                    </a:xfrm>
                    <a:prstGeom prst="rect">
                      <a:avLst/>
                    </a:prstGeom>
                  </pic:spPr>
                </pic:pic>
              </a:graphicData>
            </a:graphic>
          </wp:inline>
        </w:drawing>
      </w:r>
      <w:r w:rsidRPr="002A0D4F">
        <w:br/>
      </w:r>
      <w:r w:rsidRPr="00B13D9B">
        <w:t xml:space="preserve">Zdroj: </w:t>
      </w:r>
      <w:proofErr w:type="spellStart"/>
      <w:r w:rsidRPr="00B13D9B">
        <w:t>MZe</w:t>
      </w:r>
      <w:proofErr w:type="spellEnd"/>
      <w:r w:rsidRPr="00B13D9B">
        <w:t>, 2019, vlastní zpracování</w:t>
      </w:r>
    </w:p>
    <w:p w14:paraId="0BA10E7C" w14:textId="77777777" w:rsidR="00A14B9B" w:rsidRPr="002A0D4F" w:rsidRDefault="00A14B9B" w:rsidP="00B13D9B">
      <w:pPr>
        <w:pStyle w:val="UZEINormaln"/>
      </w:pPr>
      <w:r w:rsidRPr="002A0D4F">
        <w:t xml:space="preserve">Níže v tabulce jsou vyčísleny celkové výdaje na všechny projekty v operaci 6.4.1 u subjektů s lesními pozemky nad 10 ha, dále pak průměrné, minimální a maximální hodnoty podle toho, o jaký typ výdajů se jedná.  </w:t>
      </w:r>
    </w:p>
    <w:p w14:paraId="12DE848A" w14:textId="6749D708" w:rsidR="00A14B9B" w:rsidRPr="00B13D9B" w:rsidRDefault="00B13D9B" w:rsidP="00B13D9B">
      <w:pPr>
        <w:pStyle w:val="UZEITaB"/>
      </w:pPr>
      <w:bookmarkStart w:id="650" w:name="_Toc25920028"/>
      <w:r w:rsidRPr="00B13D9B">
        <w:t xml:space="preserve"> </w:t>
      </w:r>
      <w:bookmarkStart w:id="651" w:name="_Toc81815351"/>
      <w:bookmarkStart w:id="652" w:name="_Toc81817029"/>
      <w:bookmarkStart w:id="653" w:name="_Toc81817542"/>
      <w:r w:rsidR="00A14B9B" w:rsidRPr="00B13D9B">
        <w:t>celkové výdaje na všechny projekty v operaci 6.4.1</w:t>
      </w:r>
      <w:bookmarkEnd w:id="650"/>
      <w:bookmarkEnd w:id="651"/>
      <w:bookmarkEnd w:id="652"/>
      <w:bookmarkEnd w:id="653"/>
    </w:p>
    <w:p w14:paraId="7D8F5887" w14:textId="77777777" w:rsidR="00A14B9B" w:rsidRPr="002A0D4F" w:rsidRDefault="00A14B9B" w:rsidP="00B13D9B">
      <w:pPr>
        <w:pStyle w:val="UZEIZdroj"/>
      </w:pPr>
      <w:r w:rsidRPr="002A0D4F">
        <w:rPr>
          <w:noProof/>
          <w:lang w:eastAsia="cs-CZ"/>
        </w:rPr>
        <w:drawing>
          <wp:inline distT="0" distB="0" distL="0" distR="0" wp14:anchorId="012FC16C" wp14:editId="201BEB1B">
            <wp:extent cx="5466907" cy="1682189"/>
            <wp:effectExtent l="0" t="0" r="635" b="0"/>
            <wp:docPr id="62" name="Obrázek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5482978" cy="1687134"/>
                    </a:xfrm>
                    <a:prstGeom prst="rect">
                      <a:avLst/>
                    </a:prstGeom>
                    <a:noFill/>
                    <a:ln>
                      <a:noFill/>
                    </a:ln>
                  </pic:spPr>
                </pic:pic>
              </a:graphicData>
            </a:graphic>
          </wp:inline>
        </w:drawing>
      </w:r>
      <w:r w:rsidRPr="002A0D4F">
        <w:br/>
      </w:r>
      <w:r w:rsidRPr="00B13D9B">
        <w:t xml:space="preserve">Zdroj: </w:t>
      </w:r>
      <w:proofErr w:type="spellStart"/>
      <w:r w:rsidRPr="00B13D9B">
        <w:t>MZe</w:t>
      </w:r>
      <w:proofErr w:type="spellEnd"/>
      <w:r w:rsidRPr="00B13D9B">
        <w:t>, 2019, vlastní zpracování</w:t>
      </w:r>
    </w:p>
    <w:p w14:paraId="75B1122B" w14:textId="77777777" w:rsidR="00A14B9B" w:rsidRPr="002A0D4F" w:rsidRDefault="00A14B9B" w:rsidP="00B13D9B">
      <w:pPr>
        <w:pStyle w:val="UZEINormaln"/>
      </w:pPr>
      <w:r w:rsidRPr="002A0D4F">
        <w:t xml:space="preserve">Ze způsobilých výdajů v operaci 6.4.1 převládá kategorie 003 nákup strojů a 001 výdaje na stavební obnovu, tyto dvě položky dohromady činní více než devadesát procent způsobilých výdajů, o které bylo žádáno. </w:t>
      </w:r>
    </w:p>
    <w:p w14:paraId="3BAA9873" w14:textId="77777777" w:rsidR="00A14B9B" w:rsidRPr="002A0D4F" w:rsidRDefault="00A14B9B" w:rsidP="00A14B9B">
      <w:pPr>
        <w:rPr>
          <w:szCs w:val="24"/>
          <w:lang w:val="cs-CZ"/>
        </w:rPr>
      </w:pPr>
    </w:p>
    <w:p w14:paraId="1AA73DE2" w14:textId="77777777" w:rsidR="00A14B9B" w:rsidRPr="002A0D4F" w:rsidRDefault="00A14B9B" w:rsidP="00A14B9B">
      <w:pPr>
        <w:rPr>
          <w:szCs w:val="24"/>
          <w:lang w:val="cs-CZ"/>
        </w:rPr>
      </w:pPr>
    </w:p>
    <w:p w14:paraId="3044BA28" w14:textId="77777777" w:rsidR="00B13D9B" w:rsidRDefault="00B13D9B">
      <w:pPr>
        <w:spacing w:after="160" w:line="259" w:lineRule="auto"/>
        <w:jc w:val="left"/>
        <w:rPr>
          <w:rFonts w:eastAsia="Times New Roman" w:cs="Arial"/>
          <w:b/>
          <w:noProof/>
          <w:sz w:val="20"/>
          <w:szCs w:val="20"/>
          <w:lang w:val="cs-CZ" w:eastAsia="cs-CZ"/>
        </w:rPr>
      </w:pPr>
      <w:bookmarkStart w:id="654" w:name="_Toc25919897"/>
      <w:r>
        <w:br w:type="page"/>
      </w:r>
    </w:p>
    <w:p w14:paraId="1CFDD33B" w14:textId="62DF6C25" w:rsidR="00A14B9B" w:rsidRPr="00FA1C86" w:rsidRDefault="00A14B9B" w:rsidP="00FA1C86">
      <w:pPr>
        <w:pStyle w:val="UZEIObr"/>
      </w:pPr>
      <w:bookmarkStart w:id="655" w:name="_Toc81815436"/>
      <w:bookmarkStart w:id="656" w:name="_Toc81817641"/>
      <w:r w:rsidRPr="00FA1C86">
        <w:lastRenderedPageBreak/>
        <w:t>Způsobilé náklady operace 6.4.1</w:t>
      </w:r>
      <w:bookmarkEnd w:id="654"/>
      <w:bookmarkEnd w:id="655"/>
      <w:bookmarkEnd w:id="656"/>
    </w:p>
    <w:p w14:paraId="509D46E3" w14:textId="77777777" w:rsidR="00A14B9B" w:rsidRPr="002A0D4F" w:rsidRDefault="00A14B9B" w:rsidP="00B13D9B">
      <w:pPr>
        <w:pStyle w:val="UZEIZdroj"/>
      </w:pPr>
      <w:r w:rsidRPr="002A0D4F">
        <w:rPr>
          <w:noProof/>
          <w:lang w:eastAsia="cs-CZ"/>
        </w:rPr>
        <w:drawing>
          <wp:inline distT="0" distB="0" distL="0" distR="0" wp14:anchorId="6A173E5A" wp14:editId="18BFFC58">
            <wp:extent cx="3390900" cy="2902061"/>
            <wp:effectExtent l="0" t="0" r="0" b="0"/>
            <wp:docPr id="1547727250" name="Obrázek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63"/>
                    <pic:cNvPicPr/>
                  </pic:nvPicPr>
                  <pic:blipFill>
                    <a:blip r:embed="rId117" cstate="print">
                      <a:extLst>
                        <a:ext uri="{28A0092B-C50C-407E-A947-70E740481C1C}">
                          <a14:useLocalDpi xmlns:a14="http://schemas.microsoft.com/office/drawing/2010/main" val="0"/>
                        </a:ext>
                      </a:extLst>
                    </a:blip>
                    <a:stretch>
                      <a:fillRect/>
                    </a:stretch>
                  </pic:blipFill>
                  <pic:spPr>
                    <a:xfrm>
                      <a:off x="0" y="0"/>
                      <a:ext cx="3390900" cy="2902061"/>
                    </a:xfrm>
                    <a:prstGeom prst="rect">
                      <a:avLst/>
                    </a:prstGeom>
                  </pic:spPr>
                </pic:pic>
              </a:graphicData>
            </a:graphic>
          </wp:inline>
        </w:drawing>
      </w:r>
      <w:r w:rsidRPr="002A0D4F">
        <w:br/>
        <w:t xml:space="preserve">Zdroj: </w:t>
      </w:r>
      <w:proofErr w:type="spellStart"/>
      <w:r w:rsidRPr="002A0D4F">
        <w:t>MZe</w:t>
      </w:r>
      <w:proofErr w:type="spellEnd"/>
      <w:r w:rsidRPr="002A0D4F">
        <w:t>, 2019, vlastní zpracování</w:t>
      </w:r>
    </w:p>
    <w:p w14:paraId="15F49334" w14:textId="77777777" w:rsidR="00A14B9B" w:rsidRPr="002A0D4F" w:rsidRDefault="00A14B9B" w:rsidP="00B13D9B">
      <w:pPr>
        <w:pStyle w:val="UZEINormaln"/>
      </w:pPr>
      <w:r w:rsidRPr="002A0D4F">
        <w:t xml:space="preserve">Soubor nebyl tříděn dle oddílu NACE, protože tato informace nebyla u většiny žádostí uvedena. </w:t>
      </w:r>
    </w:p>
    <w:p w14:paraId="794A5C3C" w14:textId="77777777" w:rsidR="00A14B9B" w:rsidRPr="002A0D4F" w:rsidRDefault="00A14B9B" w:rsidP="00B13D9B">
      <w:pPr>
        <w:pStyle w:val="UZEINormaln"/>
        <w:rPr>
          <w:b/>
        </w:rPr>
      </w:pPr>
      <w:r w:rsidRPr="002A0D4F">
        <w:rPr>
          <w:b/>
        </w:rPr>
        <w:t>Výsledky k operaci 6.4.2 Podpora agroturistiky</w:t>
      </w:r>
    </w:p>
    <w:p w14:paraId="34C17384" w14:textId="77777777" w:rsidR="00A14B9B" w:rsidRPr="002A0D4F" w:rsidRDefault="00A14B9B" w:rsidP="00B13D9B">
      <w:pPr>
        <w:pStyle w:val="UZEINormaln"/>
      </w:pPr>
      <w:r w:rsidRPr="002A0D4F">
        <w:t xml:space="preserve">V rámci operace 6.4.2 podpora agroturistiky byly dvě třetiny žádostí podány fyzickými osobami.  Absolutně se jednalo v této operaci o 18 žádostí subjektů s více než 10 ha lesní půdy. </w:t>
      </w:r>
    </w:p>
    <w:p w14:paraId="57E70EBA" w14:textId="46846EBA" w:rsidR="00A14B9B" w:rsidRPr="00B13D9B" w:rsidRDefault="00A14B9B" w:rsidP="00B13D9B">
      <w:pPr>
        <w:pStyle w:val="UZEIObr"/>
      </w:pPr>
      <w:bookmarkStart w:id="657" w:name="_Toc25919898"/>
      <w:bookmarkStart w:id="658" w:name="_Toc81815437"/>
      <w:bookmarkStart w:id="659" w:name="_Toc81817642"/>
      <w:r w:rsidRPr="00B13D9B">
        <w:t>Subjekty podle právní formy na žádosti</w:t>
      </w:r>
      <w:bookmarkEnd w:id="657"/>
      <w:bookmarkEnd w:id="658"/>
      <w:bookmarkEnd w:id="659"/>
    </w:p>
    <w:p w14:paraId="562CEB48" w14:textId="77777777" w:rsidR="00A14B9B" w:rsidRPr="002A0D4F" w:rsidRDefault="00A14B9B" w:rsidP="00B13D9B">
      <w:pPr>
        <w:pStyle w:val="UZEIZdroj"/>
        <w:rPr>
          <w:b/>
        </w:rPr>
      </w:pPr>
      <w:r w:rsidRPr="002A0D4F">
        <w:rPr>
          <w:noProof/>
          <w:lang w:eastAsia="cs-CZ"/>
        </w:rPr>
        <w:drawing>
          <wp:inline distT="0" distB="0" distL="0" distR="0" wp14:anchorId="18407E82" wp14:editId="7D420017">
            <wp:extent cx="3479470" cy="2132983"/>
            <wp:effectExtent l="0" t="0" r="6985" b="635"/>
            <wp:docPr id="1490589536" name="Obrázek 3022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3022918"/>
                    <pic:cNvPicPr/>
                  </pic:nvPicPr>
                  <pic:blipFill>
                    <a:blip r:embed="rId118">
                      <a:extLst>
                        <a:ext uri="{28A0092B-C50C-407E-A947-70E740481C1C}">
                          <a14:useLocalDpi xmlns:a14="http://schemas.microsoft.com/office/drawing/2010/main" val="0"/>
                        </a:ext>
                      </a:extLst>
                    </a:blip>
                    <a:stretch>
                      <a:fillRect/>
                    </a:stretch>
                  </pic:blipFill>
                  <pic:spPr>
                    <a:xfrm>
                      <a:off x="0" y="0"/>
                      <a:ext cx="3479470" cy="2132983"/>
                    </a:xfrm>
                    <a:prstGeom prst="rect">
                      <a:avLst/>
                    </a:prstGeom>
                  </pic:spPr>
                </pic:pic>
              </a:graphicData>
            </a:graphic>
          </wp:inline>
        </w:drawing>
      </w:r>
      <w:r w:rsidRPr="002A0D4F">
        <w:br/>
        <w:t xml:space="preserve">Zdroj: </w:t>
      </w:r>
      <w:proofErr w:type="spellStart"/>
      <w:r w:rsidRPr="002A0D4F">
        <w:t>MZe</w:t>
      </w:r>
      <w:proofErr w:type="spellEnd"/>
      <w:r w:rsidRPr="002A0D4F">
        <w:t>, 2019, vlastní zpracování</w:t>
      </w:r>
    </w:p>
    <w:p w14:paraId="1ECCCAA5" w14:textId="77777777" w:rsidR="00A14B9B" w:rsidRPr="002A0D4F" w:rsidRDefault="00A14B9B" w:rsidP="00B13D9B">
      <w:pPr>
        <w:pStyle w:val="UZEINormaln"/>
      </w:pPr>
      <w:r w:rsidRPr="002A0D4F">
        <w:t xml:space="preserve">Stejně jako u operace 6.4.1 bylo i u operace 6.4.2 podáno nejvíce žádosti v kraji Jihočeském a kraji Vysočina. V této operaci nebyla v sedmi krajích předložena ani jedna žádost. </w:t>
      </w:r>
    </w:p>
    <w:p w14:paraId="3186DC15" w14:textId="77777777" w:rsidR="00A14B9B" w:rsidRPr="002A0D4F" w:rsidRDefault="00A14B9B" w:rsidP="00B13D9B">
      <w:pPr>
        <w:pStyle w:val="UZEINormaln"/>
        <w:rPr>
          <w:b/>
        </w:rPr>
      </w:pPr>
    </w:p>
    <w:p w14:paraId="21D52FD3" w14:textId="77777777" w:rsidR="00B13D9B" w:rsidRDefault="00B13D9B">
      <w:pPr>
        <w:spacing w:after="160" w:line="259" w:lineRule="auto"/>
        <w:jc w:val="left"/>
        <w:rPr>
          <w:rFonts w:eastAsia="Times New Roman" w:cs="Arial"/>
          <w:b/>
          <w:color w:val="000000" w:themeColor="text1"/>
          <w:sz w:val="20"/>
          <w:szCs w:val="20"/>
          <w:lang w:val="cs-CZ" w:eastAsia="cs-CZ"/>
        </w:rPr>
      </w:pPr>
      <w:bookmarkStart w:id="660" w:name="_Toc25920029"/>
      <w:r>
        <w:br w:type="page"/>
      </w:r>
    </w:p>
    <w:p w14:paraId="1DB5D7B0" w14:textId="4740F3C9" w:rsidR="00A14B9B" w:rsidRPr="00B13D9B" w:rsidRDefault="00B13D9B" w:rsidP="00B13D9B">
      <w:pPr>
        <w:pStyle w:val="UZEITaB"/>
      </w:pPr>
      <w:r w:rsidRPr="00B13D9B">
        <w:lastRenderedPageBreak/>
        <w:t xml:space="preserve"> </w:t>
      </w:r>
      <w:bookmarkStart w:id="661" w:name="_Toc81815352"/>
      <w:bookmarkStart w:id="662" w:name="_Toc81817030"/>
      <w:bookmarkStart w:id="663" w:name="_Toc81817543"/>
      <w:r w:rsidR="00A14B9B" w:rsidRPr="00B13D9B">
        <w:t>Počty žádostí dle krajů</w:t>
      </w:r>
      <w:bookmarkEnd w:id="660"/>
      <w:bookmarkEnd w:id="661"/>
      <w:bookmarkEnd w:id="662"/>
      <w:bookmarkEnd w:id="663"/>
    </w:p>
    <w:p w14:paraId="64204E68" w14:textId="77777777" w:rsidR="00A14B9B" w:rsidRPr="002A0D4F" w:rsidRDefault="00A14B9B" w:rsidP="00B13D9B">
      <w:pPr>
        <w:pStyle w:val="UZEIZdroj"/>
        <w:rPr>
          <w:b/>
        </w:rPr>
      </w:pPr>
      <w:r w:rsidRPr="002A0D4F">
        <w:rPr>
          <w:noProof/>
          <w:lang w:eastAsia="cs-CZ"/>
        </w:rPr>
        <w:drawing>
          <wp:inline distT="0" distB="0" distL="0" distR="0" wp14:anchorId="680A5B67" wp14:editId="706171BB">
            <wp:extent cx="2280062" cy="3116603"/>
            <wp:effectExtent l="0" t="0" r="6350" b="7620"/>
            <wp:docPr id="3022926" name="Obrázek 3022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2287795" cy="3127174"/>
                    </a:xfrm>
                    <a:prstGeom prst="rect">
                      <a:avLst/>
                    </a:prstGeom>
                    <a:noFill/>
                    <a:ln>
                      <a:noFill/>
                    </a:ln>
                  </pic:spPr>
                </pic:pic>
              </a:graphicData>
            </a:graphic>
          </wp:inline>
        </w:drawing>
      </w:r>
      <w:r w:rsidRPr="002A0D4F">
        <w:rPr>
          <w:b/>
        </w:rPr>
        <w:br/>
      </w:r>
      <w:r w:rsidRPr="002A0D4F">
        <w:t xml:space="preserve">Zdroj: </w:t>
      </w:r>
      <w:proofErr w:type="spellStart"/>
      <w:r w:rsidRPr="002A0D4F">
        <w:t>MZe</w:t>
      </w:r>
      <w:proofErr w:type="spellEnd"/>
      <w:r w:rsidRPr="002A0D4F">
        <w:t>, 2019, vlastní zpracování</w:t>
      </w:r>
    </w:p>
    <w:p w14:paraId="57E5DF6A" w14:textId="77777777" w:rsidR="00A14B9B" w:rsidRPr="002A0D4F" w:rsidRDefault="00A14B9B" w:rsidP="00A14B9B">
      <w:pPr>
        <w:rPr>
          <w:szCs w:val="24"/>
          <w:lang w:val="cs-CZ"/>
        </w:rPr>
      </w:pPr>
      <w:r w:rsidRPr="00B13D9B">
        <w:rPr>
          <w:rStyle w:val="UZEINormalnChar"/>
          <w:rFonts w:eastAsiaTheme="minorHAnsi"/>
        </w:rPr>
        <w:t>V operaci 6.4.2 převládaly mikro podniky nad ostatními podniky, 83 % žádostí pocházelo od těchto subjektů. V ostatních kategoriích jsou zastoupeny pouze jednotlivé případy</w:t>
      </w:r>
      <w:r w:rsidRPr="002A0D4F">
        <w:rPr>
          <w:szCs w:val="24"/>
          <w:lang w:val="cs-CZ"/>
        </w:rPr>
        <w:t xml:space="preserve">. </w:t>
      </w:r>
    </w:p>
    <w:p w14:paraId="51CE13CC" w14:textId="1F590CD9" w:rsidR="00A14B9B" w:rsidRPr="00B13D9B" w:rsidRDefault="00A14B9B" w:rsidP="00B13D9B">
      <w:pPr>
        <w:pStyle w:val="UZEIObr"/>
      </w:pPr>
      <w:bookmarkStart w:id="664" w:name="_Toc25919899"/>
      <w:bookmarkStart w:id="665" w:name="_Toc81815438"/>
      <w:bookmarkStart w:id="666" w:name="_Toc81817643"/>
      <w:r w:rsidRPr="00B13D9B">
        <w:t>Počty žádostí u podniků s více než 10 ha lesní půdy (6.4.2)</w:t>
      </w:r>
      <w:bookmarkEnd w:id="664"/>
      <w:bookmarkEnd w:id="665"/>
      <w:bookmarkEnd w:id="666"/>
    </w:p>
    <w:p w14:paraId="69DA5E2F" w14:textId="77777777" w:rsidR="00A14B9B" w:rsidRPr="002A0D4F" w:rsidRDefault="00A14B9B" w:rsidP="00B13D9B">
      <w:pPr>
        <w:pStyle w:val="UZEIZdroj"/>
      </w:pPr>
      <w:r w:rsidRPr="002A0D4F">
        <w:rPr>
          <w:noProof/>
          <w:lang w:eastAsia="cs-CZ"/>
        </w:rPr>
        <w:drawing>
          <wp:inline distT="0" distB="0" distL="0" distR="0" wp14:anchorId="655501AD" wp14:editId="092E35AC">
            <wp:extent cx="4088538" cy="2280062"/>
            <wp:effectExtent l="0" t="0" r="7620" b="6350"/>
            <wp:docPr id="365399554" name="Obrázek 3022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3022928"/>
                    <pic:cNvPicPr/>
                  </pic:nvPicPr>
                  <pic:blipFill>
                    <a:blip r:embed="rId120">
                      <a:extLst>
                        <a:ext uri="{28A0092B-C50C-407E-A947-70E740481C1C}">
                          <a14:useLocalDpi xmlns:a14="http://schemas.microsoft.com/office/drawing/2010/main" val="0"/>
                        </a:ext>
                      </a:extLst>
                    </a:blip>
                    <a:stretch>
                      <a:fillRect/>
                    </a:stretch>
                  </pic:blipFill>
                  <pic:spPr>
                    <a:xfrm>
                      <a:off x="0" y="0"/>
                      <a:ext cx="4088538" cy="2280062"/>
                    </a:xfrm>
                    <a:prstGeom prst="rect">
                      <a:avLst/>
                    </a:prstGeom>
                  </pic:spPr>
                </pic:pic>
              </a:graphicData>
            </a:graphic>
          </wp:inline>
        </w:drawing>
      </w:r>
      <w:r w:rsidRPr="002A0D4F">
        <w:br/>
        <w:t xml:space="preserve">Zdroj: </w:t>
      </w:r>
      <w:proofErr w:type="spellStart"/>
      <w:r w:rsidRPr="002A0D4F">
        <w:t>MZe</w:t>
      </w:r>
      <w:proofErr w:type="spellEnd"/>
      <w:r w:rsidRPr="002A0D4F">
        <w:t>, 2019, vlastní zpracování</w:t>
      </w:r>
    </w:p>
    <w:p w14:paraId="610C2044" w14:textId="77777777" w:rsidR="00A14B9B" w:rsidRPr="002A0D4F" w:rsidRDefault="00A14B9B" w:rsidP="00B13D9B">
      <w:pPr>
        <w:pStyle w:val="UZEINormaln"/>
      </w:pPr>
      <w:r w:rsidRPr="002A0D4F">
        <w:t xml:space="preserve">V tabulce níže jsou vyčísleny celkové výdaje na projekty v operaci 6.4.2 u podniků s lesními pozemky většími než 10 ha, dále pak průměrné výdaje, maximum a minimum na projekt. </w:t>
      </w:r>
    </w:p>
    <w:p w14:paraId="293EB0D6" w14:textId="77777777" w:rsidR="00A14B9B" w:rsidRPr="002A0D4F" w:rsidRDefault="00A14B9B" w:rsidP="00B13D9B">
      <w:pPr>
        <w:pStyle w:val="UZEINormaln"/>
      </w:pPr>
    </w:p>
    <w:p w14:paraId="0D6F8529" w14:textId="77777777" w:rsidR="00B13D9B" w:rsidRDefault="00B13D9B">
      <w:pPr>
        <w:spacing w:after="160" w:line="259" w:lineRule="auto"/>
        <w:jc w:val="left"/>
        <w:rPr>
          <w:rFonts w:eastAsia="Times New Roman" w:cs="Arial"/>
          <w:b/>
          <w:color w:val="000000" w:themeColor="text1"/>
          <w:sz w:val="20"/>
          <w:szCs w:val="20"/>
          <w:lang w:val="cs-CZ" w:eastAsia="cs-CZ"/>
        </w:rPr>
      </w:pPr>
      <w:bookmarkStart w:id="667" w:name="_Toc25920030"/>
      <w:r>
        <w:br w:type="page"/>
      </w:r>
    </w:p>
    <w:p w14:paraId="6512DD4D" w14:textId="52A7E0FF" w:rsidR="00A14B9B" w:rsidRPr="00B13D9B" w:rsidRDefault="00B13D9B" w:rsidP="00B13D9B">
      <w:pPr>
        <w:pStyle w:val="UZEITaB"/>
      </w:pPr>
      <w:r w:rsidRPr="00B13D9B">
        <w:lastRenderedPageBreak/>
        <w:t xml:space="preserve"> </w:t>
      </w:r>
      <w:bookmarkStart w:id="668" w:name="_Toc81815353"/>
      <w:bookmarkStart w:id="669" w:name="_Toc81817031"/>
      <w:bookmarkStart w:id="670" w:name="_Toc81817544"/>
      <w:r w:rsidR="00A14B9B" w:rsidRPr="00B13D9B">
        <w:t>Celkové výdaje na projekty v operaci 6.4.2</w:t>
      </w:r>
      <w:bookmarkEnd w:id="667"/>
      <w:bookmarkEnd w:id="668"/>
      <w:bookmarkEnd w:id="669"/>
      <w:bookmarkEnd w:id="670"/>
    </w:p>
    <w:p w14:paraId="1FC0D1D4" w14:textId="77777777" w:rsidR="00A14B9B" w:rsidRPr="002A0D4F" w:rsidRDefault="00A14B9B" w:rsidP="00B13D9B">
      <w:pPr>
        <w:pStyle w:val="UZEIZdroj"/>
      </w:pPr>
      <w:r w:rsidRPr="002A0D4F">
        <w:rPr>
          <w:noProof/>
          <w:lang w:eastAsia="cs-CZ"/>
        </w:rPr>
        <w:drawing>
          <wp:inline distT="0" distB="0" distL="0" distR="0" wp14:anchorId="4CCDC992" wp14:editId="0DBAC7D3">
            <wp:extent cx="5760720" cy="1784985"/>
            <wp:effectExtent l="0" t="0" r="0" b="5715"/>
            <wp:docPr id="3022934" name="Obrázek 3022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5760720" cy="1784985"/>
                    </a:xfrm>
                    <a:prstGeom prst="rect">
                      <a:avLst/>
                    </a:prstGeom>
                    <a:noFill/>
                    <a:ln>
                      <a:noFill/>
                    </a:ln>
                  </pic:spPr>
                </pic:pic>
              </a:graphicData>
            </a:graphic>
          </wp:inline>
        </w:drawing>
      </w:r>
      <w:r w:rsidRPr="002A0D4F">
        <w:br/>
        <w:t xml:space="preserve">Zdroj: </w:t>
      </w:r>
      <w:proofErr w:type="spellStart"/>
      <w:r w:rsidRPr="002A0D4F">
        <w:t>MZe</w:t>
      </w:r>
      <w:proofErr w:type="spellEnd"/>
      <w:r w:rsidRPr="002A0D4F">
        <w:t>, 2019, vlastní zpracování</w:t>
      </w:r>
    </w:p>
    <w:p w14:paraId="4EC2222C" w14:textId="77777777" w:rsidR="00A14B9B" w:rsidRPr="002A0D4F" w:rsidRDefault="00A14B9B" w:rsidP="00032C00">
      <w:pPr>
        <w:pStyle w:val="UZEINormaln"/>
      </w:pPr>
      <w:r w:rsidRPr="002A0D4F">
        <w:t xml:space="preserve">Většina způsobilých výdajů (86 %) v operaci 6.4.2 připadla na 001 výdaje na stavební obnovu a 002 na nákup zařízení a vybavení malokapacitních ubytovacích zařízení. Ostatní kategorie jsou zastoupeny v jednotkách procent. </w:t>
      </w:r>
    </w:p>
    <w:p w14:paraId="5E88ACCB" w14:textId="3B46AE96" w:rsidR="00A14B9B" w:rsidRPr="00032C00" w:rsidRDefault="00A14B9B" w:rsidP="00032C00">
      <w:pPr>
        <w:pStyle w:val="UZEIObr"/>
      </w:pPr>
      <w:bookmarkStart w:id="671" w:name="_Toc25919900"/>
      <w:bookmarkStart w:id="672" w:name="_Toc81815439"/>
      <w:bookmarkStart w:id="673" w:name="_Toc81817644"/>
      <w:r w:rsidRPr="00032C00">
        <w:t>Způsobilé náklady operace 6.4.2</w:t>
      </w:r>
      <w:bookmarkEnd w:id="671"/>
      <w:bookmarkEnd w:id="672"/>
      <w:bookmarkEnd w:id="673"/>
    </w:p>
    <w:p w14:paraId="3C59CD59" w14:textId="77777777" w:rsidR="00A14B9B" w:rsidRPr="002A0D4F" w:rsidRDefault="00A14B9B" w:rsidP="00026041">
      <w:pPr>
        <w:pStyle w:val="UZEIZdroj"/>
      </w:pPr>
      <w:r w:rsidRPr="002A0D4F">
        <w:rPr>
          <w:noProof/>
          <w:lang w:eastAsia="cs-CZ"/>
        </w:rPr>
        <w:drawing>
          <wp:inline distT="0" distB="0" distL="0" distR="0" wp14:anchorId="51909EB3" wp14:editId="342529F2">
            <wp:extent cx="3800104" cy="3200799"/>
            <wp:effectExtent l="0" t="0" r="0" b="0"/>
            <wp:docPr id="1078764712" name="Obrázek 3022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3022935"/>
                    <pic:cNvPicPr/>
                  </pic:nvPicPr>
                  <pic:blipFill>
                    <a:blip r:embed="rId122" cstate="print">
                      <a:extLst>
                        <a:ext uri="{28A0092B-C50C-407E-A947-70E740481C1C}">
                          <a14:useLocalDpi xmlns:a14="http://schemas.microsoft.com/office/drawing/2010/main" val="0"/>
                        </a:ext>
                      </a:extLst>
                    </a:blip>
                    <a:stretch>
                      <a:fillRect/>
                    </a:stretch>
                  </pic:blipFill>
                  <pic:spPr>
                    <a:xfrm>
                      <a:off x="0" y="0"/>
                      <a:ext cx="3800104" cy="3200799"/>
                    </a:xfrm>
                    <a:prstGeom prst="rect">
                      <a:avLst/>
                    </a:prstGeom>
                  </pic:spPr>
                </pic:pic>
              </a:graphicData>
            </a:graphic>
          </wp:inline>
        </w:drawing>
      </w:r>
      <w:r w:rsidRPr="002A0D4F">
        <w:br/>
        <w:t xml:space="preserve">Zdroj: </w:t>
      </w:r>
      <w:proofErr w:type="spellStart"/>
      <w:r w:rsidRPr="002A0D4F">
        <w:t>MZe</w:t>
      </w:r>
      <w:proofErr w:type="spellEnd"/>
      <w:r w:rsidRPr="002A0D4F">
        <w:t>, 2019, vlastní zpracování</w:t>
      </w:r>
    </w:p>
    <w:p w14:paraId="7A523A7A" w14:textId="77777777" w:rsidR="00A14B9B" w:rsidRPr="00026041" w:rsidRDefault="00A14B9B" w:rsidP="00026041">
      <w:pPr>
        <w:pStyle w:val="UZEINormaln"/>
        <w:rPr>
          <w:b/>
          <w:bCs/>
        </w:rPr>
      </w:pPr>
      <w:r w:rsidRPr="00026041">
        <w:rPr>
          <w:b/>
          <w:bCs/>
        </w:rPr>
        <w:t>Analýza žádosti opatření 19 Podpora místního rozvoje na základě iniciativy LEADER – operace 19.2.1 Podpora provádění operací v rámci komunitně vedeného místního rozvoje</w:t>
      </w:r>
    </w:p>
    <w:p w14:paraId="3F9A635D" w14:textId="77777777" w:rsidR="00A14B9B" w:rsidRPr="00026041" w:rsidRDefault="00A14B9B" w:rsidP="00026041">
      <w:pPr>
        <w:pStyle w:val="UZEINormaln"/>
        <w:rPr>
          <w:b/>
          <w:bCs/>
        </w:rPr>
      </w:pPr>
      <w:r w:rsidRPr="00026041">
        <w:rPr>
          <w:b/>
          <w:bCs/>
        </w:rPr>
        <w:t>Popis souboru</w:t>
      </w:r>
    </w:p>
    <w:p w14:paraId="20E2C92B" w14:textId="77777777" w:rsidR="00A14B9B" w:rsidRPr="002A0D4F" w:rsidRDefault="00A14B9B" w:rsidP="00026041">
      <w:pPr>
        <w:pStyle w:val="UZEIOdrky"/>
      </w:pPr>
      <w:r w:rsidRPr="002A0D4F">
        <w:t xml:space="preserve">Analýza žádostí o dotace v operaci 19.2.1 vychází z podkladového souboru, ve kterém byly vyfiltrovány jen žádosti, které byly označeny jako proplacené </w:t>
      </w:r>
    </w:p>
    <w:p w14:paraId="374C3D0E" w14:textId="77777777" w:rsidR="00A14B9B" w:rsidRPr="002A0D4F" w:rsidRDefault="00A14B9B" w:rsidP="00026041">
      <w:pPr>
        <w:pStyle w:val="UZEIOdrky"/>
      </w:pPr>
      <w:r w:rsidRPr="002A0D4F">
        <w:t>Z celého souboru se jedná absolutně o 1724 žádostí</w:t>
      </w:r>
    </w:p>
    <w:p w14:paraId="02CF120A" w14:textId="77777777" w:rsidR="00A14B9B" w:rsidRPr="002A0D4F" w:rsidRDefault="00A14B9B" w:rsidP="00026041">
      <w:pPr>
        <w:pStyle w:val="UZEIOdrky"/>
        <w:rPr>
          <w:b/>
        </w:rPr>
      </w:pPr>
      <w:r w:rsidRPr="002A0D4F">
        <w:t>Celkově bylo 1090 proplacených žádostí podáno fyzickými osobami a 634 právnickými osobami</w:t>
      </w:r>
    </w:p>
    <w:p w14:paraId="36CFE55C" w14:textId="77777777" w:rsidR="00026041" w:rsidRDefault="00026041">
      <w:pPr>
        <w:spacing w:after="160" w:line="259" w:lineRule="auto"/>
        <w:jc w:val="left"/>
        <w:rPr>
          <w:rFonts w:eastAsia="Times New Roman" w:cs="Arial"/>
          <w:b/>
          <w:noProof/>
          <w:sz w:val="20"/>
          <w:szCs w:val="20"/>
          <w:lang w:val="cs-CZ" w:eastAsia="cs-CZ"/>
        </w:rPr>
      </w:pPr>
      <w:bookmarkStart w:id="674" w:name="_Toc25919901"/>
      <w:r>
        <w:br w:type="page"/>
      </w:r>
    </w:p>
    <w:p w14:paraId="5CF3B5D7" w14:textId="10F58A86" w:rsidR="00A14B9B" w:rsidRPr="00026041" w:rsidRDefault="00A14B9B" w:rsidP="00026041">
      <w:pPr>
        <w:pStyle w:val="UZEIObr"/>
      </w:pPr>
      <w:bookmarkStart w:id="675" w:name="_Toc81815440"/>
      <w:bookmarkStart w:id="676" w:name="_Toc81817645"/>
      <w:r w:rsidRPr="00026041">
        <w:lastRenderedPageBreak/>
        <w:t>Subjekty podle právní formy na žádosti</w:t>
      </w:r>
      <w:bookmarkEnd w:id="674"/>
      <w:bookmarkEnd w:id="675"/>
      <w:bookmarkEnd w:id="676"/>
    </w:p>
    <w:p w14:paraId="0C93D965" w14:textId="77777777" w:rsidR="00A14B9B" w:rsidRPr="002A0D4F" w:rsidRDefault="00A14B9B" w:rsidP="00A14B9B">
      <w:pPr>
        <w:rPr>
          <w:szCs w:val="24"/>
          <w:lang w:val="cs-CZ"/>
        </w:rPr>
      </w:pPr>
      <w:r w:rsidRPr="002A0D4F">
        <w:rPr>
          <w:noProof/>
          <w:lang w:val="cs-CZ" w:eastAsia="cs-CZ"/>
        </w:rPr>
        <w:drawing>
          <wp:inline distT="0" distB="0" distL="0" distR="0" wp14:anchorId="10C6F87E" wp14:editId="3C37A981">
            <wp:extent cx="3604549" cy="2200275"/>
            <wp:effectExtent l="0" t="0" r="0" b="0"/>
            <wp:docPr id="2018028940" name="Obrázek 1737972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737972097"/>
                    <pic:cNvPicPr/>
                  </pic:nvPicPr>
                  <pic:blipFill>
                    <a:blip r:embed="rId123">
                      <a:extLst>
                        <a:ext uri="{28A0092B-C50C-407E-A947-70E740481C1C}">
                          <a14:useLocalDpi xmlns:a14="http://schemas.microsoft.com/office/drawing/2010/main" val="0"/>
                        </a:ext>
                      </a:extLst>
                    </a:blip>
                    <a:stretch>
                      <a:fillRect/>
                    </a:stretch>
                  </pic:blipFill>
                  <pic:spPr>
                    <a:xfrm>
                      <a:off x="0" y="0"/>
                      <a:ext cx="3604549" cy="2200275"/>
                    </a:xfrm>
                    <a:prstGeom prst="rect">
                      <a:avLst/>
                    </a:prstGeom>
                  </pic:spPr>
                </pic:pic>
              </a:graphicData>
            </a:graphic>
          </wp:inline>
        </w:drawing>
      </w:r>
    </w:p>
    <w:p w14:paraId="1F07AB78" w14:textId="77777777" w:rsidR="00A14B9B" w:rsidRPr="002A0D4F" w:rsidRDefault="00A14B9B" w:rsidP="00026041">
      <w:pPr>
        <w:pStyle w:val="UZEIZdroj"/>
      </w:pPr>
      <w:r w:rsidRPr="002A0D4F">
        <w:t xml:space="preserve">Zdroj: </w:t>
      </w:r>
      <w:proofErr w:type="spellStart"/>
      <w:r w:rsidRPr="002A0D4F">
        <w:t>MZe</w:t>
      </w:r>
      <w:proofErr w:type="spellEnd"/>
      <w:r w:rsidRPr="002A0D4F">
        <w:t>, 2019 (Žádosti proplacené k říjnu 2019, operace 19.2.1), vlastní zpracování</w:t>
      </w:r>
    </w:p>
    <w:p w14:paraId="21675833" w14:textId="27235E3E" w:rsidR="00A14B9B" w:rsidRPr="002A0D4F" w:rsidRDefault="00A14B9B" w:rsidP="00026041">
      <w:pPr>
        <w:pStyle w:val="UZEIOdrky"/>
      </w:pPr>
      <w:r w:rsidRPr="002A0D4F">
        <w:t>Zastoupení jednotlivých právních forem podle typů uvedené na žádosti je podrobněji uvedeno v </w:t>
      </w:r>
      <w:r w:rsidR="00026041">
        <w:fldChar w:fldCharType="begin"/>
      </w:r>
      <w:r w:rsidR="00026041">
        <w:instrText xml:space="preserve"> REF _Ref81772701 \r \h </w:instrText>
      </w:r>
      <w:r w:rsidR="00026041">
        <w:fldChar w:fldCharType="separate"/>
      </w:r>
      <w:r w:rsidR="00026041">
        <w:t>Tabulka 38</w:t>
      </w:r>
      <w:r w:rsidR="00026041">
        <w:fldChar w:fldCharType="end"/>
      </w:r>
    </w:p>
    <w:p w14:paraId="14AF6C41" w14:textId="77777777" w:rsidR="00A14B9B" w:rsidRPr="002A0D4F" w:rsidRDefault="00A14B9B" w:rsidP="00026041">
      <w:pPr>
        <w:pStyle w:val="UZEIOdrky"/>
      </w:pPr>
      <w:r w:rsidRPr="002A0D4F">
        <w:t>U fyzických osob převládá jen jedna kategorie, a to 100 – podnikající osoba tuzemská</w:t>
      </w:r>
    </w:p>
    <w:p w14:paraId="28D8B748" w14:textId="77777777" w:rsidR="00A14B9B" w:rsidRPr="002A0D4F" w:rsidRDefault="00A14B9B" w:rsidP="00026041">
      <w:pPr>
        <w:pStyle w:val="UZEIOdrky"/>
      </w:pPr>
      <w:r w:rsidRPr="002A0D4F">
        <w:t>U právnických osob je zastoupeno více typů, nejčastěji však kategorie 112 - společnost s ručením omezeným dále pak 801 - obec nebo městská část hlavního města Prahy, 112 - akciová společnost a 205 – družstvo</w:t>
      </w:r>
    </w:p>
    <w:p w14:paraId="0C4FB011" w14:textId="2A3A92AE" w:rsidR="00A14B9B" w:rsidRPr="00026041" w:rsidRDefault="00026041" w:rsidP="00026041">
      <w:pPr>
        <w:pStyle w:val="UZEITaB"/>
      </w:pPr>
      <w:bookmarkStart w:id="677" w:name="_Toc25920031"/>
      <w:bookmarkStart w:id="678" w:name="_Ref81772701"/>
      <w:r w:rsidRPr="00026041">
        <w:t xml:space="preserve"> </w:t>
      </w:r>
      <w:bookmarkStart w:id="679" w:name="_Toc81815354"/>
      <w:bookmarkStart w:id="680" w:name="_Toc81817032"/>
      <w:bookmarkStart w:id="681" w:name="_Toc81817545"/>
      <w:r w:rsidR="00A14B9B" w:rsidRPr="00026041">
        <w:t>Počty žádostí podle kódu právní formy</w:t>
      </w:r>
      <w:bookmarkEnd w:id="677"/>
      <w:bookmarkEnd w:id="678"/>
      <w:bookmarkEnd w:id="679"/>
      <w:bookmarkEnd w:id="680"/>
      <w:bookmarkEnd w:id="681"/>
    </w:p>
    <w:p w14:paraId="682230A0" w14:textId="77777777" w:rsidR="00A14B9B" w:rsidRPr="002A0D4F" w:rsidRDefault="00A14B9B" w:rsidP="00A14B9B">
      <w:pPr>
        <w:rPr>
          <w:szCs w:val="24"/>
          <w:lang w:val="cs-CZ"/>
        </w:rPr>
      </w:pPr>
      <w:r w:rsidRPr="002A0D4F">
        <w:rPr>
          <w:noProof/>
          <w:szCs w:val="24"/>
          <w:lang w:val="cs-CZ" w:eastAsia="cs-CZ"/>
        </w:rPr>
        <w:drawing>
          <wp:inline distT="0" distB="0" distL="0" distR="0" wp14:anchorId="3E6E8863" wp14:editId="31732598">
            <wp:extent cx="4863245" cy="2809875"/>
            <wp:effectExtent l="0" t="0" r="0" b="0"/>
            <wp:docPr id="1737972098" name="Obrázek 1737972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4865400" cy="2811120"/>
                    </a:xfrm>
                    <a:prstGeom prst="rect">
                      <a:avLst/>
                    </a:prstGeom>
                    <a:noFill/>
                    <a:ln>
                      <a:noFill/>
                    </a:ln>
                  </pic:spPr>
                </pic:pic>
              </a:graphicData>
            </a:graphic>
          </wp:inline>
        </w:drawing>
      </w:r>
    </w:p>
    <w:p w14:paraId="02B049AA" w14:textId="77777777" w:rsidR="00A14B9B" w:rsidRPr="002A0D4F" w:rsidRDefault="00A14B9B" w:rsidP="00321E0A">
      <w:pPr>
        <w:pStyle w:val="UZEIZdroj"/>
      </w:pPr>
      <w:r w:rsidRPr="002A0D4F">
        <w:t xml:space="preserve">Zdroj: </w:t>
      </w:r>
      <w:proofErr w:type="spellStart"/>
      <w:r w:rsidRPr="002A0D4F">
        <w:t>MZe</w:t>
      </w:r>
      <w:proofErr w:type="spellEnd"/>
      <w:r w:rsidRPr="002A0D4F">
        <w:t>, 2019 (Žádosti proplacené k 30. 9. 2019, operace 19.2.1), vlastní zpracování</w:t>
      </w:r>
    </w:p>
    <w:p w14:paraId="5997B480" w14:textId="77777777" w:rsidR="00A14B9B" w:rsidRPr="002A0D4F" w:rsidRDefault="00A14B9B" w:rsidP="00321E0A">
      <w:pPr>
        <w:pStyle w:val="UZEIOdrky"/>
      </w:pPr>
      <w:r w:rsidRPr="002A0D4F">
        <w:t xml:space="preserve">Celkem ze všech žádostí připadá 63 % na podnikající osoby tuzemské, což je víceméně většina proplacených žádostí fyzických osob </w:t>
      </w:r>
    </w:p>
    <w:p w14:paraId="2BF46DD7" w14:textId="77777777" w:rsidR="00A14B9B" w:rsidRPr="002A0D4F" w:rsidRDefault="00A14B9B" w:rsidP="00321E0A">
      <w:pPr>
        <w:pStyle w:val="UZEIOdrky"/>
      </w:pPr>
      <w:r w:rsidRPr="002A0D4F">
        <w:t>22 % připadá na společnosti s ručeným omezeným, po 5 % jsou zastoupeny akciové společnosti a obce nebo městské části hlavního města Prahy a 4 % procenta pak připadají na družstva</w:t>
      </w:r>
    </w:p>
    <w:p w14:paraId="5B2694B1" w14:textId="77777777" w:rsidR="00A14B9B" w:rsidRPr="002A0D4F" w:rsidRDefault="00A14B9B" w:rsidP="00321E0A">
      <w:pPr>
        <w:pStyle w:val="UZEIOdrky"/>
      </w:pPr>
      <w:r w:rsidRPr="002A0D4F">
        <w:t xml:space="preserve">Zbylé kategorie jsou v celkovém počtu proplacených žádostí zastoupeny pouze necelým procentem   </w:t>
      </w:r>
    </w:p>
    <w:p w14:paraId="72231DFE" w14:textId="77777777" w:rsidR="00A14B9B" w:rsidRPr="002A0D4F" w:rsidRDefault="00A14B9B" w:rsidP="00A14B9B">
      <w:pPr>
        <w:rPr>
          <w:szCs w:val="24"/>
          <w:lang w:val="cs-CZ"/>
        </w:rPr>
      </w:pPr>
    </w:p>
    <w:p w14:paraId="1088336A" w14:textId="77777777" w:rsidR="00321E0A" w:rsidRDefault="00321E0A">
      <w:pPr>
        <w:spacing w:after="160" w:line="259" w:lineRule="auto"/>
        <w:jc w:val="left"/>
        <w:rPr>
          <w:rFonts w:eastAsia="Times New Roman" w:cs="Arial"/>
          <w:b/>
          <w:noProof/>
          <w:sz w:val="20"/>
          <w:szCs w:val="20"/>
          <w:lang w:val="cs-CZ" w:eastAsia="cs-CZ"/>
        </w:rPr>
      </w:pPr>
      <w:bookmarkStart w:id="682" w:name="_Toc25919902"/>
      <w:r>
        <w:br w:type="page"/>
      </w:r>
    </w:p>
    <w:p w14:paraId="4842955B" w14:textId="07598677" w:rsidR="00A14B9B" w:rsidRPr="00321E0A" w:rsidRDefault="00A14B9B" w:rsidP="00321E0A">
      <w:pPr>
        <w:pStyle w:val="UZEIObr"/>
      </w:pPr>
      <w:bookmarkStart w:id="683" w:name="_Toc81815441"/>
      <w:bookmarkStart w:id="684" w:name="_Toc81817646"/>
      <w:r w:rsidRPr="00321E0A">
        <w:lastRenderedPageBreak/>
        <w:t>Žádosti podle kódu právní formy</w:t>
      </w:r>
      <w:bookmarkEnd w:id="682"/>
      <w:bookmarkEnd w:id="683"/>
      <w:bookmarkEnd w:id="684"/>
    </w:p>
    <w:p w14:paraId="3D68961B" w14:textId="77777777" w:rsidR="00A14B9B" w:rsidRPr="002A0D4F" w:rsidRDefault="00A14B9B" w:rsidP="00A14B9B">
      <w:pPr>
        <w:rPr>
          <w:szCs w:val="24"/>
          <w:lang w:val="cs-CZ"/>
        </w:rPr>
      </w:pPr>
      <w:r w:rsidRPr="002A0D4F">
        <w:rPr>
          <w:noProof/>
          <w:lang w:val="cs-CZ" w:eastAsia="cs-CZ"/>
        </w:rPr>
        <w:drawing>
          <wp:inline distT="0" distB="0" distL="0" distR="0" wp14:anchorId="2975F3B7" wp14:editId="2D136F80">
            <wp:extent cx="5146234" cy="2952750"/>
            <wp:effectExtent l="0" t="0" r="0" b="0"/>
            <wp:docPr id="1939055668" name="Obrázek 1737972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737972099"/>
                    <pic:cNvPicPr/>
                  </pic:nvPicPr>
                  <pic:blipFill>
                    <a:blip r:embed="rId125">
                      <a:extLst>
                        <a:ext uri="{28A0092B-C50C-407E-A947-70E740481C1C}">
                          <a14:useLocalDpi xmlns:a14="http://schemas.microsoft.com/office/drawing/2010/main" val="0"/>
                        </a:ext>
                      </a:extLst>
                    </a:blip>
                    <a:stretch>
                      <a:fillRect/>
                    </a:stretch>
                  </pic:blipFill>
                  <pic:spPr>
                    <a:xfrm>
                      <a:off x="0" y="0"/>
                      <a:ext cx="5146234" cy="2952750"/>
                    </a:xfrm>
                    <a:prstGeom prst="rect">
                      <a:avLst/>
                    </a:prstGeom>
                  </pic:spPr>
                </pic:pic>
              </a:graphicData>
            </a:graphic>
          </wp:inline>
        </w:drawing>
      </w:r>
    </w:p>
    <w:p w14:paraId="70535FAC" w14:textId="77777777" w:rsidR="00A14B9B" w:rsidRPr="002A0D4F" w:rsidRDefault="00A14B9B" w:rsidP="00321E0A">
      <w:pPr>
        <w:pStyle w:val="UZEIZdroj"/>
      </w:pPr>
      <w:r w:rsidRPr="002A0D4F">
        <w:t xml:space="preserve">Zdroj: </w:t>
      </w:r>
      <w:proofErr w:type="spellStart"/>
      <w:r w:rsidRPr="002A0D4F">
        <w:t>MZe</w:t>
      </w:r>
      <w:proofErr w:type="spellEnd"/>
      <w:r w:rsidRPr="002A0D4F">
        <w:t>, 2019 (Žádosti proplacené k 30. 9. 2019, operace 19.2.1), vlastní zpracování</w:t>
      </w:r>
    </w:p>
    <w:p w14:paraId="5A256C14" w14:textId="77777777" w:rsidR="00A14B9B" w:rsidRPr="002A0D4F" w:rsidRDefault="00A14B9B" w:rsidP="00321E0A">
      <w:pPr>
        <w:pStyle w:val="UZEIOdrky"/>
      </w:pPr>
      <w:r w:rsidRPr="002A0D4F">
        <w:t>Z hlediska velikostní kategorie bylo 74 % všech proplacených žádostí podáno mikro podniky</w:t>
      </w:r>
    </w:p>
    <w:p w14:paraId="68B022F7" w14:textId="77777777" w:rsidR="00A14B9B" w:rsidRPr="002A0D4F" w:rsidRDefault="00A14B9B" w:rsidP="00321E0A">
      <w:pPr>
        <w:pStyle w:val="UZEIOdrky"/>
        <w:rPr>
          <w:b/>
        </w:rPr>
      </w:pPr>
      <w:r w:rsidRPr="002A0D4F">
        <w:t xml:space="preserve">Zbytek pak připadá na malé (14 %), střední (6 %) a velké podniky (6 %) </w:t>
      </w:r>
    </w:p>
    <w:p w14:paraId="483A468E" w14:textId="77777777" w:rsidR="00A14B9B" w:rsidRPr="002A0D4F" w:rsidRDefault="00A14B9B" w:rsidP="00321E0A">
      <w:pPr>
        <w:pStyle w:val="UZEIOdrky"/>
        <w:rPr>
          <w:b/>
        </w:rPr>
      </w:pPr>
      <w:r w:rsidRPr="002A0D4F">
        <w:t>U mikro podniků převažují žádosti fyzických osob (82,5 %) nad právnickými (17,5 %)</w:t>
      </w:r>
    </w:p>
    <w:p w14:paraId="7EB193D8" w14:textId="4EFEAD86" w:rsidR="00A14B9B" w:rsidRPr="00321E0A" w:rsidRDefault="00A14B9B" w:rsidP="00321E0A">
      <w:pPr>
        <w:pStyle w:val="UZEIObr"/>
      </w:pPr>
      <w:bookmarkStart w:id="685" w:name="_Toc25919903"/>
      <w:bookmarkStart w:id="686" w:name="_Toc81815442"/>
      <w:bookmarkStart w:id="687" w:name="_Toc81817647"/>
      <w:r w:rsidRPr="00321E0A">
        <w:t>Počty žádostí podle velikostní kategorie</w:t>
      </w:r>
      <w:bookmarkEnd w:id="685"/>
      <w:bookmarkEnd w:id="686"/>
      <w:bookmarkEnd w:id="687"/>
    </w:p>
    <w:p w14:paraId="7D81B2A3" w14:textId="77777777" w:rsidR="00A14B9B" w:rsidRPr="002A0D4F" w:rsidRDefault="00A14B9B" w:rsidP="00A14B9B">
      <w:pPr>
        <w:rPr>
          <w:szCs w:val="24"/>
          <w:lang w:val="cs-CZ"/>
        </w:rPr>
      </w:pPr>
      <w:r w:rsidRPr="002A0D4F">
        <w:rPr>
          <w:noProof/>
          <w:lang w:val="cs-CZ" w:eastAsia="cs-CZ"/>
        </w:rPr>
        <w:drawing>
          <wp:inline distT="0" distB="0" distL="0" distR="0" wp14:anchorId="5DA947EE" wp14:editId="42396BC6">
            <wp:extent cx="4049485" cy="2345662"/>
            <wp:effectExtent l="0" t="0" r="8255" b="0"/>
            <wp:docPr id="767949687" name="Obrázek 1737972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737972100"/>
                    <pic:cNvPicPr/>
                  </pic:nvPicPr>
                  <pic:blipFill>
                    <a:blip r:embed="rId126">
                      <a:extLst>
                        <a:ext uri="{28A0092B-C50C-407E-A947-70E740481C1C}">
                          <a14:useLocalDpi xmlns:a14="http://schemas.microsoft.com/office/drawing/2010/main" val="0"/>
                        </a:ext>
                      </a:extLst>
                    </a:blip>
                    <a:stretch>
                      <a:fillRect/>
                    </a:stretch>
                  </pic:blipFill>
                  <pic:spPr>
                    <a:xfrm>
                      <a:off x="0" y="0"/>
                      <a:ext cx="4049485" cy="2345662"/>
                    </a:xfrm>
                    <a:prstGeom prst="rect">
                      <a:avLst/>
                    </a:prstGeom>
                  </pic:spPr>
                </pic:pic>
              </a:graphicData>
            </a:graphic>
          </wp:inline>
        </w:drawing>
      </w:r>
    </w:p>
    <w:p w14:paraId="73AF0A14" w14:textId="77777777" w:rsidR="00A14B9B" w:rsidRPr="002A0D4F" w:rsidRDefault="00A14B9B" w:rsidP="00321E0A">
      <w:pPr>
        <w:pStyle w:val="UZEIZdroj"/>
      </w:pPr>
      <w:r w:rsidRPr="002A0D4F">
        <w:t xml:space="preserve">Zdroj: </w:t>
      </w:r>
      <w:proofErr w:type="spellStart"/>
      <w:r w:rsidRPr="002A0D4F">
        <w:t>MZe</w:t>
      </w:r>
      <w:proofErr w:type="spellEnd"/>
      <w:r w:rsidRPr="002A0D4F">
        <w:t>, 2019 (Žádosti proplacené k 30. 9. 2019, operace 19.2.1), vlastní zpracování</w:t>
      </w:r>
    </w:p>
    <w:p w14:paraId="1D228CA4" w14:textId="77777777" w:rsidR="00A14B9B" w:rsidRPr="00321E0A" w:rsidRDefault="00A14B9B" w:rsidP="00321E0A">
      <w:pPr>
        <w:pStyle w:val="UZEINormaln"/>
        <w:rPr>
          <w:b/>
          <w:bCs/>
        </w:rPr>
      </w:pPr>
      <w:r w:rsidRPr="00321E0A">
        <w:rPr>
          <w:b/>
          <w:bCs/>
        </w:rPr>
        <w:t xml:space="preserve">Žádosti podle krajů </w:t>
      </w:r>
    </w:p>
    <w:p w14:paraId="517A2E4B" w14:textId="7A4C90DE" w:rsidR="00A14B9B" w:rsidRPr="002A0D4F" w:rsidRDefault="00A14B9B" w:rsidP="00321E0A">
      <w:pPr>
        <w:pStyle w:val="UZEIOdrky"/>
      </w:pPr>
      <w:r w:rsidRPr="002A0D4F">
        <w:t>Počty proplacených žádostí podle kraje jsou vyčísleny v </w:t>
      </w:r>
      <w:r w:rsidR="00DB2C4E">
        <w:fldChar w:fldCharType="begin"/>
      </w:r>
      <w:r w:rsidR="00DB2C4E">
        <w:instrText xml:space="preserve"> REF _Ref81772874 \r \h </w:instrText>
      </w:r>
      <w:r w:rsidR="00DB2C4E">
        <w:fldChar w:fldCharType="separate"/>
      </w:r>
      <w:r w:rsidR="00DB2C4E">
        <w:t>Tabulka 39</w:t>
      </w:r>
      <w:r w:rsidR="00DB2C4E">
        <w:fldChar w:fldCharType="end"/>
      </w:r>
      <w:r w:rsidR="00DB2C4E">
        <w:t xml:space="preserve"> </w:t>
      </w:r>
      <w:r w:rsidRPr="002A0D4F">
        <w:t xml:space="preserve">(respektive </w:t>
      </w:r>
      <w:r w:rsidR="00DB2C4E">
        <w:fldChar w:fldCharType="begin"/>
      </w:r>
      <w:r w:rsidR="00DB2C4E">
        <w:instrText xml:space="preserve"> REF _Ref81772885 \r \h </w:instrText>
      </w:r>
      <w:r w:rsidR="00DB2C4E">
        <w:fldChar w:fldCharType="separate"/>
      </w:r>
      <w:r w:rsidR="00DB2C4E">
        <w:t>Obrázek 62</w:t>
      </w:r>
      <w:r w:rsidR="00DB2C4E">
        <w:fldChar w:fldCharType="end"/>
      </w:r>
      <w:r w:rsidRPr="002A0D4F">
        <w:t xml:space="preserve">) </w:t>
      </w:r>
    </w:p>
    <w:p w14:paraId="574ECE5C" w14:textId="77777777" w:rsidR="00A14B9B" w:rsidRPr="002A0D4F" w:rsidRDefault="00A14B9B" w:rsidP="00321E0A">
      <w:pPr>
        <w:pStyle w:val="UZEIOdrky"/>
      </w:pPr>
      <w:r w:rsidRPr="002A0D4F">
        <w:t xml:space="preserve">V počtu žádostí dominoval Zlínský kraj se 17 % z proplacených žádostí a dále pak Olomoucký kraj se skoro 12 % následované kraji Jihočeským, Jihomoravským a Moravskoslezským s necelými 10 % </w:t>
      </w:r>
    </w:p>
    <w:p w14:paraId="054F7478" w14:textId="77777777" w:rsidR="00A14B9B" w:rsidRPr="002A0D4F" w:rsidRDefault="00A14B9B" w:rsidP="00321E0A">
      <w:pPr>
        <w:pStyle w:val="UZEIOdrky"/>
      </w:pPr>
      <w:r w:rsidRPr="002A0D4F">
        <w:t xml:space="preserve">Nejméně proplacených žádostí se pak objevilo v hlavním městě Praha, Karlovarském a Libereckém kraji </w:t>
      </w:r>
    </w:p>
    <w:p w14:paraId="5433D94A" w14:textId="77777777" w:rsidR="00A14B9B" w:rsidRPr="002A0D4F" w:rsidRDefault="00A14B9B" w:rsidP="00321E0A">
      <w:pPr>
        <w:pStyle w:val="UZEIOdrky"/>
      </w:pPr>
      <w:r w:rsidRPr="002A0D4F">
        <w:t>Jeden projekt byl evidován mimo území ČR</w:t>
      </w:r>
    </w:p>
    <w:p w14:paraId="4A9BE4EE" w14:textId="4E2C575E" w:rsidR="00A14B9B" w:rsidRPr="00321E0A" w:rsidRDefault="00321E0A" w:rsidP="00321E0A">
      <w:pPr>
        <w:pStyle w:val="UZEITaB"/>
      </w:pPr>
      <w:bookmarkStart w:id="688" w:name="_Toc25920032"/>
      <w:r w:rsidRPr="00321E0A">
        <w:lastRenderedPageBreak/>
        <w:t xml:space="preserve"> </w:t>
      </w:r>
      <w:bookmarkStart w:id="689" w:name="_Ref81772874"/>
      <w:bookmarkStart w:id="690" w:name="_Toc81815355"/>
      <w:bookmarkStart w:id="691" w:name="_Toc81817033"/>
      <w:bookmarkStart w:id="692" w:name="_Toc81817546"/>
      <w:r w:rsidR="00A14B9B" w:rsidRPr="00321E0A">
        <w:t>Počty žádostí v operaci 19.2.1 podle krajů</w:t>
      </w:r>
      <w:bookmarkEnd w:id="688"/>
      <w:bookmarkEnd w:id="689"/>
      <w:bookmarkEnd w:id="690"/>
      <w:bookmarkEnd w:id="691"/>
      <w:bookmarkEnd w:id="692"/>
    </w:p>
    <w:p w14:paraId="59AA6BC8" w14:textId="77777777" w:rsidR="00A14B9B" w:rsidRPr="002A0D4F" w:rsidRDefault="00A14B9B" w:rsidP="00A14B9B">
      <w:pPr>
        <w:rPr>
          <w:szCs w:val="24"/>
          <w:lang w:val="cs-CZ"/>
        </w:rPr>
      </w:pPr>
      <w:r w:rsidRPr="002A0D4F">
        <w:rPr>
          <w:noProof/>
          <w:szCs w:val="24"/>
          <w:lang w:val="cs-CZ" w:eastAsia="cs-CZ"/>
        </w:rPr>
        <w:drawing>
          <wp:inline distT="0" distB="0" distL="0" distR="0" wp14:anchorId="2FE85D81" wp14:editId="0057D7C9">
            <wp:extent cx="2232561" cy="2521172"/>
            <wp:effectExtent l="0" t="0" r="0" b="0"/>
            <wp:docPr id="1737972102" name="Obrázek 1737972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2236966" cy="2526147"/>
                    </a:xfrm>
                    <a:prstGeom prst="rect">
                      <a:avLst/>
                    </a:prstGeom>
                    <a:noFill/>
                    <a:ln>
                      <a:noFill/>
                    </a:ln>
                  </pic:spPr>
                </pic:pic>
              </a:graphicData>
            </a:graphic>
          </wp:inline>
        </w:drawing>
      </w:r>
    </w:p>
    <w:p w14:paraId="79F5B204" w14:textId="77777777" w:rsidR="00A14B9B" w:rsidRPr="002A0D4F" w:rsidRDefault="00A14B9B" w:rsidP="00321E0A">
      <w:pPr>
        <w:pStyle w:val="UZEIZdroj"/>
      </w:pPr>
      <w:r w:rsidRPr="002A0D4F">
        <w:t xml:space="preserve">Zdroj: </w:t>
      </w:r>
      <w:proofErr w:type="spellStart"/>
      <w:r w:rsidRPr="002A0D4F">
        <w:t>MZe</w:t>
      </w:r>
      <w:proofErr w:type="spellEnd"/>
      <w:r w:rsidRPr="002A0D4F">
        <w:t>, 2019 (Žádosti proplacené k 30. 9. 2019, operace 19.2.1), vlastní zpracování</w:t>
      </w:r>
    </w:p>
    <w:p w14:paraId="61BB45E7" w14:textId="2504519D" w:rsidR="00A14B9B" w:rsidRPr="002A0D4F" w:rsidRDefault="00A14B9B" w:rsidP="00321E0A">
      <w:pPr>
        <w:pStyle w:val="UZEIObr"/>
      </w:pPr>
      <w:bookmarkStart w:id="693" w:name="_Toc25919904"/>
      <w:bookmarkStart w:id="694" w:name="_Ref81772885"/>
      <w:bookmarkStart w:id="695" w:name="_Toc81815443"/>
      <w:bookmarkStart w:id="696" w:name="_Toc81817648"/>
      <w:r w:rsidRPr="002A0D4F">
        <w:t>Podíl žádostí podle krajů</w:t>
      </w:r>
      <w:bookmarkEnd w:id="693"/>
      <w:bookmarkEnd w:id="694"/>
      <w:bookmarkEnd w:id="695"/>
      <w:bookmarkEnd w:id="696"/>
    </w:p>
    <w:p w14:paraId="687591E5" w14:textId="77777777" w:rsidR="00A14B9B" w:rsidRPr="002A0D4F" w:rsidRDefault="00A14B9B" w:rsidP="00A14B9B">
      <w:pPr>
        <w:rPr>
          <w:szCs w:val="24"/>
          <w:lang w:val="cs-CZ"/>
        </w:rPr>
      </w:pPr>
      <w:r w:rsidRPr="002A0D4F">
        <w:rPr>
          <w:noProof/>
          <w:lang w:val="cs-CZ" w:eastAsia="cs-CZ"/>
        </w:rPr>
        <w:drawing>
          <wp:inline distT="0" distB="0" distL="0" distR="0" wp14:anchorId="44FDFD28" wp14:editId="5EE5B7C8">
            <wp:extent cx="3739091" cy="2536166"/>
            <wp:effectExtent l="0" t="0" r="0" b="0"/>
            <wp:docPr id="1864846315" name="Obrázek 1737972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737972103"/>
                    <pic:cNvPicPr/>
                  </pic:nvPicPr>
                  <pic:blipFill>
                    <a:blip r:embed="rId128">
                      <a:extLst>
                        <a:ext uri="{28A0092B-C50C-407E-A947-70E740481C1C}">
                          <a14:useLocalDpi xmlns:a14="http://schemas.microsoft.com/office/drawing/2010/main" val="0"/>
                        </a:ext>
                      </a:extLst>
                    </a:blip>
                    <a:stretch>
                      <a:fillRect/>
                    </a:stretch>
                  </pic:blipFill>
                  <pic:spPr>
                    <a:xfrm>
                      <a:off x="0" y="0"/>
                      <a:ext cx="3739091" cy="2536166"/>
                    </a:xfrm>
                    <a:prstGeom prst="rect">
                      <a:avLst/>
                    </a:prstGeom>
                  </pic:spPr>
                </pic:pic>
              </a:graphicData>
            </a:graphic>
          </wp:inline>
        </w:drawing>
      </w:r>
    </w:p>
    <w:p w14:paraId="016AFC60" w14:textId="77777777" w:rsidR="00A14B9B" w:rsidRPr="002A0D4F" w:rsidRDefault="00A14B9B" w:rsidP="00321E0A">
      <w:pPr>
        <w:pStyle w:val="UZEIZdroj"/>
      </w:pPr>
      <w:r w:rsidRPr="002A0D4F">
        <w:t xml:space="preserve">Zdroj: </w:t>
      </w:r>
      <w:proofErr w:type="spellStart"/>
      <w:r w:rsidRPr="002A0D4F">
        <w:t>MZe</w:t>
      </w:r>
      <w:proofErr w:type="spellEnd"/>
      <w:r w:rsidRPr="002A0D4F">
        <w:t>, 2019 (Žádosti proplacené k 30. 9. 2019, operace 19.2.1), vlastní zpracování</w:t>
      </w:r>
    </w:p>
    <w:p w14:paraId="1594B021" w14:textId="77777777" w:rsidR="00A14B9B" w:rsidRPr="00DB2C4E" w:rsidRDefault="00A14B9B" w:rsidP="00DB2C4E">
      <w:pPr>
        <w:pStyle w:val="UZEINormaln"/>
        <w:rPr>
          <w:b/>
          <w:bCs/>
        </w:rPr>
      </w:pPr>
      <w:r w:rsidRPr="00DB2C4E">
        <w:rPr>
          <w:b/>
          <w:bCs/>
        </w:rPr>
        <w:t>Žádostí podle přiřazeného kódu článku nařízení</w:t>
      </w:r>
    </w:p>
    <w:p w14:paraId="0435B19A" w14:textId="01ACB6BF" w:rsidR="00A14B9B" w:rsidRPr="002A0D4F" w:rsidRDefault="00A14B9B" w:rsidP="00DB2C4E">
      <w:pPr>
        <w:pStyle w:val="UZEIOdrky"/>
      </w:pPr>
      <w:r w:rsidRPr="002A0D4F">
        <w:t>Na </w:t>
      </w:r>
      <w:r w:rsidR="00390049">
        <w:fldChar w:fldCharType="begin"/>
      </w:r>
      <w:r w:rsidR="00390049">
        <w:instrText xml:space="preserve"> REF _Ref81773026 \r \h </w:instrText>
      </w:r>
      <w:r w:rsidR="00390049">
        <w:fldChar w:fldCharType="separate"/>
      </w:r>
      <w:r w:rsidR="00390049">
        <w:t>Obrázek 63</w:t>
      </w:r>
      <w:r w:rsidR="00390049">
        <w:fldChar w:fldCharType="end"/>
      </w:r>
      <w:r w:rsidR="009F2753">
        <w:t xml:space="preserve"> </w:t>
      </w:r>
      <w:r w:rsidRPr="002A0D4F">
        <w:t>je vidět zastoupení proplacených žádostí podle zařazení k danému článku nařízení.</w:t>
      </w:r>
    </w:p>
    <w:p w14:paraId="1AEB133A" w14:textId="47B3D008" w:rsidR="00A14B9B" w:rsidRPr="002A0D4F" w:rsidRDefault="00A14B9B" w:rsidP="00DB2C4E">
      <w:pPr>
        <w:pStyle w:val="UZEIOdrky"/>
      </w:pPr>
      <w:r w:rsidRPr="002A0D4F">
        <w:t>V </w:t>
      </w:r>
      <w:r w:rsidR="00390049">
        <w:fldChar w:fldCharType="begin"/>
      </w:r>
      <w:r w:rsidR="00390049">
        <w:instrText xml:space="preserve"> REF _Ref81772995 \r \h </w:instrText>
      </w:r>
      <w:r w:rsidR="00390049">
        <w:fldChar w:fldCharType="separate"/>
      </w:r>
      <w:r w:rsidR="00390049">
        <w:t>Tabulka 40</w:t>
      </w:r>
      <w:r w:rsidR="00390049">
        <w:fldChar w:fldCharType="end"/>
      </w:r>
      <w:r w:rsidR="00390049">
        <w:t xml:space="preserve"> </w:t>
      </w:r>
      <w:r w:rsidRPr="002A0D4F">
        <w:t>je pak vyjádřen procentuální podíl žádostí podle článku nařízení z celkového počtu proplacených žádostí. Nejvíce (56,15 %) je zastoupen článek nařízení 17.1.a) investice do zemědělských podniků (17.1.a). Následuje s 27, 9 % podpora investic na založení nebo rozvoj nezemědělských činností (čl. 19.1.b).</w:t>
      </w:r>
    </w:p>
    <w:p w14:paraId="474D46FA" w14:textId="77777777" w:rsidR="00A14B9B" w:rsidRPr="002A0D4F" w:rsidRDefault="00A14B9B" w:rsidP="00DB2C4E">
      <w:pPr>
        <w:pStyle w:val="UZEIOdrky"/>
      </w:pPr>
      <w:r w:rsidRPr="002A0D4F">
        <w:t>Naopak nejmenší zastoupení mají články nařízení – předávání znalostí a informační akce (14) a investice do ochrany melioračních a zpevňujících dřevin (25 IOD) obojí 0, 17 %</w:t>
      </w:r>
    </w:p>
    <w:p w14:paraId="7AA8B36B" w14:textId="77777777" w:rsidR="00A14B9B" w:rsidRPr="002A0D4F" w:rsidRDefault="00A14B9B" w:rsidP="00A14B9B">
      <w:pPr>
        <w:spacing w:after="160" w:line="259" w:lineRule="auto"/>
        <w:rPr>
          <w:szCs w:val="24"/>
          <w:lang w:val="cs-CZ"/>
        </w:rPr>
      </w:pPr>
    </w:p>
    <w:p w14:paraId="34F7FE77" w14:textId="77777777" w:rsidR="00A14B9B" w:rsidRPr="002A0D4F" w:rsidRDefault="00A14B9B" w:rsidP="00A14B9B">
      <w:pPr>
        <w:spacing w:after="160" w:line="259" w:lineRule="auto"/>
        <w:rPr>
          <w:szCs w:val="24"/>
          <w:lang w:val="cs-CZ"/>
        </w:rPr>
      </w:pPr>
    </w:p>
    <w:p w14:paraId="28E9F8F8" w14:textId="77777777" w:rsidR="00A14B9B" w:rsidRPr="002A0D4F" w:rsidRDefault="00A14B9B" w:rsidP="00A14B9B">
      <w:pPr>
        <w:spacing w:after="160" w:line="259" w:lineRule="auto"/>
        <w:rPr>
          <w:szCs w:val="24"/>
          <w:lang w:val="cs-CZ"/>
        </w:rPr>
      </w:pPr>
    </w:p>
    <w:p w14:paraId="67621282" w14:textId="2F618820" w:rsidR="00A14B9B" w:rsidRPr="009F2753" w:rsidRDefault="009F2753" w:rsidP="009F2753">
      <w:pPr>
        <w:pStyle w:val="UZEITaB"/>
      </w:pPr>
      <w:bookmarkStart w:id="697" w:name="_Toc25920033"/>
      <w:r>
        <w:lastRenderedPageBreak/>
        <w:t xml:space="preserve"> </w:t>
      </w:r>
      <w:bookmarkStart w:id="698" w:name="_Ref81772995"/>
      <w:bookmarkStart w:id="699" w:name="_Toc81815356"/>
      <w:bookmarkStart w:id="700" w:name="_Toc81817034"/>
      <w:bookmarkStart w:id="701" w:name="_Toc81817547"/>
      <w:r w:rsidR="00A14B9B" w:rsidRPr="009F2753">
        <w:t>Podíl žádostí podle kódu článku nařízení</w:t>
      </w:r>
      <w:bookmarkEnd w:id="697"/>
      <w:bookmarkEnd w:id="698"/>
      <w:bookmarkEnd w:id="699"/>
      <w:bookmarkEnd w:id="700"/>
      <w:bookmarkEnd w:id="701"/>
    </w:p>
    <w:tbl>
      <w:tblPr>
        <w:tblStyle w:val="Mkatabulky"/>
        <w:tblpPr w:leftFromText="141" w:rightFromText="141" w:vertAnchor="text" w:horzAnchor="margin" w:tblpY="5"/>
        <w:tblW w:w="0" w:type="auto"/>
        <w:tblLook w:val="04A0" w:firstRow="1" w:lastRow="0" w:firstColumn="1" w:lastColumn="0" w:noHBand="0" w:noVBand="1"/>
      </w:tblPr>
      <w:tblGrid>
        <w:gridCol w:w="1781"/>
        <w:gridCol w:w="5762"/>
        <w:gridCol w:w="1064"/>
      </w:tblGrid>
      <w:tr w:rsidR="00A14B9B" w:rsidRPr="009F2753" w14:paraId="7E818381" w14:textId="77777777" w:rsidTr="00DB1D1D">
        <w:trPr>
          <w:trHeight w:val="422"/>
        </w:trPr>
        <w:tc>
          <w:tcPr>
            <w:tcW w:w="1781" w:type="dxa"/>
            <w:hideMark/>
          </w:tcPr>
          <w:p w14:paraId="386CEE6E" w14:textId="77777777" w:rsidR="00A14B9B" w:rsidRPr="009F2753" w:rsidRDefault="00A14B9B" w:rsidP="00DB1D1D">
            <w:pPr>
              <w:rPr>
                <w:b/>
                <w:bCs/>
                <w:sz w:val="22"/>
              </w:rPr>
            </w:pPr>
            <w:r w:rsidRPr="009F2753">
              <w:rPr>
                <w:b/>
                <w:bCs/>
                <w:sz w:val="22"/>
              </w:rPr>
              <w:t>Kód článku nařízení PRV</w:t>
            </w:r>
          </w:p>
        </w:tc>
        <w:tc>
          <w:tcPr>
            <w:tcW w:w="5762" w:type="dxa"/>
            <w:hideMark/>
          </w:tcPr>
          <w:p w14:paraId="4603B4B9" w14:textId="77777777" w:rsidR="00A14B9B" w:rsidRPr="009F2753" w:rsidRDefault="00A14B9B" w:rsidP="00DB1D1D">
            <w:pPr>
              <w:ind w:firstLine="34"/>
              <w:rPr>
                <w:b/>
                <w:bCs/>
                <w:sz w:val="22"/>
              </w:rPr>
            </w:pPr>
            <w:r w:rsidRPr="009F2753">
              <w:rPr>
                <w:b/>
                <w:bCs/>
                <w:sz w:val="22"/>
              </w:rPr>
              <w:t>Popis článku nařízení</w:t>
            </w:r>
          </w:p>
        </w:tc>
        <w:tc>
          <w:tcPr>
            <w:tcW w:w="1064" w:type="dxa"/>
            <w:hideMark/>
          </w:tcPr>
          <w:p w14:paraId="1738F0FB" w14:textId="77777777" w:rsidR="00A14B9B" w:rsidRPr="009F2753" w:rsidRDefault="00A14B9B" w:rsidP="00DB1D1D">
            <w:pPr>
              <w:ind w:firstLine="34"/>
              <w:rPr>
                <w:b/>
                <w:bCs/>
                <w:sz w:val="22"/>
              </w:rPr>
            </w:pPr>
            <w:r w:rsidRPr="009F2753">
              <w:rPr>
                <w:b/>
                <w:bCs/>
                <w:sz w:val="22"/>
              </w:rPr>
              <w:t>Podíl</w:t>
            </w:r>
          </w:p>
        </w:tc>
      </w:tr>
      <w:tr w:rsidR="00A14B9B" w:rsidRPr="009F2753" w14:paraId="40524FD8" w14:textId="77777777" w:rsidTr="00DB1D1D">
        <w:trPr>
          <w:trHeight w:val="210"/>
        </w:trPr>
        <w:tc>
          <w:tcPr>
            <w:tcW w:w="1781" w:type="dxa"/>
            <w:hideMark/>
          </w:tcPr>
          <w:p w14:paraId="499EE027" w14:textId="77777777" w:rsidR="00A14B9B" w:rsidRPr="009F2753" w:rsidRDefault="00A14B9B" w:rsidP="00DB1D1D">
            <w:pPr>
              <w:jc w:val="center"/>
              <w:rPr>
                <w:sz w:val="22"/>
              </w:rPr>
            </w:pPr>
            <w:r w:rsidRPr="009F2753">
              <w:rPr>
                <w:sz w:val="22"/>
              </w:rPr>
              <w:t>14</w:t>
            </w:r>
          </w:p>
        </w:tc>
        <w:tc>
          <w:tcPr>
            <w:tcW w:w="5762" w:type="dxa"/>
            <w:hideMark/>
          </w:tcPr>
          <w:p w14:paraId="6F0A0E68" w14:textId="77777777" w:rsidR="00A14B9B" w:rsidRPr="009F2753" w:rsidRDefault="00A14B9B" w:rsidP="00DB1D1D">
            <w:pPr>
              <w:ind w:firstLine="34"/>
              <w:rPr>
                <w:sz w:val="22"/>
              </w:rPr>
            </w:pPr>
            <w:r w:rsidRPr="009F2753">
              <w:rPr>
                <w:sz w:val="22"/>
              </w:rPr>
              <w:t>Předávání znalostí a informační akce</w:t>
            </w:r>
          </w:p>
        </w:tc>
        <w:tc>
          <w:tcPr>
            <w:tcW w:w="1064" w:type="dxa"/>
            <w:noWrap/>
            <w:hideMark/>
          </w:tcPr>
          <w:p w14:paraId="6FD7AE9A" w14:textId="77777777" w:rsidR="00A14B9B" w:rsidRPr="009F2753" w:rsidRDefault="00A14B9B" w:rsidP="00DB1D1D">
            <w:pPr>
              <w:ind w:firstLine="34"/>
              <w:jc w:val="center"/>
              <w:rPr>
                <w:sz w:val="22"/>
              </w:rPr>
            </w:pPr>
            <w:r w:rsidRPr="009F2753">
              <w:rPr>
                <w:sz w:val="22"/>
              </w:rPr>
              <w:t>0,17 %</w:t>
            </w:r>
          </w:p>
        </w:tc>
      </w:tr>
      <w:tr w:rsidR="00A14B9B" w:rsidRPr="009F2753" w14:paraId="222461F8" w14:textId="77777777" w:rsidTr="00DB1D1D">
        <w:trPr>
          <w:trHeight w:val="210"/>
        </w:trPr>
        <w:tc>
          <w:tcPr>
            <w:tcW w:w="1781" w:type="dxa"/>
            <w:hideMark/>
          </w:tcPr>
          <w:p w14:paraId="30CDDBB9" w14:textId="77777777" w:rsidR="00A14B9B" w:rsidRPr="009F2753" w:rsidRDefault="00A14B9B" w:rsidP="00DB1D1D">
            <w:pPr>
              <w:jc w:val="center"/>
              <w:rPr>
                <w:sz w:val="22"/>
              </w:rPr>
            </w:pPr>
            <w:r w:rsidRPr="009F2753">
              <w:rPr>
                <w:sz w:val="22"/>
              </w:rPr>
              <w:t>17.1.a</w:t>
            </w:r>
          </w:p>
        </w:tc>
        <w:tc>
          <w:tcPr>
            <w:tcW w:w="5762" w:type="dxa"/>
            <w:hideMark/>
          </w:tcPr>
          <w:p w14:paraId="64732245" w14:textId="77777777" w:rsidR="00A14B9B" w:rsidRPr="009F2753" w:rsidRDefault="00A14B9B" w:rsidP="00DB1D1D">
            <w:pPr>
              <w:ind w:firstLine="34"/>
              <w:rPr>
                <w:sz w:val="22"/>
              </w:rPr>
            </w:pPr>
            <w:r w:rsidRPr="009F2753">
              <w:rPr>
                <w:sz w:val="22"/>
              </w:rPr>
              <w:t>Investice do zemědělských podniků</w:t>
            </w:r>
          </w:p>
        </w:tc>
        <w:tc>
          <w:tcPr>
            <w:tcW w:w="1064" w:type="dxa"/>
            <w:noWrap/>
            <w:hideMark/>
          </w:tcPr>
          <w:p w14:paraId="2FF697A5" w14:textId="77777777" w:rsidR="00A14B9B" w:rsidRPr="009F2753" w:rsidRDefault="00A14B9B" w:rsidP="00DB1D1D">
            <w:pPr>
              <w:ind w:firstLine="34"/>
              <w:jc w:val="center"/>
              <w:rPr>
                <w:sz w:val="22"/>
              </w:rPr>
            </w:pPr>
            <w:r w:rsidRPr="009F2753">
              <w:rPr>
                <w:sz w:val="22"/>
              </w:rPr>
              <w:t>56,15 %</w:t>
            </w:r>
          </w:p>
        </w:tc>
      </w:tr>
      <w:tr w:rsidR="00A14B9B" w:rsidRPr="009F2753" w14:paraId="38355BF5" w14:textId="77777777" w:rsidTr="00DB1D1D">
        <w:trPr>
          <w:trHeight w:val="210"/>
        </w:trPr>
        <w:tc>
          <w:tcPr>
            <w:tcW w:w="1781" w:type="dxa"/>
            <w:hideMark/>
          </w:tcPr>
          <w:p w14:paraId="68CF3671" w14:textId="77777777" w:rsidR="00A14B9B" w:rsidRPr="009F2753" w:rsidRDefault="00A14B9B" w:rsidP="00DB1D1D">
            <w:pPr>
              <w:jc w:val="center"/>
              <w:rPr>
                <w:sz w:val="22"/>
              </w:rPr>
            </w:pPr>
            <w:r w:rsidRPr="009F2753">
              <w:rPr>
                <w:sz w:val="22"/>
              </w:rPr>
              <w:t>17.1.b</w:t>
            </w:r>
          </w:p>
        </w:tc>
        <w:tc>
          <w:tcPr>
            <w:tcW w:w="5762" w:type="dxa"/>
            <w:hideMark/>
          </w:tcPr>
          <w:p w14:paraId="70687499" w14:textId="77777777" w:rsidR="00A14B9B" w:rsidRPr="009F2753" w:rsidRDefault="00A14B9B" w:rsidP="00DB1D1D">
            <w:pPr>
              <w:ind w:firstLine="34"/>
              <w:rPr>
                <w:sz w:val="22"/>
              </w:rPr>
            </w:pPr>
            <w:r w:rsidRPr="009F2753">
              <w:rPr>
                <w:sz w:val="22"/>
              </w:rPr>
              <w:t>Zpracování a uvádění na trh zemědělských produktů</w:t>
            </w:r>
          </w:p>
        </w:tc>
        <w:tc>
          <w:tcPr>
            <w:tcW w:w="1064" w:type="dxa"/>
            <w:noWrap/>
            <w:hideMark/>
          </w:tcPr>
          <w:p w14:paraId="724E12D5" w14:textId="77777777" w:rsidR="00A14B9B" w:rsidRPr="009F2753" w:rsidRDefault="00A14B9B" w:rsidP="00DB1D1D">
            <w:pPr>
              <w:ind w:firstLine="34"/>
              <w:jc w:val="center"/>
              <w:rPr>
                <w:sz w:val="22"/>
              </w:rPr>
            </w:pPr>
            <w:r w:rsidRPr="009F2753">
              <w:rPr>
                <w:sz w:val="22"/>
              </w:rPr>
              <w:t>6,38 %</w:t>
            </w:r>
          </w:p>
        </w:tc>
      </w:tr>
      <w:tr w:rsidR="00A14B9B" w:rsidRPr="009F2753" w14:paraId="23D4D85A" w14:textId="77777777" w:rsidTr="00DB1D1D">
        <w:trPr>
          <w:trHeight w:val="210"/>
        </w:trPr>
        <w:tc>
          <w:tcPr>
            <w:tcW w:w="1781" w:type="dxa"/>
            <w:hideMark/>
          </w:tcPr>
          <w:p w14:paraId="7215931A" w14:textId="77777777" w:rsidR="00A14B9B" w:rsidRPr="009F2753" w:rsidRDefault="00A14B9B" w:rsidP="00DB1D1D">
            <w:pPr>
              <w:jc w:val="center"/>
              <w:rPr>
                <w:sz w:val="22"/>
              </w:rPr>
            </w:pPr>
            <w:r w:rsidRPr="009F2753">
              <w:rPr>
                <w:sz w:val="22"/>
              </w:rPr>
              <w:t>17.1.c (LI)</w:t>
            </w:r>
          </w:p>
        </w:tc>
        <w:tc>
          <w:tcPr>
            <w:tcW w:w="5762" w:type="dxa"/>
            <w:hideMark/>
          </w:tcPr>
          <w:p w14:paraId="40B94920" w14:textId="77777777" w:rsidR="00A14B9B" w:rsidRPr="009F2753" w:rsidRDefault="00A14B9B" w:rsidP="00DB1D1D">
            <w:pPr>
              <w:ind w:firstLine="34"/>
              <w:rPr>
                <w:sz w:val="22"/>
              </w:rPr>
            </w:pPr>
            <w:r w:rsidRPr="009F2753">
              <w:rPr>
                <w:sz w:val="22"/>
              </w:rPr>
              <w:t>Lesnická infrastruktura</w:t>
            </w:r>
          </w:p>
        </w:tc>
        <w:tc>
          <w:tcPr>
            <w:tcW w:w="1064" w:type="dxa"/>
            <w:noWrap/>
            <w:hideMark/>
          </w:tcPr>
          <w:p w14:paraId="1F37340F" w14:textId="77777777" w:rsidR="00A14B9B" w:rsidRPr="009F2753" w:rsidRDefault="00A14B9B" w:rsidP="00DB1D1D">
            <w:pPr>
              <w:ind w:firstLine="34"/>
              <w:jc w:val="center"/>
              <w:rPr>
                <w:sz w:val="22"/>
              </w:rPr>
            </w:pPr>
            <w:r w:rsidRPr="009F2753">
              <w:rPr>
                <w:sz w:val="22"/>
              </w:rPr>
              <w:t>0,23 %</w:t>
            </w:r>
          </w:p>
        </w:tc>
      </w:tr>
      <w:tr w:rsidR="00A14B9B" w:rsidRPr="009F2753" w14:paraId="0DA11D33" w14:textId="77777777" w:rsidTr="00DB1D1D">
        <w:trPr>
          <w:trHeight w:val="210"/>
        </w:trPr>
        <w:tc>
          <w:tcPr>
            <w:tcW w:w="1781" w:type="dxa"/>
            <w:hideMark/>
          </w:tcPr>
          <w:p w14:paraId="377CB150" w14:textId="77777777" w:rsidR="00A14B9B" w:rsidRPr="009F2753" w:rsidRDefault="00A14B9B" w:rsidP="00DB1D1D">
            <w:pPr>
              <w:jc w:val="center"/>
              <w:rPr>
                <w:sz w:val="22"/>
              </w:rPr>
            </w:pPr>
            <w:r w:rsidRPr="009F2753">
              <w:rPr>
                <w:sz w:val="22"/>
              </w:rPr>
              <w:t>17.1.c (ZI)</w:t>
            </w:r>
          </w:p>
        </w:tc>
        <w:tc>
          <w:tcPr>
            <w:tcW w:w="5762" w:type="dxa"/>
            <w:hideMark/>
          </w:tcPr>
          <w:p w14:paraId="45AB21E1" w14:textId="77777777" w:rsidR="00A14B9B" w:rsidRPr="009F2753" w:rsidRDefault="00A14B9B" w:rsidP="00DB1D1D">
            <w:pPr>
              <w:ind w:firstLine="34"/>
              <w:rPr>
                <w:sz w:val="22"/>
              </w:rPr>
            </w:pPr>
            <w:r w:rsidRPr="009F2753">
              <w:rPr>
                <w:sz w:val="22"/>
              </w:rPr>
              <w:t>Zemědělská infrastruktura</w:t>
            </w:r>
          </w:p>
        </w:tc>
        <w:tc>
          <w:tcPr>
            <w:tcW w:w="1064" w:type="dxa"/>
            <w:noWrap/>
            <w:hideMark/>
          </w:tcPr>
          <w:p w14:paraId="513F8A15" w14:textId="77777777" w:rsidR="00A14B9B" w:rsidRPr="009F2753" w:rsidRDefault="00A14B9B" w:rsidP="00DB1D1D">
            <w:pPr>
              <w:ind w:firstLine="34"/>
              <w:jc w:val="center"/>
              <w:rPr>
                <w:sz w:val="22"/>
              </w:rPr>
            </w:pPr>
            <w:r w:rsidRPr="009F2753">
              <w:rPr>
                <w:sz w:val="22"/>
              </w:rPr>
              <w:t>0,64 %</w:t>
            </w:r>
          </w:p>
        </w:tc>
      </w:tr>
      <w:tr w:rsidR="00A14B9B" w:rsidRPr="009F2753" w14:paraId="4687F5A2" w14:textId="77777777" w:rsidTr="00DB1D1D">
        <w:trPr>
          <w:trHeight w:val="210"/>
        </w:trPr>
        <w:tc>
          <w:tcPr>
            <w:tcW w:w="1781" w:type="dxa"/>
            <w:hideMark/>
          </w:tcPr>
          <w:p w14:paraId="78E9F1A2" w14:textId="77777777" w:rsidR="00A14B9B" w:rsidRPr="009F2753" w:rsidRDefault="00A14B9B" w:rsidP="00DB1D1D">
            <w:pPr>
              <w:jc w:val="center"/>
              <w:rPr>
                <w:sz w:val="22"/>
              </w:rPr>
            </w:pPr>
            <w:r w:rsidRPr="009F2753">
              <w:rPr>
                <w:sz w:val="22"/>
              </w:rPr>
              <w:t>19.1.b</w:t>
            </w:r>
          </w:p>
        </w:tc>
        <w:tc>
          <w:tcPr>
            <w:tcW w:w="5762" w:type="dxa"/>
            <w:hideMark/>
          </w:tcPr>
          <w:p w14:paraId="41E7D853" w14:textId="77777777" w:rsidR="00A14B9B" w:rsidRPr="009F2753" w:rsidRDefault="00A14B9B" w:rsidP="00DB1D1D">
            <w:pPr>
              <w:ind w:firstLine="34"/>
              <w:rPr>
                <w:sz w:val="22"/>
              </w:rPr>
            </w:pPr>
            <w:r w:rsidRPr="009F2753">
              <w:rPr>
                <w:sz w:val="22"/>
              </w:rPr>
              <w:t>Podpora investic na založení nebo rozvoj nezemědělských činností</w:t>
            </w:r>
          </w:p>
        </w:tc>
        <w:tc>
          <w:tcPr>
            <w:tcW w:w="1064" w:type="dxa"/>
            <w:noWrap/>
            <w:hideMark/>
          </w:tcPr>
          <w:p w14:paraId="7662C762" w14:textId="77777777" w:rsidR="00A14B9B" w:rsidRPr="009F2753" w:rsidRDefault="00A14B9B" w:rsidP="00DB1D1D">
            <w:pPr>
              <w:ind w:firstLine="34"/>
              <w:jc w:val="center"/>
              <w:rPr>
                <w:sz w:val="22"/>
              </w:rPr>
            </w:pPr>
            <w:r w:rsidRPr="009F2753">
              <w:rPr>
                <w:sz w:val="22"/>
              </w:rPr>
              <w:t>27,90 %</w:t>
            </w:r>
          </w:p>
        </w:tc>
      </w:tr>
      <w:tr w:rsidR="00A14B9B" w:rsidRPr="009F2753" w14:paraId="393F86D3" w14:textId="77777777" w:rsidTr="00DB1D1D">
        <w:trPr>
          <w:trHeight w:val="210"/>
        </w:trPr>
        <w:tc>
          <w:tcPr>
            <w:tcW w:w="1781" w:type="dxa"/>
            <w:hideMark/>
          </w:tcPr>
          <w:p w14:paraId="68E72B94" w14:textId="77777777" w:rsidR="00A14B9B" w:rsidRPr="009F2753" w:rsidRDefault="00A14B9B" w:rsidP="00DB1D1D">
            <w:pPr>
              <w:jc w:val="center"/>
              <w:rPr>
                <w:sz w:val="22"/>
              </w:rPr>
            </w:pPr>
            <w:r w:rsidRPr="009F2753">
              <w:rPr>
                <w:sz w:val="22"/>
              </w:rPr>
              <w:t>25 (IOD)</w:t>
            </w:r>
          </w:p>
        </w:tc>
        <w:tc>
          <w:tcPr>
            <w:tcW w:w="5762" w:type="dxa"/>
            <w:hideMark/>
          </w:tcPr>
          <w:p w14:paraId="077FC3E8" w14:textId="77777777" w:rsidR="00A14B9B" w:rsidRPr="009F2753" w:rsidRDefault="00A14B9B" w:rsidP="00DB1D1D">
            <w:pPr>
              <w:ind w:firstLine="34"/>
              <w:rPr>
                <w:sz w:val="22"/>
              </w:rPr>
            </w:pPr>
            <w:r w:rsidRPr="009F2753">
              <w:rPr>
                <w:sz w:val="22"/>
              </w:rPr>
              <w:t>Investice do ochrany melioračních a zpevňujících dřevin</w:t>
            </w:r>
          </w:p>
        </w:tc>
        <w:tc>
          <w:tcPr>
            <w:tcW w:w="1064" w:type="dxa"/>
            <w:noWrap/>
            <w:hideMark/>
          </w:tcPr>
          <w:p w14:paraId="4B8B476A" w14:textId="77777777" w:rsidR="00A14B9B" w:rsidRPr="009F2753" w:rsidRDefault="00A14B9B" w:rsidP="00DB1D1D">
            <w:pPr>
              <w:ind w:firstLine="34"/>
              <w:jc w:val="center"/>
              <w:rPr>
                <w:sz w:val="22"/>
              </w:rPr>
            </w:pPr>
            <w:r w:rsidRPr="009F2753">
              <w:rPr>
                <w:sz w:val="22"/>
              </w:rPr>
              <w:t>0,17 %</w:t>
            </w:r>
          </w:p>
        </w:tc>
      </w:tr>
      <w:tr w:rsidR="00A14B9B" w:rsidRPr="009F2753" w14:paraId="2DE0B9C7" w14:textId="77777777" w:rsidTr="00DB1D1D">
        <w:trPr>
          <w:trHeight w:val="210"/>
        </w:trPr>
        <w:tc>
          <w:tcPr>
            <w:tcW w:w="1781" w:type="dxa"/>
            <w:hideMark/>
          </w:tcPr>
          <w:p w14:paraId="552413E8" w14:textId="77777777" w:rsidR="00A14B9B" w:rsidRPr="009F2753" w:rsidRDefault="00A14B9B" w:rsidP="00DB1D1D">
            <w:pPr>
              <w:jc w:val="center"/>
              <w:rPr>
                <w:sz w:val="22"/>
              </w:rPr>
            </w:pPr>
            <w:r w:rsidRPr="009F2753">
              <w:rPr>
                <w:sz w:val="22"/>
              </w:rPr>
              <w:t>25 (NIL)</w:t>
            </w:r>
          </w:p>
        </w:tc>
        <w:tc>
          <w:tcPr>
            <w:tcW w:w="5762" w:type="dxa"/>
            <w:hideMark/>
          </w:tcPr>
          <w:p w14:paraId="641CA184" w14:textId="77777777" w:rsidR="00A14B9B" w:rsidRPr="009F2753" w:rsidRDefault="00A14B9B" w:rsidP="00DB1D1D">
            <w:pPr>
              <w:ind w:firstLine="34"/>
              <w:rPr>
                <w:sz w:val="22"/>
              </w:rPr>
            </w:pPr>
            <w:r w:rsidRPr="009F2753">
              <w:rPr>
                <w:sz w:val="22"/>
              </w:rPr>
              <w:t>Neproduktivní investice v lesích</w:t>
            </w:r>
          </w:p>
        </w:tc>
        <w:tc>
          <w:tcPr>
            <w:tcW w:w="1064" w:type="dxa"/>
            <w:noWrap/>
            <w:hideMark/>
          </w:tcPr>
          <w:p w14:paraId="396D36EB" w14:textId="77777777" w:rsidR="00A14B9B" w:rsidRPr="009F2753" w:rsidRDefault="00A14B9B" w:rsidP="00DB1D1D">
            <w:pPr>
              <w:ind w:firstLine="34"/>
              <w:jc w:val="center"/>
              <w:rPr>
                <w:sz w:val="22"/>
              </w:rPr>
            </w:pPr>
            <w:r w:rsidRPr="009F2753">
              <w:rPr>
                <w:sz w:val="22"/>
              </w:rPr>
              <w:t>1,45 %</w:t>
            </w:r>
          </w:p>
        </w:tc>
      </w:tr>
      <w:tr w:rsidR="00A14B9B" w:rsidRPr="009F2753" w14:paraId="3398B2D0" w14:textId="77777777" w:rsidTr="00DB1D1D">
        <w:trPr>
          <w:trHeight w:val="210"/>
        </w:trPr>
        <w:tc>
          <w:tcPr>
            <w:tcW w:w="1781" w:type="dxa"/>
            <w:hideMark/>
          </w:tcPr>
          <w:p w14:paraId="2143CA0E" w14:textId="77777777" w:rsidR="00A14B9B" w:rsidRPr="009F2753" w:rsidRDefault="00A14B9B" w:rsidP="00DB1D1D">
            <w:pPr>
              <w:jc w:val="center"/>
              <w:rPr>
                <w:sz w:val="22"/>
              </w:rPr>
            </w:pPr>
            <w:r w:rsidRPr="009F2753">
              <w:rPr>
                <w:sz w:val="22"/>
              </w:rPr>
              <w:t>26</w:t>
            </w:r>
          </w:p>
        </w:tc>
        <w:tc>
          <w:tcPr>
            <w:tcW w:w="5762" w:type="dxa"/>
            <w:hideMark/>
          </w:tcPr>
          <w:p w14:paraId="40AB4EDB" w14:textId="77777777" w:rsidR="00A14B9B" w:rsidRPr="009F2753" w:rsidRDefault="00A14B9B" w:rsidP="00DB1D1D">
            <w:pPr>
              <w:ind w:firstLine="34"/>
              <w:rPr>
                <w:sz w:val="22"/>
              </w:rPr>
            </w:pPr>
            <w:r w:rsidRPr="009F2753">
              <w:rPr>
                <w:sz w:val="22"/>
              </w:rPr>
              <w:t>Investice do lesnických technologií a zpracování lesnických produktů, jejich mobilizace a uvádění na trh</w:t>
            </w:r>
          </w:p>
        </w:tc>
        <w:tc>
          <w:tcPr>
            <w:tcW w:w="1064" w:type="dxa"/>
            <w:noWrap/>
            <w:hideMark/>
          </w:tcPr>
          <w:p w14:paraId="06FD0440" w14:textId="77777777" w:rsidR="00A14B9B" w:rsidRPr="009F2753" w:rsidRDefault="00A14B9B" w:rsidP="00DB1D1D">
            <w:pPr>
              <w:ind w:firstLine="34"/>
              <w:jc w:val="center"/>
              <w:rPr>
                <w:sz w:val="22"/>
              </w:rPr>
            </w:pPr>
            <w:r w:rsidRPr="009F2753">
              <w:rPr>
                <w:sz w:val="22"/>
              </w:rPr>
              <w:t>6,90 %</w:t>
            </w:r>
          </w:p>
        </w:tc>
      </w:tr>
    </w:tbl>
    <w:p w14:paraId="0410ABCF" w14:textId="77777777" w:rsidR="00A14B9B" w:rsidRPr="002A0D4F" w:rsidRDefault="00A14B9B" w:rsidP="009F2753">
      <w:pPr>
        <w:pStyle w:val="UZEIZdroj"/>
      </w:pPr>
      <w:bookmarkStart w:id="702" w:name="_Hlk23313735"/>
      <w:r w:rsidRPr="002A0D4F">
        <w:t xml:space="preserve">Zdroj: </w:t>
      </w:r>
      <w:proofErr w:type="spellStart"/>
      <w:r w:rsidRPr="002A0D4F">
        <w:t>MZe</w:t>
      </w:r>
      <w:proofErr w:type="spellEnd"/>
      <w:r w:rsidRPr="002A0D4F">
        <w:t>, 2019 (Žádosti proplacené k 30. 9. 2019, operace 19.2.1), vlastní zpracování</w:t>
      </w:r>
    </w:p>
    <w:p w14:paraId="0C1274FF" w14:textId="5DC6388A" w:rsidR="00A14B9B" w:rsidRPr="009F2753" w:rsidRDefault="00A14B9B" w:rsidP="009F2753">
      <w:pPr>
        <w:pStyle w:val="UZEIObr"/>
      </w:pPr>
      <w:bookmarkStart w:id="703" w:name="_Toc25919905"/>
      <w:bookmarkStart w:id="704" w:name="_Ref81773026"/>
      <w:bookmarkStart w:id="705" w:name="_Toc81815444"/>
      <w:bookmarkStart w:id="706" w:name="_Toc81817649"/>
      <w:bookmarkEnd w:id="702"/>
      <w:r w:rsidRPr="009F2753">
        <w:t>Zastoupení žádostí podle kódu článku nařízení</w:t>
      </w:r>
      <w:bookmarkEnd w:id="703"/>
      <w:bookmarkEnd w:id="704"/>
      <w:bookmarkEnd w:id="705"/>
      <w:bookmarkEnd w:id="706"/>
    </w:p>
    <w:p w14:paraId="3B1F16E1" w14:textId="77777777" w:rsidR="00A14B9B" w:rsidRPr="002A0D4F" w:rsidRDefault="00A14B9B" w:rsidP="00A14B9B">
      <w:pPr>
        <w:rPr>
          <w:szCs w:val="24"/>
          <w:lang w:val="cs-CZ"/>
        </w:rPr>
      </w:pPr>
      <w:r w:rsidRPr="002A0D4F">
        <w:rPr>
          <w:noProof/>
          <w:lang w:val="cs-CZ" w:eastAsia="cs-CZ"/>
        </w:rPr>
        <w:drawing>
          <wp:inline distT="0" distB="0" distL="0" distR="0" wp14:anchorId="2DC84A20" wp14:editId="77D078A0">
            <wp:extent cx="5438897" cy="1995174"/>
            <wp:effectExtent l="0" t="0" r="9525" b="5080"/>
            <wp:docPr id="2085102055" name="Obrázek 1737972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737972104"/>
                    <pic:cNvPicPr/>
                  </pic:nvPicPr>
                  <pic:blipFill>
                    <a:blip r:embed="rId129" cstate="print">
                      <a:extLst>
                        <a:ext uri="{28A0092B-C50C-407E-A947-70E740481C1C}">
                          <a14:useLocalDpi xmlns:a14="http://schemas.microsoft.com/office/drawing/2010/main" val="0"/>
                        </a:ext>
                      </a:extLst>
                    </a:blip>
                    <a:stretch>
                      <a:fillRect/>
                    </a:stretch>
                  </pic:blipFill>
                  <pic:spPr>
                    <a:xfrm>
                      <a:off x="0" y="0"/>
                      <a:ext cx="5438897" cy="1995174"/>
                    </a:xfrm>
                    <a:prstGeom prst="rect">
                      <a:avLst/>
                    </a:prstGeom>
                  </pic:spPr>
                </pic:pic>
              </a:graphicData>
            </a:graphic>
          </wp:inline>
        </w:drawing>
      </w:r>
    </w:p>
    <w:p w14:paraId="32BD9114" w14:textId="77777777" w:rsidR="00A14B9B" w:rsidRPr="002A0D4F" w:rsidRDefault="00A14B9B" w:rsidP="009F2753">
      <w:pPr>
        <w:pStyle w:val="UZEIZdroj"/>
      </w:pPr>
      <w:r w:rsidRPr="002A0D4F">
        <w:t xml:space="preserve">Zdroj: </w:t>
      </w:r>
      <w:proofErr w:type="spellStart"/>
      <w:r w:rsidRPr="002A0D4F">
        <w:t>MZe</w:t>
      </w:r>
      <w:proofErr w:type="spellEnd"/>
      <w:r w:rsidRPr="002A0D4F">
        <w:t>, 2019 (Žádosti proplacené k 30. 9. 2019, operace 19.2.1), vlastní zpracování</w:t>
      </w:r>
    </w:p>
    <w:p w14:paraId="4096D1E4" w14:textId="3CFE4635" w:rsidR="00A14B9B" w:rsidRPr="002A0D4F" w:rsidRDefault="00A14B9B" w:rsidP="00390049">
      <w:pPr>
        <w:pStyle w:val="UZEINormaln"/>
      </w:pPr>
      <w:r w:rsidRPr="002A0D4F">
        <w:t>V </w:t>
      </w:r>
      <w:r w:rsidR="00C100ED">
        <w:fldChar w:fldCharType="begin"/>
      </w:r>
      <w:r w:rsidR="00C100ED">
        <w:instrText xml:space="preserve"> REF _Ref81773082 \r \h </w:instrText>
      </w:r>
      <w:r w:rsidR="00C100ED">
        <w:fldChar w:fldCharType="separate"/>
      </w:r>
      <w:r w:rsidR="00C100ED">
        <w:t>Tabulka 41</w:t>
      </w:r>
      <w:r w:rsidR="00C100ED">
        <w:fldChar w:fldCharType="end"/>
      </w:r>
      <w:r w:rsidR="00C100ED">
        <w:t xml:space="preserve"> </w:t>
      </w:r>
      <w:r w:rsidRPr="002A0D4F">
        <w:t xml:space="preserve">jsou vyčísleny výdaje u proplacených žádostí v operaci 19.2.1. dále pak průměrné, minimální a maximální hodnoty podle toho, o jaký typ výdajů se jedná.   </w:t>
      </w:r>
    </w:p>
    <w:p w14:paraId="72EBE5E7" w14:textId="49782F1F" w:rsidR="00A14B9B" w:rsidRPr="00C100ED" w:rsidRDefault="00C100ED" w:rsidP="00C100ED">
      <w:pPr>
        <w:pStyle w:val="UZEITaB"/>
      </w:pPr>
      <w:bookmarkStart w:id="707" w:name="_Toc25920034"/>
      <w:r w:rsidRPr="00C100ED">
        <w:t xml:space="preserve"> </w:t>
      </w:r>
      <w:bookmarkStart w:id="708" w:name="_Ref81773082"/>
      <w:bookmarkStart w:id="709" w:name="_Toc81815357"/>
      <w:bookmarkStart w:id="710" w:name="_Toc81817035"/>
      <w:bookmarkStart w:id="711" w:name="_Toc81817548"/>
      <w:r w:rsidR="00A14B9B" w:rsidRPr="00C100ED">
        <w:t>Charakteristika celkových výdajů u operace 19.2.1</w:t>
      </w:r>
      <w:bookmarkEnd w:id="707"/>
      <w:bookmarkEnd w:id="708"/>
      <w:bookmarkEnd w:id="709"/>
      <w:bookmarkEnd w:id="710"/>
      <w:bookmarkEnd w:id="711"/>
    </w:p>
    <w:p w14:paraId="5EDFCB39" w14:textId="77777777" w:rsidR="00A14B9B" w:rsidRPr="002A0D4F" w:rsidRDefault="00A14B9B" w:rsidP="00A14B9B">
      <w:pPr>
        <w:rPr>
          <w:szCs w:val="24"/>
          <w:lang w:val="cs-CZ"/>
        </w:rPr>
      </w:pPr>
      <w:r w:rsidRPr="002A0D4F">
        <w:rPr>
          <w:noProof/>
          <w:szCs w:val="24"/>
          <w:lang w:val="cs-CZ" w:eastAsia="cs-CZ"/>
        </w:rPr>
        <w:drawing>
          <wp:inline distT="0" distB="0" distL="0" distR="0" wp14:anchorId="13B08B83" wp14:editId="76E4DDF4">
            <wp:extent cx="5724525" cy="1800225"/>
            <wp:effectExtent l="0" t="0" r="9525" b="9525"/>
            <wp:docPr id="1737972105" name="Obrázek 1737972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5744437" cy="1806487"/>
                    </a:xfrm>
                    <a:prstGeom prst="rect">
                      <a:avLst/>
                    </a:prstGeom>
                    <a:noFill/>
                    <a:ln>
                      <a:noFill/>
                    </a:ln>
                  </pic:spPr>
                </pic:pic>
              </a:graphicData>
            </a:graphic>
          </wp:inline>
        </w:drawing>
      </w:r>
    </w:p>
    <w:p w14:paraId="4A8430BC" w14:textId="77777777" w:rsidR="00A14B9B" w:rsidRPr="002A0D4F" w:rsidRDefault="00A14B9B" w:rsidP="00C100ED">
      <w:pPr>
        <w:pStyle w:val="UZEIZdroj"/>
      </w:pPr>
      <w:r w:rsidRPr="002A0D4F">
        <w:t xml:space="preserve">Zdroj: </w:t>
      </w:r>
      <w:proofErr w:type="spellStart"/>
      <w:r w:rsidRPr="002A0D4F">
        <w:t>MZe</w:t>
      </w:r>
      <w:proofErr w:type="spellEnd"/>
      <w:r w:rsidRPr="002A0D4F">
        <w:t>, 2019 (Žádosti proplacené k 30. 9. 2019, operace 19.2.1), vlastní zpracování</w:t>
      </w:r>
    </w:p>
    <w:p w14:paraId="4C4E6CC5" w14:textId="77777777" w:rsidR="00A14B9B" w:rsidRPr="002A0D4F" w:rsidRDefault="00A14B9B" w:rsidP="00A14B9B">
      <w:pPr>
        <w:spacing w:after="240"/>
        <w:rPr>
          <w:sz w:val="18"/>
          <w:szCs w:val="18"/>
          <w:lang w:val="cs-CZ"/>
        </w:rPr>
      </w:pPr>
    </w:p>
    <w:p w14:paraId="77AF9E8D" w14:textId="77777777" w:rsidR="00A14B9B" w:rsidRPr="002A0D4F" w:rsidRDefault="00A14B9B" w:rsidP="00A14B9B">
      <w:pPr>
        <w:spacing w:after="240"/>
        <w:rPr>
          <w:sz w:val="18"/>
          <w:szCs w:val="18"/>
          <w:lang w:val="cs-CZ"/>
        </w:rPr>
      </w:pPr>
    </w:p>
    <w:p w14:paraId="27627106" w14:textId="77777777" w:rsidR="00A14B9B" w:rsidRPr="002A0D4F" w:rsidRDefault="00A14B9B" w:rsidP="00A14B9B">
      <w:pPr>
        <w:spacing w:after="240"/>
        <w:rPr>
          <w:sz w:val="18"/>
          <w:szCs w:val="18"/>
          <w:lang w:val="cs-CZ"/>
        </w:rPr>
      </w:pPr>
    </w:p>
    <w:p w14:paraId="0696B8F1" w14:textId="77777777" w:rsidR="00A14B9B" w:rsidRPr="002A0D4F" w:rsidRDefault="00A14B9B" w:rsidP="00A14B9B">
      <w:pPr>
        <w:spacing w:after="240"/>
        <w:rPr>
          <w:sz w:val="18"/>
          <w:szCs w:val="18"/>
          <w:lang w:val="cs-CZ"/>
        </w:rPr>
      </w:pPr>
    </w:p>
    <w:p w14:paraId="2AFDB492" w14:textId="7FFD14A1" w:rsidR="00A14B9B" w:rsidRPr="00FB4BD8" w:rsidRDefault="00C71FE3" w:rsidP="005310BC">
      <w:pPr>
        <w:pStyle w:val="UZEINadpis4st"/>
      </w:pPr>
      <w:bookmarkStart w:id="712" w:name="_Toc25919706"/>
      <w:bookmarkStart w:id="713" w:name="_Toc25919790"/>
      <w:bookmarkStart w:id="714" w:name="_Toc81757392"/>
      <w:bookmarkStart w:id="715" w:name="_Toc81815680"/>
      <w:bookmarkStart w:id="716" w:name="_Toc81816217"/>
      <w:bookmarkStart w:id="717" w:name="_Toc81817312"/>
      <w:r w:rsidRPr="00FB4BD8">
        <w:lastRenderedPageBreak/>
        <w:t xml:space="preserve">Příloha 4 </w:t>
      </w:r>
      <w:r w:rsidR="00A14B9B" w:rsidRPr="00FB4BD8">
        <w:t>Zaměstnanost a příjmové postavení venkovské populace, ohrožení chudobou</w:t>
      </w:r>
      <w:bookmarkEnd w:id="712"/>
      <w:bookmarkEnd w:id="713"/>
      <w:bookmarkEnd w:id="714"/>
      <w:bookmarkEnd w:id="715"/>
      <w:bookmarkEnd w:id="716"/>
      <w:bookmarkEnd w:id="717"/>
    </w:p>
    <w:p w14:paraId="62051E5A" w14:textId="77777777" w:rsidR="00A14B9B" w:rsidRPr="00CA317E" w:rsidRDefault="00A14B9B" w:rsidP="00CA317E">
      <w:pPr>
        <w:pStyle w:val="UZEINormaln"/>
        <w:rPr>
          <w:rFonts w:eastAsiaTheme="majorEastAsia"/>
          <w:b/>
          <w:bCs/>
        </w:rPr>
      </w:pPr>
      <w:bookmarkStart w:id="718" w:name="_Toc81815681"/>
      <w:bookmarkStart w:id="719" w:name="_Toc81816218"/>
      <w:r w:rsidRPr="00CA317E">
        <w:rPr>
          <w:rFonts w:eastAsiaTheme="majorEastAsia"/>
          <w:b/>
          <w:bCs/>
        </w:rPr>
        <w:t>Zaměstnanost na venkově</w:t>
      </w:r>
      <w:bookmarkEnd w:id="718"/>
      <w:bookmarkEnd w:id="719"/>
    </w:p>
    <w:p w14:paraId="796A5050" w14:textId="77777777" w:rsidR="00A14B9B" w:rsidRPr="002A0D4F" w:rsidRDefault="00A14B9B" w:rsidP="00FB4BD8">
      <w:pPr>
        <w:pStyle w:val="UZEINormaln"/>
      </w:pPr>
      <w:r w:rsidRPr="002A0D4F">
        <w:t>Ekonomická aktivita venkovského obyvatelstva (zde v obcích do 2000 obyvatel) v roce 2011 činila 47,9 % a byla o 1,1 p. b. nižší než ekonomická aktivita obyvatel měst. Nejnižší podíl ekonomicky aktivního obyvatelstva vykazovaly obce s méně než 200 obyvateli (46,4 %). Z hlediska odvětvové struktury zaměstnanosti je na venkově ve srovnání s městy vyšší zaměstnanost v agrárním sektoru, dále pak v průmyslu a stavebnictví a–z odvětví zahrnutých do služeb – v dopravě a skladování. Podíl pracovníků agrárního sektoru na zaměstnanosti v NH na venkově (obce do 2000 obyvatel) činil v roce 2011 (SLDB) 6,5 %, přičemž tento podíl se proti roku 2001 (SLDB) snížil přibližně o 5 p. b.</w:t>
      </w:r>
    </w:p>
    <w:p w14:paraId="7E98034C" w14:textId="4C0C3570" w:rsidR="00A14B9B" w:rsidRPr="00FB4BD8" w:rsidRDefault="00FB4BD8" w:rsidP="00FB4BD8">
      <w:pPr>
        <w:pStyle w:val="UZEITaB"/>
        <w:rPr>
          <w:rFonts w:eastAsiaTheme="minorEastAsia"/>
        </w:rPr>
      </w:pPr>
      <w:bookmarkStart w:id="720" w:name="_Toc499191495"/>
      <w:bookmarkStart w:id="721" w:name="_Toc25920035"/>
      <w:r>
        <w:rPr>
          <w:rFonts w:eastAsiaTheme="minorEastAsia"/>
        </w:rPr>
        <w:t xml:space="preserve"> </w:t>
      </w:r>
      <w:bookmarkStart w:id="722" w:name="_Toc81815358"/>
      <w:bookmarkStart w:id="723" w:name="_Toc81817036"/>
      <w:bookmarkStart w:id="724" w:name="_Toc81817549"/>
      <w:r w:rsidR="00A14B9B" w:rsidRPr="00FB4BD8">
        <w:rPr>
          <w:rFonts w:eastAsiaTheme="minorEastAsia"/>
        </w:rPr>
        <w:t>Podíl zaměstnaných osob podle odvětví ekonomické činnosti (%)</w:t>
      </w:r>
      <w:bookmarkEnd w:id="720"/>
      <w:bookmarkEnd w:id="721"/>
      <w:bookmarkEnd w:id="722"/>
      <w:bookmarkEnd w:id="723"/>
      <w:bookmarkEnd w:id="724"/>
    </w:p>
    <w:tbl>
      <w:tblPr>
        <w:tblW w:w="9144" w:type="dxa"/>
        <w:tblInd w:w="47" w:type="dxa"/>
        <w:tblBorders>
          <w:top w:val="double" w:sz="6" w:space="0" w:color="auto"/>
          <w:left w:val="double" w:sz="6" w:space="0" w:color="auto"/>
          <w:bottom w:val="double" w:sz="6" w:space="0" w:color="auto"/>
          <w:right w:val="double" w:sz="6"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915"/>
        <w:gridCol w:w="1276"/>
        <w:gridCol w:w="1158"/>
        <w:gridCol w:w="1251"/>
        <w:gridCol w:w="1158"/>
        <w:gridCol w:w="1158"/>
        <w:gridCol w:w="1228"/>
      </w:tblGrid>
      <w:tr w:rsidR="00A14B9B" w:rsidRPr="002A0D4F" w14:paraId="559CA595" w14:textId="77777777" w:rsidTr="00DB1D1D">
        <w:trPr>
          <w:trHeight w:val="327"/>
        </w:trPr>
        <w:tc>
          <w:tcPr>
            <w:tcW w:w="1915" w:type="dxa"/>
            <w:vMerge w:val="restart"/>
            <w:shd w:val="clear" w:color="auto" w:fill="D9D9D9" w:themeFill="background1" w:themeFillShade="D9"/>
            <w:noWrap/>
            <w:vAlign w:val="center"/>
            <w:hideMark/>
          </w:tcPr>
          <w:p w14:paraId="28C36CBA" w14:textId="77777777" w:rsidR="00A14B9B" w:rsidRPr="002A0D4F" w:rsidRDefault="00A14B9B" w:rsidP="00DB1D1D">
            <w:pPr>
              <w:rPr>
                <w:rFonts w:ascii="Arial" w:eastAsia="Arial" w:hAnsi="Arial" w:cs="Arial"/>
                <w:b/>
                <w:bCs/>
                <w:i/>
                <w:iCs/>
                <w:sz w:val="18"/>
                <w:szCs w:val="18"/>
                <w:lang w:val="cs-CZ"/>
              </w:rPr>
            </w:pPr>
            <w:r w:rsidRPr="002A0D4F">
              <w:rPr>
                <w:rFonts w:ascii="Arial" w:eastAsia="Arial" w:hAnsi="Arial" w:cs="Arial"/>
                <w:b/>
                <w:bCs/>
                <w:i/>
                <w:iCs/>
                <w:sz w:val="18"/>
                <w:szCs w:val="18"/>
                <w:lang w:val="cs-CZ"/>
              </w:rPr>
              <w:t>Sektory</w:t>
            </w:r>
          </w:p>
        </w:tc>
        <w:tc>
          <w:tcPr>
            <w:tcW w:w="3685" w:type="dxa"/>
            <w:gridSpan w:val="3"/>
            <w:shd w:val="clear" w:color="auto" w:fill="D9D9D9" w:themeFill="background1" w:themeFillShade="D9"/>
            <w:noWrap/>
            <w:vAlign w:val="center"/>
            <w:hideMark/>
          </w:tcPr>
          <w:p w14:paraId="6C2EE79F" w14:textId="77777777" w:rsidR="00A14B9B" w:rsidRPr="002A0D4F" w:rsidRDefault="00A14B9B" w:rsidP="00DB1D1D">
            <w:pPr>
              <w:jc w:val="center"/>
              <w:rPr>
                <w:rFonts w:ascii="Arial" w:eastAsia="Arial" w:hAnsi="Arial" w:cs="Arial"/>
                <w:b/>
                <w:bCs/>
                <w:i/>
                <w:iCs/>
                <w:sz w:val="18"/>
                <w:szCs w:val="18"/>
                <w:lang w:val="cs-CZ"/>
              </w:rPr>
            </w:pPr>
            <w:r w:rsidRPr="002A0D4F">
              <w:rPr>
                <w:rFonts w:ascii="Arial" w:eastAsia="Arial" w:hAnsi="Arial" w:cs="Arial"/>
                <w:b/>
                <w:bCs/>
                <w:i/>
                <w:iCs/>
                <w:sz w:val="18"/>
                <w:szCs w:val="18"/>
                <w:lang w:val="cs-CZ"/>
              </w:rPr>
              <w:t>2001</w:t>
            </w:r>
          </w:p>
        </w:tc>
        <w:tc>
          <w:tcPr>
            <w:tcW w:w="3544" w:type="dxa"/>
            <w:gridSpan w:val="3"/>
            <w:shd w:val="clear" w:color="auto" w:fill="D9D9D9" w:themeFill="background1" w:themeFillShade="D9"/>
            <w:noWrap/>
            <w:vAlign w:val="center"/>
            <w:hideMark/>
          </w:tcPr>
          <w:p w14:paraId="5E78A69C" w14:textId="77777777" w:rsidR="00A14B9B" w:rsidRPr="002A0D4F" w:rsidRDefault="00A14B9B" w:rsidP="00DB1D1D">
            <w:pPr>
              <w:jc w:val="center"/>
              <w:rPr>
                <w:rFonts w:ascii="Arial" w:eastAsia="Arial" w:hAnsi="Arial" w:cs="Arial"/>
                <w:b/>
                <w:bCs/>
                <w:i/>
                <w:iCs/>
                <w:sz w:val="18"/>
                <w:szCs w:val="18"/>
                <w:lang w:val="cs-CZ"/>
              </w:rPr>
            </w:pPr>
            <w:r w:rsidRPr="002A0D4F">
              <w:rPr>
                <w:rFonts w:ascii="Arial" w:eastAsia="Arial" w:hAnsi="Arial" w:cs="Arial"/>
                <w:b/>
                <w:bCs/>
                <w:i/>
                <w:iCs/>
                <w:sz w:val="18"/>
                <w:szCs w:val="18"/>
                <w:lang w:val="cs-CZ"/>
              </w:rPr>
              <w:t>2011</w:t>
            </w:r>
          </w:p>
        </w:tc>
      </w:tr>
      <w:tr w:rsidR="00A14B9B" w:rsidRPr="002A0D4F" w14:paraId="6068B346" w14:textId="77777777" w:rsidTr="00DB1D1D">
        <w:trPr>
          <w:trHeight w:val="312"/>
        </w:trPr>
        <w:tc>
          <w:tcPr>
            <w:tcW w:w="1915" w:type="dxa"/>
            <w:vMerge/>
            <w:vAlign w:val="center"/>
            <w:hideMark/>
          </w:tcPr>
          <w:p w14:paraId="75892915" w14:textId="77777777" w:rsidR="00A14B9B" w:rsidRPr="002A0D4F" w:rsidRDefault="00A14B9B" w:rsidP="00DB1D1D">
            <w:pPr>
              <w:rPr>
                <w:rFonts w:ascii="Arial" w:hAnsi="Arial" w:cs="Arial"/>
                <w:b/>
                <w:bCs/>
                <w:i/>
                <w:sz w:val="18"/>
                <w:szCs w:val="18"/>
                <w:lang w:val="cs-CZ"/>
              </w:rPr>
            </w:pPr>
          </w:p>
        </w:tc>
        <w:tc>
          <w:tcPr>
            <w:tcW w:w="1276" w:type="dxa"/>
            <w:shd w:val="clear" w:color="auto" w:fill="D9D9D9" w:themeFill="background1" w:themeFillShade="D9"/>
            <w:noWrap/>
            <w:vAlign w:val="center"/>
            <w:hideMark/>
          </w:tcPr>
          <w:p w14:paraId="29F9F04F" w14:textId="77777777" w:rsidR="00A14B9B" w:rsidRPr="002A0D4F" w:rsidRDefault="00A14B9B" w:rsidP="00DB1D1D">
            <w:pPr>
              <w:jc w:val="center"/>
              <w:rPr>
                <w:rFonts w:ascii="Arial" w:eastAsia="Arial" w:hAnsi="Arial" w:cs="Arial"/>
                <w:b/>
                <w:bCs/>
                <w:i/>
                <w:iCs/>
                <w:sz w:val="18"/>
                <w:szCs w:val="18"/>
                <w:lang w:val="cs-CZ"/>
              </w:rPr>
            </w:pPr>
            <w:r w:rsidRPr="002A0D4F">
              <w:rPr>
                <w:rFonts w:ascii="Arial" w:eastAsia="Arial" w:hAnsi="Arial" w:cs="Arial"/>
                <w:b/>
                <w:bCs/>
                <w:i/>
                <w:iCs/>
                <w:sz w:val="18"/>
                <w:szCs w:val="18"/>
                <w:lang w:val="cs-CZ"/>
              </w:rPr>
              <w:t>venkov</w:t>
            </w:r>
          </w:p>
        </w:tc>
        <w:tc>
          <w:tcPr>
            <w:tcW w:w="1158" w:type="dxa"/>
            <w:shd w:val="clear" w:color="auto" w:fill="D9D9D9" w:themeFill="background1" w:themeFillShade="D9"/>
            <w:noWrap/>
            <w:vAlign w:val="center"/>
            <w:hideMark/>
          </w:tcPr>
          <w:p w14:paraId="7484CCE7" w14:textId="77777777" w:rsidR="00A14B9B" w:rsidRPr="002A0D4F" w:rsidRDefault="00A14B9B" w:rsidP="00DB1D1D">
            <w:pPr>
              <w:jc w:val="center"/>
              <w:rPr>
                <w:rFonts w:ascii="Arial" w:eastAsia="Arial" w:hAnsi="Arial" w:cs="Arial"/>
                <w:b/>
                <w:bCs/>
                <w:i/>
                <w:iCs/>
                <w:sz w:val="18"/>
                <w:szCs w:val="18"/>
                <w:lang w:val="cs-CZ"/>
              </w:rPr>
            </w:pPr>
            <w:r w:rsidRPr="002A0D4F">
              <w:rPr>
                <w:rFonts w:ascii="Arial" w:eastAsia="Arial" w:hAnsi="Arial" w:cs="Arial"/>
                <w:b/>
                <w:bCs/>
                <w:i/>
                <w:iCs/>
                <w:sz w:val="18"/>
                <w:szCs w:val="18"/>
                <w:lang w:val="cs-CZ"/>
              </w:rPr>
              <w:t>města</w:t>
            </w:r>
          </w:p>
        </w:tc>
        <w:tc>
          <w:tcPr>
            <w:tcW w:w="1251" w:type="dxa"/>
            <w:shd w:val="clear" w:color="auto" w:fill="D9D9D9" w:themeFill="background1" w:themeFillShade="D9"/>
            <w:noWrap/>
            <w:vAlign w:val="center"/>
            <w:hideMark/>
          </w:tcPr>
          <w:p w14:paraId="25B5C1B1" w14:textId="77777777" w:rsidR="00A14B9B" w:rsidRPr="002A0D4F" w:rsidRDefault="00A14B9B" w:rsidP="00DB1D1D">
            <w:pPr>
              <w:jc w:val="center"/>
              <w:rPr>
                <w:rFonts w:ascii="Arial" w:eastAsia="Arial" w:hAnsi="Arial" w:cs="Arial"/>
                <w:b/>
                <w:bCs/>
                <w:i/>
                <w:iCs/>
                <w:sz w:val="18"/>
                <w:szCs w:val="18"/>
                <w:lang w:val="cs-CZ"/>
              </w:rPr>
            </w:pPr>
            <w:r w:rsidRPr="002A0D4F">
              <w:rPr>
                <w:rFonts w:ascii="Arial" w:eastAsia="Arial" w:hAnsi="Arial" w:cs="Arial"/>
                <w:b/>
                <w:bCs/>
                <w:i/>
                <w:iCs/>
                <w:sz w:val="18"/>
                <w:szCs w:val="18"/>
                <w:lang w:val="cs-CZ"/>
              </w:rPr>
              <w:t>celkem</w:t>
            </w:r>
          </w:p>
        </w:tc>
        <w:tc>
          <w:tcPr>
            <w:tcW w:w="1158" w:type="dxa"/>
            <w:shd w:val="clear" w:color="auto" w:fill="D9D9D9" w:themeFill="background1" w:themeFillShade="D9"/>
            <w:noWrap/>
            <w:vAlign w:val="center"/>
            <w:hideMark/>
          </w:tcPr>
          <w:p w14:paraId="48D45BDF" w14:textId="77777777" w:rsidR="00A14B9B" w:rsidRPr="002A0D4F" w:rsidRDefault="00A14B9B" w:rsidP="00DB1D1D">
            <w:pPr>
              <w:jc w:val="center"/>
              <w:rPr>
                <w:rFonts w:ascii="Arial" w:eastAsia="Arial" w:hAnsi="Arial" w:cs="Arial"/>
                <w:b/>
                <w:bCs/>
                <w:i/>
                <w:iCs/>
                <w:sz w:val="18"/>
                <w:szCs w:val="18"/>
                <w:lang w:val="cs-CZ"/>
              </w:rPr>
            </w:pPr>
            <w:r w:rsidRPr="002A0D4F">
              <w:rPr>
                <w:rFonts w:ascii="Arial" w:eastAsia="Arial" w:hAnsi="Arial" w:cs="Arial"/>
                <w:b/>
                <w:bCs/>
                <w:i/>
                <w:iCs/>
                <w:sz w:val="18"/>
                <w:szCs w:val="18"/>
                <w:lang w:val="cs-CZ"/>
              </w:rPr>
              <w:t>venkov</w:t>
            </w:r>
          </w:p>
        </w:tc>
        <w:tc>
          <w:tcPr>
            <w:tcW w:w="1158" w:type="dxa"/>
            <w:shd w:val="clear" w:color="auto" w:fill="D9D9D9" w:themeFill="background1" w:themeFillShade="D9"/>
            <w:noWrap/>
            <w:vAlign w:val="center"/>
            <w:hideMark/>
          </w:tcPr>
          <w:p w14:paraId="15D5592C" w14:textId="77777777" w:rsidR="00A14B9B" w:rsidRPr="002A0D4F" w:rsidRDefault="00A14B9B" w:rsidP="00DB1D1D">
            <w:pPr>
              <w:jc w:val="center"/>
              <w:rPr>
                <w:rFonts w:ascii="Arial" w:eastAsia="Arial" w:hAnsi="Arial" w:cs="Arial"/>
                <w:b/>
                <w:bCs/>
                <w:i/>
                <w:iCs/>
                <w:sz w:val="18"/>
                <w:szCs w:val="18"/>
                <w:lang w:val="cs-CZ"/>
              </w:rPr>
            </w:pPr>
            <w:r w:rsidRPr="002A0D4F">
              <w:rPr>
                <w:rFonts w:ascii="Arial" w:eastAsia="Arial" w:hAnsi="Arial" w:cs="Arial"/>
                <w:b/>
                <w:bCs/>
                <w:i/>
                <w:iCs/>
                <w:sz w:val="18"/>
                <w:szCs w:val="18"/>
                <w:lang w:val="cs-CZ"/>
              </w:rPr>
              <w:t>města</w:t>
            </w:r>
          </w:p>
        </w:tc>
        <w:tc>
          <w:tcPr>
            <w:tcW w:w="1228" w:type="dxa"/>
            <w:shd w:val="clear" w:color="auto" w:fill="D9D9D9" w:themeFill="background1" w:themeFillShade="D9"/>
            <w:noWrap/>
            <w:vAlign w:val="center"/>
            <w:hideMark/>
          </w:tcPr>
          <w:p w14:paraId="34CABAB0" w14:textId="77777777" w:rsidR="00A14B9B" w:rsidRPr="002A0D4F" w:rsidRDefault="00A14B9B" w:rsidP="00DB1D1D">
            <w:pPr>
              <w:jc w:val="center"/>
              <w:rPr>
                <w:rFonts w:ascii="Arial" w:eastAsia="Arial" w:hAnsi="Arial" w:cs="Arial"/>
                <w:b/>
                <w:bCs/>
                <w:i/>
                <w:iCs/>
                <w:sz w:val="18"/>
                <w:szCs w:val="18"/>
                <w:lang w:val="cs-CZ"/>
              </w:rPr>
            </w:pPr>
            <w:r w:rsidRPr="002A0D4F">
              <w:rPr>
                <w:rFonts w:ascii="Arial" w:eastAsia="Arial" w:hAnsi="Arial" w:cs="Arial"/>
                <w:b/>
                <w:bCs/>
                <w:i/>
                <w:iCs/>
                <w:sz w:val="18"/>
                <w:szCs w:val="18"/>
                <w:lang w:val="cs-CZ"/>
              </w:rPr>
              <w:t>celkem</w:t>
            </w:r>
          </w:p>
        </w:tc>
      </w:tr>
      <w:tr w:rsidR="00A14B9B" w:rsidRPr="002A0D4F" w14:paraId="5509240E" w14:textId="77777777" w:rsidTr="00DB1D1D">
        <w:trPr>
          <w:trHeight w:val="312"/>
        </w:trPr>
        <w:tc>
          <w:tcPr>
            <w:tcW w:w="1915" w:type="dxa"/>
            <w:shd w:val="clear" w:color="auto" w:fill="FFFFFF" w:themeFill="background1"/>
            <w:noWrap/>
            <w:vAlign w:val="center"/>
            <w:hideMark/>
          </w:tcPr>
          <w:p w14:paraId="2BB26D42" w14:textId="77777777" w:rsidR="00A14B9B" w:rsidRPr="002A0D4F" w:rsidRDefault="00A14B9B" w:rsidP="00DB1D1D">
            <w:pPr>
              <w:ind w:firstLine="7"/>
              <w:rPr>
                <w:rFonts w:ascii="Arial" w:eastAsia="Arial" w:hAnsi="Arial" w:cs="Arial"/>
                <w:i/>
                <w:iCs/>
                <w:sz w:val="18"/>
                <w:szCs w:val="18"/>
                <w:lang w:val="cs-CZ"/>
              </w:rPr>
            </w:pPr>
            <w:r w:rsidRPr="002A0D4F">
              <w:rPr>
                <w:rFonts w:ascii="Arial" w:eastAsia="Arial" w:hAnsi="Arial" w:cs="Arial"/>
                <w:i/>
                <w:iCs/>
                <w:sz w:val="18"/>
                <w:szCs w:val="18"/>
                <w:lang w:val="cs-CZ"/>
              </w:rPr>
              <w:t>Agrární sektor</w:t>
            </w:r>
          </w:p>
        </w:tc>
        <w:tc>
          <w:tcPr>
            <w:tcW w:w="1276" w:type="dxa"/>
            <w:shd w:val="clear" w:color="auto" w:fill="FFFFFF" w:themeFill="background1"/>
            <w:noWrap/>
            <w:vAlign w:val="center"/>
            <w:hideMark/>
          </w:tcPr>
          <w:p w14:paraId="771634DF" w14:textId="77777777" w:rsidR="00A14B9B" w:rsidRPr="002A0D4F" w:rsidRDefault="00A14B9B" w:rsidP="00DB1D1D">
            <w:pPr>
              <w:jc w:val="right"/>
              <w:rPr>
                <w:rFonts w:ascii="Arial" w:eastAsia="Arial" w:hAnsi="Arial" w:cs="Arial"/>
                <w:i/>
                <w:iCs/>
                <w:sz w:val="18"/>
                <w:szCs w:val="18"/>
                <w:lang w:val="cs-CZ"/>
              </w:rPr>
            </w:pPr>
            <w:r w:rsidRPr="002A0D4F">
              <w:rPr>
                <w:rFonts w:ascii="Arial" w:eastAsia="Arial" w:hAnsi="Arial" w:cs="Arial"/>
                <w:i/>
                <w:iCs/>
                <w:sz w:val="18"/>
                <w:szCs w:val="18"/>
                <w:lang w:val="cs-CZ"/>
              </w:rPr>
              <w:t>11,4</w:t>
            </w:r>
          </w:p>
        </w:tc>
        <w:tc>
          <w:tcPr>
            <w:tcW w:w="1158" w:type="dxa"/>
            <w:shd w:val="clear" w:color="auto" w:fill="FFFFFF" w:themeFill="background1"/>
            <w:noWrap/>
            <w:vAlign w:val="center"/>
            <w:hideMark/>
          </w:tcPr>
          <w:p w14:paraId="29F73C2F" w14:textId="77777777" w:rsidR="00A14B9B" w:rsidRPr="002A0D4F" w:rsidRDefault="00A14B9B" w:rsidP="00DB1D1D">
            <w:pPr>
              <w:jc w:val="right"/>
              <w:rPr>
                <w:rFonts w:ascii="Arial" w:eastAsia="Arial" w:hAnsi="Arial" w:cs="Arial"/>
                <w:i/>
                <w:iCs/>
                <w:sz w:val="18"/>
                <w:szCs w:val="18"/>
                <w:lang w:val="cs-CZ"/>
              </w:rPr>
            </w:pPr>
            <w:r w:rsidRPr="002A0D4F">
              <w:rPr>
                <w:rFonts w:ascii="Arial" w:eastAsia="Arial" w:hAnsi="Arial" w:cs="Arial"/>
                <w:i/>
                <w:iCs/>
                <w:sz w:val="18"/>
                <w:szCs w:val="18"/>
                <w:lang w:val="cs-CZ"/>
              </w:rPr>
              <w:t>2,2</w:t>
            </w:r>
          </w:p>
        </w:tc>
        <w:tc>
          <w:tcPr>
            <w:tcW w:w="1251" w:type="dxa"/>
            <w:shd w:val="clear" w:color="auto" w:fill="FFFFFF" w:themeFill="background1"/>
            <w:noWrap/>
            <w:vAlign w:val="center"/>
            <w:hideMark/>
          </w:tcPr>
          <w:p w14:paraId="0CCCA394" w14:textId="77777777" w:rsidR="00A14B9B" w:rsidRPr="002A0D4F" w:rsidRDefault="00A14B9B" w:rsidP="00DB1D1D">
            <w:pPr>
              <w:jc w:val="right"/>
              <w:rPr>
                <w:rFonts w:ascii="Arial" w:eastAsia="Arial" w:hAnsi="Arial" w:cs="Arial"/>
                <w:i/>
                <w:iCs/>
                <w:sz w:val="18"/>
                <w:szCs w:val="18"/>
                <w:lang w:val="cs-CZ"/>
              </w:rPr>
            </w:pPr>
            <w:r w:rsidRPr="002A0D4F">
              <w:rPr>
                <w:rFonts w:ascii="Arial" w:eastAsia="Arial" w:hAnsi="Arial" w:cs="Arial"/>
                <w:i/>
                <w:iCs/>
                <w:sz w:val="18"/>
                <w:szCs w:val="18"/>
                <w:lang w:val="cs-CZ"/>
              </w:rPr>
              <w:t>4,5</w:t>
            </w:r>
          </w:p>
        </w:tc>
        <w:tc>
          <w:tcPr>
            <w:tcW w:w="1158" w:type="dxa"/>
            <w:shd w:val="clear" w:color="auto" w:fill="FFFFFF" w:themeFill="background1"/>
            <w:noWrap/>
            <w:vAlign w:val="center"/>
            <w:hideMark/>
          </w:tcPr>
          <w:p w14:paraId="21AC29B4" w14:textId="77777777" w:rsidR="00A14B9B" w:rsidRPr="002A0D4F" w:rsidRDefault="00A14B9B" w:rsidP="00DB1D1D">
            <w:pPr>
              <w:jc w:val="right"/>
              <w:rPr>
                <w:rFonts w:ascii="Arial" w:eastAsia="Arial" w:hAnsi="Arial" w:cs="Arial"/>
                <w:i/>
                <w:iCs/>
                <w:sz w:val="18"/>
                <w:szCs w:val="18"/>
                <w:lang w:val="cs-CZ"/>
              </w:rPr>
            </w:pPr>
            <w:r w:rsidRPr="002A0D4F">
              <w:rPr>
                <w:rFonts w:ascii="Arial" w:eastAsia="Arial" w:hAnsi="Arial" w:cs="Arial"/>
                <w:i/>
                <w:iCs/>
                <w:sz w:val="18"/>
                <w:szCs w:val="18"/>
                <w:lang w:val="cs-CZ"/>
              </w:rPr>
              <w:t>6,5</w:t>
            </w:r>
          </w:p>
        </w:tc>
        <w:tc>
          <w:tcPr>
            <w:tcW w:w="1158" w:type="dxa"/>
            <w:shd w:val="clear" w:color="auto" w:fill="FFFFFF" w:themeFill="background1"/>
            <w:noWrap/>
            <w:vAlign w:val="center"/>
            <w:hideMark/>
          </w:tcPr>
          <w:p w14:paraId="64C8960F" w14:textId="77777777" w:rsidR="00A14B9B" w:rsidRPr="002A0D4F" w:rsidRDefault="00A14B9B" w:rsidP="00DB1D1D">
            <w:pPr>
              <w:jc w:val="right"/>
              <w:rPr>
                <w:rFonts w:ascii="Arial" w:eastAsia="Arial" w:hAnsi="Arial" w:cs="Arial"/>
                <w:i/>
                <w:iCs/>
                <w:sz w:val="18"/>
                <w:szCs w:val="18"/>
                <w:lang w:val="cs-CZ"/>
              </w:rPr>
            </w:pPr>
            <w:r w:rsidRPr="002A0D4F">
              <w:rPr>
                <w:rFonts w:ascii="Arial" w:eastAsia="Arial" w:hAnsi="Arial" w:cs="Arial"/>
                <w:i/>
                <w:iCs/>
                <w:sz w:val="18"/>
                <w:szCs w:val="18"/>
                <w:lang w:val="cs-CZ"/>
              </w:rPr>
              <w:t>1,4</w:t>
            </w:r>
          </w:p>
        </w:tc>
        <w:tc>
          <w:tcPr>
            <w:tcW w:w="1228" w:type="dxa"/>
            <w:shd w:val="clear" w:color="auto" w:fill="FFFFFF" w:themeFill="background1"/>
            <w:noWrap/>
            <w:vAlign w:val="center"/>
            <w:hideMark/>
          </w:tcPr>
          <w:p w14:paraId="7E31BC13" w14:textId="77777777" w:rsidR="00A14B9B" w:rsidRPr="002A0D4F" w:rsidRDefault="00A14B9B" w:rsidP="00DB1D1D">
            <w:pPr>
              <w:jc w:val="right"/>
              <w:rPr>
                <w:rFonts w:ascii="Arial" w:eastAsia="Arial" w:hAnsi="Arial" w:cs="Arial"/>
                <w:i/>
                <w:iCs/>
                <w:sz w:val="18"/>
                <w:szCs w:val="18"/>
                <w:lang w:val="cs-CZ"/>
              </w:rPr>
            </w:pPr>
            <w:r w:rsidRPr="002A0D4F">
              <w:rPr>
                <w:rFonts w:ascii="Arial" w:eastAsia="Arial" w:hAnsi="Arial" w:cs="Arial"/>
                <w:i/>
                <w:iCs/>
                <w:sz w:val="18"/>
                <w:szCs w:val="18"/>
                <w:lang w:val="cs-CZ"/>
              </w:rPr>
              <w:t>2,7</w:t>
            </w:r>
          </w:p>
        </w:tc>
      </w:tr>
      <w:tr w:rsidR="00A14B9B" w:rsidRPr="002A0D4F" w14:paraId="4177FE29" w14:textId="77777777" w:rsidTr="00DB1D1D">
        <w:trPr>
          <w:trHeight w:val="312"/>
        </w:trPr>
        <w:tc>
          <w:tcPr>
            <w:tcW w:w="1915" w:type="dxa"/>
            <w:shd w:val="clear" w:color="auto" w:fill="auto"/>
            <w:noWrap/>
            <w:vAlign w:val="center"/>
            <w:hideMark/>
          </w:tcPr>
          <w:p w14:paraId="5AB9105D" w14:textId="77777777" w:rsidR="00A14B9B" w:rsidRPr="002A0D4F" w:rsidRDefault="00A14B9B" w:rsidP="00DB1D1D">
            <w:pPr>
              <w:ind w:firstLine="7"/>
              <w:rPr>
                <w:rFonts w:ascii="Arial" w:eastAsia="Arial" w:hAnsi="Arial" w:cs="Arial"/>
                <w:i/>
                <w:iCs/>
                <w:sz w:val="18"/>
                <w:szCs w:val="18"/>
                <w:lang w:val="cs-CZ"/>
              </w:rPr>
            </w:pPr>
            <w:r w:rsidRPr="002A0D4F">
              <w:rPr>
                <w:rFonts w:ascii="Arial" w:eastAsia="Arial" w:hAnsi="Arial" w:cs="Arial"/>
                <w:i/>
                <w:iCs/>
                <w:sz w:val="18"/>
                <w:szCs w:val="18"/>
                <w:lang w:val="cs-CZ"/>
              </w:rPr>
              <w:t>Průmysl, stavebnictví</w:t>
            </w:r>
          </w:p>
        </w:tc>
        <w:tc>
          <w:tcPr>
            <w:tcW w:w="1276" w:type="dxa"/>
            <w:shd w:val="clear" w:color="auto" w:fill="auto"/>
            <w:noWrap/>
            <w:vAlign w:val="center"/>
            <w:hideMark/>
          </w:tcPr>
          <w:p w14:paraId="08B5B37A" w14:textId="77777777" w:rsidR="00A14B9B" w:rsidRPr="002A0D4F" w:rsidRDefault="00A14B9B" w:rsidP="00DB1D1D">
            <w:pPr>
              <w:jc w:val="right"/>
              <w:rPr>
                <w:rFonts w:ascii="Arial" w:eastAsia="Arial" w:hAnsi="Arial" w:cs="Arial"/>
                <w:i/>
                <w:iCs/>
                <w:sz w:val="18"/>
                <w:szCs w:val="18"/>
                <w:lang w:val="cs-CZ"/>
              </w:rPr>
            </w:pPr>
            <w:r w:rsidRPr="002A0D4F">
              <w:rPr>
                <w:rFonts w:ascii="Arial" w:eastAsia="Arial" w:hAnsi="Arial" w:cs="Arial"/>
                <w:i/>
                <w:iCs/>
                <w:sz w:val="18"/>
                <w:szCs w:val="18"/>
                <w:lang w:val="cs-CZ"/>
              </w:rPr>
              <w:t>43,8</w:t>
            </w:r>
          </w:p>
        </w:tc>
        <w:tc>
          <w:tcPr>
            <w:tcW w:w="1158" w:type="dxa"/>
            <w:shd w:val="clear" w:color="auto" w:fill="auto"/>
            <w:noWrap/>
            <w:vAlign w:val="center"/>
            <w:hideMark/>
          </w:tcPr>
          <w:p w14:paraId="3DB3142E" w14:textId="77777777" w:rsidR="00A14B9B" w:rsidRPr="002A0D4F" w:rsidRDefault="00A14B9B" w:rsidP="00DB1D1D">
            <w:pPr>
              <w:jc w:val="right"/>
              <w:rPr>
                <w:rFonts w:ascii="Arial" w:eastAsia="Arial" w:hAnsi="Arial" w:cs="Arial"/>
                <w:i/>
                <w:iCs/>
                <w:sz w:val="18"/>
                <w:szCs w:val="18"/>
                <w:lang w:val="cs-CZ"/>
              </w:rPr>
            </w:pPr>
            <w:r w:rsidRPr="002A0D4F">
              <w:rPr>
                <w:rFonts w:ascii="Arial" w:eastAsia="Arial" w:hAnsi="Arial" w:cs="Arial"/>
                <w:i/>
                <w:iCs/>
                <w:sz w:val="18"/>
                <w:szCs w:val="18"/>
                <w:lang w:val="cs-CZ"/>
              </w:rPr>
              <w:t>36,9</w:t>
            </w:r>
          </w:p>
        </w:tc>
        <w:tc>
          <w:tcPr>
            <w:tcW w:w="1251" w:type="dxa"/>
            <w:shd w:val="clear" w:color="auto" w:fill="auto"/>
            <w:noWrap/>
            <w:vAlign w:val="center"/>
            <w:hideMark/>
          </w:tcPr>
          <w:p w14:paraId="1A19FFC8" w14:textId="77777777" w:rsidR="00A14B9B" w:rsidRPr="002A0D4F" w:rsidRDefault="00A14B9B" w:rsidP="00DB1D1D">
            <w:pPr>
              <w:jc w:val="right"/>
              <w:rPr>
                <w:rFonts w:ascii="Arial" w:eastAsia="Arial" w:hAnsi="Arial" w:cs="Arial"/>
                <w:i/>
                <w:iCs/>
                <w:sz w:val="18"/>
                <w:szCs w:val="18"/>
                <w:lang w:val="cs-CZ"/>
              </w:rPr>
            </w:pPr>
            <w:r w:rsidRPr="002A0D4F">
              <w:rPr>
                <w:rFonts w:ascii="Arial" w:eastAsia="Arial" w:hAnsi="Arial" w:cs="Arial"/>
                <w:i/>
                <w:iCs/>
                <w:sz w:val="18"/>
                <w:szCs w:val="18"/>
                <w:lang w:val="cs-CZ"/>
              </w:rPr>
              <w:t>38,7</w:t>
            </w:r>
          </w:p>
        </w:tc>
        <w:tc>
          <w:tcPr>
            <w:tcW w:w="1158" w:type="dxa"/>
            <w:shd w:val="clear" w:color="auto" w:fill="auto"/>
            <w:noWrap/>
            <w:vAlign w:val="center"/>
            <w:hideMark/>
          </w:tcPr>
          <w:p w14:paraId="727651AD" w14:textId="77777777" w:rsidR="00A14B9B" w:rsidRPr="002A0D4F" w:rsidRDefault="00A14B9B" w:rsidP="00DB1D1D">
            <w:pPr>
              <w:jc w:val="right"/>
              <w:rPr>
                <w:rFonts w:ascii="Arial" w:eastAsia="Arial" w:hAnsi="Arial" w:cs="Arial"/>
                <w:i/>
                <w:iCs/>
                <w:sz w:val="18"/>
                <w:szCs w:val="18"/>
                <w:lang w:val="cs-CZ"/>
              </w:rPr>
            </w:pPr>
            <w:r w:rsidRPr="002A0D4F">
              <w:rPr>
                <w:rFonts w:ascii="Arial" w:eastAsia="Arial" w:hAnsi="Arial" w:cs="Arial"/>
                <w:i/>
                <w:iCs/>
                <w:sz w:val="18"/>
                <w:szCs w:val="18"/>
                <w:lang w:val="cs-CZ"/>
              </w:rPr>
              <w:t>37,4</w:t>
            </w:r>
          </w:p>
        </w:tc>
        <w:tc>
          <w:tcPr>
            <w:tcW w:w="1158" w:type="dxa"/>
            <w:shd w:val="clear" w:color="auto" w:fill="auto"/>
            <w:noWrap/>
            <w:vAlign w:val="center"/>
            <w:hideMark/>
          </w:tcPr>
          <w:p w14:paraId="402858A0" w14:textId="77777777" w:rsidR="00A14B9B" w:rsidRPr="002A0D4F" w:rsidRDefault="00A14B9B" w:rsidP="00DB1D1D">
            <w:pPr>
              <w:jc w:val="right"/>
              <w:rPr>
                <w:rFonts w:ascii="Arial" w:eastAsia="Arial" w:hAnsi="Arial" w:cs="Arial"/>
                <w:i/>
                <w:iCs/>
                <w:sz w:val="18"/>
                <w:szCs w:val="18"/>
                <w:lang w:val="cs-CZ"/>
              </w:rPr>
            </w:pPr>
            <w:r w:rsidRPr="002A0D4F">
              <w:rPr>
                <w:rFonts w:ascii="Arial" w:eastAsia="Arial" w:hAnsi="Arial" w:cs="Arial"/>
                <w:i/>
                <w:iCs/>
                <w:sz w:val="18"/>
                <w:szCs w:val="18"/>
                <w:lang w:val="cs-CZ"/>
              </w:rPr>
              <w:t>30,4</w:t>
            </w:r>
          </w:p>
        </w:tc>
        <w:tc>
          <w:tcPr>
            <w:tcW w:w="1228" w:type="dxa"/>
            <w:shd w:val="clear" w:color="auto" w:fill="auto"/>
            <w:noWrap/>
            <w:vAlign w:val="center"/>
            <w:hideMark/>
          </w:tcPr>
          <w:p w14:paraId="66DCD8DA" w14:textId="77777777" w:rsidR="00A14B9B" w:rsidRPr="002A0D4F" w:rsidRDefault="00A14B9B" w:rsidP="00DB1D1D">
            <w:pPr>
              <w:jc w:val="right"/>
              <w:rPr>
                <w:rFonts w:ascii="Arial" w:eastAsia="Arial" w:hAnsi="Arial" w:cs="Arial"/>
                <w:i/>
                <w:iCs/>
                <w:sz w:val="18"/>
                <w:szCs w:val="18"/>
                <w:lang w:val="cs-CZ"/>
              </w:rPr>
            </w:pPr>
            <w:r w:rsidRPr="002A0D4F">
              <w:rPr>
                <w:rFonts w:ascii="Arial" w:eastAsia="Arial" w:hAnsi="Arial" w:cs="Arial"/>
                <w:i/>
                <w:iCs/>
                <w:sz w:val="18"/>
                <w:szCs w:val="18"/>
                <w:lang w:val="cs-CZ"/>
              </w:rPr>
              <w:t>32,2</w:t>
            </w:r>
          </w:p>
        </w:tc>
      </w:tr>
      <w:tr w:rsidR="00A14B9B" w:rsidRPr="002A0D4F" w14:paraId="5492F60D" w14:textId="77777777" w:rsidTr="00DB1D1D">
        <w:trPr>
          <w:trHeight w:val="312"/>
        </w:trPr>
        <w:tc>
          <w:tcPr>
            <w:tcW w:w="1915" w:type="dxa"/>
            <w:shd w:val="clear" w:color="auto" w:fill="auto"/>
            <w:noWrap/>
            <w:vAlign w:val="center"/>
            <w:hideMark/>
          </w:tcPr>
          <w:p w14:paraId="335E3201" w14:textId="77777777" w:rsidR="00A14B9B" w:rsidRPr="002A0D4F" w:rsidRDefault="00A14B9B" w:rsidP="00DB1D1D">
            <w:pPr>
              <w:ind w:firstLine="7"/>
              <w:rPr>
                <w:rFonts w:ascii="Arial" w:eastAsia="Arial" w:hAnsi="Arial" w:cs="Arial"/>
                <w:i/>
                <w:iCs/>
                <w:sz w:val="18"/>
                <w:szCs w:val="18"/>
                <w:lang w:val="cs-CZ"/>
              </w:rPr>
            </w:pPr>
            <w:r w:rsidRPr="002A0D4F">
              <w:rPr>
                <w:rFonts w:ascii="Arial" w:eastAsia="Arial" w:hAnsi="Arial" w:cs="Arial"/>
                <w:i/>
                <w:iCs/>
                <w:sz w:val="18"/>
                <w:szCs w:val="18"/>
                <w:lang w:val="cs-CZ"/>
              </w:rPr>
              <w:t>Služby</w:t>
            </w:r>
          </w:p>
        </w:tc>
        <w:tc>
          <w:tcPr>
            <w:tcW w:w="1276" w:type="dxa"/>
            <w:shd w:val="clear" w:color="auto" w:fill="auto"/>
            <w:noWrap/>
            <w:vAlign w:val="center"/>
            <w:hideMark/>
          </w:tcPr>
          <w:p w14:paraId="3FB1124D" w14:textId="77777777" w:rsidR="00A14B9B" w:rsidRPr="002A0D4F" w:rsidRDefault="00A14B9B" w:rsidP="00DB1D1D">
            <w:pPr>
              <w:jc w:val="right"/>
              <w:rPr>
                <w:rFonts w:ascii="Arial" w:eastAsia="Arial" w:hAnsi="Arial" w:cs="Arial"/>
                <w:i/>
                <w:iCs/>
                <w:sz w:val="18"/>
                <w:szCs w:val="18"/>
                <w:lang w:val="cs-CZ"/>
              </w:rPr>
            </w:pPr>
            <w:r w:rsidRPr="002A0D4F">
              <w:rPr>
                <w:rFonts w:ascii="Arial" w:eastAsia="Arial" w:hAnsi="Arial" w:cs="Arial"/>
                <w:i/>
                <w:iCs/>
                <w:sz w:val="18"/>
                <w:szCs w:val="18"/>
                <w:lang w:val="cs-CZ"/>
              </w:rPr>
              <w:t>40,6</w:t>
            </w:r>
          </w:p>
        </w:tc>
        <w:tc>
          <w:tcPr>
            <w:tcW w:w="1158" w:type="dxa"/>
            <w:shd w:val="clear" w:color="auto" w:fill="auto"/>
            <w:noWrap/>
            <w:vAlign w:val="center"/>
            <w:hideMark/>
          </w:tcPr>
          <w:p w14:paraId="0717E7D2" w14:textId="77777777" w:rsidR="00A14B9B" w:rsidRPr="002A0D4F" w:rsidRDefault="00A14B9B" w:rsidP="00DB1D1D">
            <w:pPr>
              <w:jc w:val="right"/>
              <w:rPr>
                <w:rFonts w:ascii="Arial" w:eastAsia="Arial" w:hAnsi="Arial" w:cs="Arial"/>
                <w:i/>
                <w:iCs/>
                <w:sz w:val="18"/>
                <w:szCs w:val="18"/>
                <w:lang w:val="cs-CZ"/>
              </w:rPr>
            </w:pPr>
            <w:r w:rsidRPr="002A0D4F">
              <w:rPr>
                <w:rFonts w:ascii="Arial" w:eastAsia="Arial" w:hAnsi="Arial" w:cs="Arial"/>
                <w:i/>
                <w:iCs/>
                <w:sz w:val="18"/>
                <w:szCs w:val="18"/>
                <w:lang w:val="cs-CZ"/>
              </w:rPr>
              <w:t>56,6</w:t>
            </w:r>
          </w:p>
        </w:tc>
        <w:tc>
          <w:tcPr>
            <w:tcW w:w="1251" w:type="dxa"/>
            <w:shd w:val="clear" w:color="auto" w:fill="auto"/>
            <w:noWrap/>
            <w:vAlign w:val="center"/>
            <w:hideMark/>
          </w:tcPr>
          <w:p w14:paraId="3B252095" w14:textId="77777777" w:rsidR="00A14B9B" w:rsidRPr="002A0D4F" w:rsidRDefault="00A14B9B" w:rsidP="00DB1D1D">
            <w:pPr>
              <w:jc w:val="right"/>
              <w:rPr>
                <w:rFonts w:ascii="Arial" w:eastAsia="Arial" w:hAnsi="Arial" w:cs="Arial"/>
                <w:i/>
                <w:iCs/>
                <w:sz w:val="18"/>
                <w:szCs w:val="18"/>
                <w:lang w:val="cs-CZ"/>
              </w:rPr>
            </w:pPr>
            <w:r w:rsidRPr="002A0D4F">
              <w:rPr>
                <w:rFonts w:ascii="Arial" w:eastAsia="Arial" w:hAnsi="Arial" w:cs="Arial"/>
                <w:i/>
                <w:iCs/>
                <w:sz w:val="18"/>
                <w:szCs w:val="18"/>
                <w:lang w:val="cs-CZ"/>
              </w:rPr>
              <w:t>52,6</w:t>
            </w:r>
          </w:p>
        </w:tc>
        <w:tc>
          <w:tcPr>
            <w:tcW w:w="1158" w:type="dxa"/>
            <w:shd w:val="clear" w:color="auto" w:fill="auto"/>
            <w:noWrap/>
            <w:vAlign w:val="center"/>
            <w:hideMark/>
          </w:tcPr>
          <w:p w14:paraId="1A5FBDF0" w14:textId="77777777" w:rsidR="00A14B9B" w:rsidRPr="002A0D4F" w:rsidRDefault="00A14B9B" w:rsidP="00DB1D1D">
            <w:pPr>
              <w:jc w:val="right"/>
              <w:rPr>
                <w:rFonts w:ascii="Arial" w:eastAsia="Arial" w:hAnsi="Arial" w:cs="Arial"/>
                <w:i/>
                <w:iCs/>
                <w:sz w:val="18"/>
                <w:szCs w:val="18"/>
                <w:lang w:val="cs-CZ"/>
              </w:rPr>
            </w:pPr>
            <w:r w:rsidRPr="002A0D4F">
              <w:rPr>
                <w:rFonts w:ascii="Arial" w:eastAsia="Arial" w:hAnsi="Arial" w:cs="Arial"/>
                <w:i/>
                <w:iCs/>
                <w:sz w:val="18"/>
                <w:szCs w:val="18"/>
                <w:lang w:val="cs-CZ"/>
              </w:rPr>
              <w:t>44,4</w:t>
            </w:r>
          </w:p>
        </w:tc>
        <w:tc>
          <w:tcPr>
            <w:tcW w:w="1158" w:type="dxa"/>
            <w:shd w:val="clear" w:color="auto" w:fill="auto"/>
            <w:noWrap/>
            <w:vAlign w:val="center"/>
            <w:hideMark/>
          </w:tcPr>
          <w:p w14:paraId="66065070" w14:textId="77777777" w:rsidR="00A14B9B" w:rsidRPr="002A0D4F" w:rsidRDefault="00A14B9B" w:rsidP="00DB1D1D">
            <w:pPr>
              <w:jc w:val="right"/>
              <w:rPr>
                <w:rFonts w:ascii="Arial" w:eastAsia="Arial" w:hAnsi="Arial" w:cs="Arial"/>
                <w:i/>
                <w:iCs/>
                <w:sz w:val="18"/>
                <w:szCs w:val="18"/>
                <w:lang w:val="cs-CZ"/>
              </w:rPr>
            </w:pPr>
            <w:r w:rsidRPr="002A0D4F">
              <w:rPr>
                <w:rFonts w:ascii="Arial" w:eastAsia="Arial" w:hAnsi="Arial" w:cs="Arial"/>
                <w:i/>
                <w:iCs/>
                <w:sz w:val="18"/>
                <w:szCs w:val="18"/>
                <w:lang w:val="cs-CZ"/>
              </w:rPr>
              <w:t>57,3</w:t>
            </w:r>
          </w:p>
        </w:tc>
        <w:tc>
          <w:tcPr>
            <w:tcW w:w="1228" w:type="dxa"/>
            <w:shd w:val="clear" w:color="auto" w:fill="auto"/>
            <w:noWrap/>
            <w:vAlign w:val="center"/>
            <w:hideMark/>
          </w:tcPr>
          <w:p w14:paraId="1B48D7FE" w14:textId="77777777" w:rsidR="00A14B9B" w:rsidRPr="002A0D4F" w:rsidRDefault="00A14B9B" w:rsidP="00DB1D1D">
            <w:pPr>
              <w:jc w:val="right"/>
              <w:rPr>
                <w:rFonts w:ascii="Arial" w:eastAsia="Arial" w:hAnsi="Arial" w:cs="Arial"/>
                <w:i/>
                <w:iCs/>
                <w:sz w:val="18"/>
                <w:szCs w:val="18"/>
                <w:lang w:val="cs-CZ"/>
              </w:rPr>
            </w:pPr>
            <w:r w:rsidRPr="002A0D4F">
              <w:rPr>
                <w:rFonts w:ascii="Arial" w:eastAsia="Arial" w:hAnsi="Arial" w:cs="Arial"/>
                <w:i/>
                <w:iCs/>
                <w:sz w:val="18"/>
                <w:szCs w:val="18"/>
                <w:lang w:val="cs-CZ"/>
              </w:rPr>
              <w:t>53,9</w:t>
            </w:r>
          </w:p>
        </w:tc>
      </w:tr>
      <w:tr w:rsidR="00A14B9B" w:rsidRPr="002A0D4F" w14:paraId="53F6064D" w14:textId="77777777" w:rsidTr="00DB1D1D">
        <w:trPr>
          <w:trHeight w:val="312"/>
        </w:trPr>
        <w:tc>
          <w:tcPr>
            <w:tcW w:w="1915" w:type="dxa"/>
            <w:shd w:val="clear" w:color="auto" w:fill="auto"/>
            <w:noWrap/>
            <w:vAlign w:val="center"/>
            <w:hideMark/>
          </w:tcPr>
          <w:p w14:paraId="24F63534" w14:textId="77777777" w:rsidR="00A14B9B" w:rsidRPr="002A0D4F" w:rsidRDefault="00A14B9B" w:rsidP="00DB1D1D">
            <w:pPr>
              <w:ind w:firstLine="7"/>
              <w:rPr>
                <w:rFonts w:ascii="Arial" w:eastAsia="Arial" w:hAnsi="Arial" w:cs="Arial"/>
                <w:i/>
                <w:iCs/>
                <w:sz w:val="18"/>
                <w:szCs w:val="18"/>
                <w:lang w:val="cs-CZ"/>
              </w:rPr>
            </w:pPr>
            <w:r w:rsidRPr="002A0D4F">
              <w:rPr>
                <w:rFonts w:ascii="Arial" w:eastAsia="Arial" w:hAnsi="Arial" w:cs="Arial"/>
                <w:i/>
                <w:iCs/>
                <w:sz w:val="18"/>
                <w:szCs w:val="18"/>
                <w:lang w:val="cs-CZ"/>
              </w:rPr>
              <w:t>Nezjištěno</w:t>
            </w:r>
          </w:p>
        </w:tc>
        <w:tc>
          <w:tcPr>
            <w:tcW w:w="1276" w:type="dxa"/>
            <w:shd w:val="clear" w:color="auto" w:fill="auto"/>
            <w:noWrap/>
            <w:vAlign w:val="center"/>
            <w:hideMark/>
          </w:tcPr>
          <w:p w14:paraId="1463D5A0" w14:textId="77777777" w:rsidR="00A14B9B" w:rsidRPr="002A0D4F" w:rsidRDefault="00A14B9B" w:rsidP="00DB1D1D">
            <w:pPr>
              <w:jc w:val="right"/>
              <w:rPr>
                <w:rFonts w:ascii="Arial" w:eastAsia="Arial" w:hAnsi="Arial" w:cs="Arial"/>
                <w:i/>
                <w:iCs/>
                <w:sz w:val="18"/>
                <w:szCs w:val="18"/>
                <w:lang w:val="cs-CZ"/>
              </w:rPr>
            </w:pPr>
            <w:r w:rsidRPr="002A0D4F">
              <w:rPr>
                <w:rFonts w:ascii="Arial" w:eastAsia="Arial" w:hAnsi="Arial" w:cs="Arial"/>
                <w:i/>
                <w:iCs/>
                <w:sz w:val="18"/>
                <w:szCs w:val="18"/>
                <w:lang w:val="cs-CZ"/>
              </w:rPr>
              <w:t>4,2</w:t>
            </w:r>
          </w:p>
        </w:tc>
        <w:tc>
          <w:tcPr>
            <w:tcW w:w="1158" w:type="dxa"/>
            <w:shd w:val="clear" w:color="auto" w:fill="auto"/>
            <w:noWrap/>
            <w:vAlign w:val="center"/>
            <w:hideMark/>
          </w:tcPr>
          <w:p w14:paraId="55070469" w14:textId="77777777" w:rsidR="00A14B9B" w:rsidRPr="002A0D4F" w:rsidRDefault="00A14B9B" w:rsidP="00DB1D1D">
            <w:pPr>
              <w:jc w:val="right"/>
              <w:rPr>
                <w:rFonts w:ascii="Arial" w:eastAsia="Arial" w:hAnsi="Arial" w:cs="Arial"/>
                <w:i/>
                <w:iCs/>
                <w:sz w:val="18"/>
                <w:szCs w:val="18"/>
                <w:lang w:val="cs-CZ"/>
              </w:rPr>
            </w:pPr>
            <w:r w:rsidRPr="002A0D4F">
              <w:rPr>
                <w:rFonts w:ascii="Arial" w:eastAsia="Arial" w:hAnsi="Arial" w:cs="Arial"/>
                <w:i/>
                <w:iCs/>
                <w:sz w:val="18"/>
                <w:szCs w:val="18"/>
                <w:lang w:val="cs-CZ"/>
              </w:rPr>
              <w:t>4,3</w:t>
            </w:r>
          </w:p>
        </w:tc>
        <w:tc>
          <w:tcPr>
            <w:tcW w:w="1251" w:type="dxa"/>
            <w:shd w:val="clear" w:color="auto" w:fill="auto"/>
            <w:noWrap/>
            <w:vAlign w:val="center"/>
            <w:hideMark/>
          </w:tcPr>
          <w:p w14:paraId="09410D36" w14:textId="77777777" w:rsidR="00A14B9B" w:rsidRPr="002A0D4F" w:rsidRDefault="00A14B9B" w:rsidP="00DB1D1D">
            <w:pPr>
              <w:jc w:val="right"/>
              <w:rPr>
                <w:rFonts w:ascii="Arial" w:eastAsia="Arial" w:hAnsi="Arial" w:cs="Arial"/>
                <w:i/>
                <w:iCs/>
                <w:sz w:val="18"/>
                <w:szCs w:val="18"/>
                <w:lang w:val="cs-CZ"/>
              </w:rPr>
            </w:pPr>
            <w:r w:rsidRPr="002A0D4F">
              <w:rPr>
                <w:rFonts w:ascii="Arial" w:eastAsia="Arial" w:hAnsi="Arial" w:cs="Arial"/>
                <w:i/>
                <w:iCs/>
                <w:sz w:val="18"/>
                <w:szCs w:val="18"/>
                <w:lang w:val="cs-CZ"/>
              </w:rPr>
              <w:t>4,2</w:t>
            </w:r>
          </w:p>
        </w:tc>
        <w:tc>
          <w:tcPr>
            <w:tcW w:w="1158" w:type="dxa"/>
            <w:shd w:val="clear" w:color="auto" w:fill="auto"/>
            <w:noWrap/>
            <w:vAlign w:val="center"/>
            <w:hideMark/>
          </w:tcPr>
          <w:p w14:paraId="1FA474A9" w14:textId="77777777" w:rsidR="00A14B9B" w:rsidRPr="002A0D4F" w:rsidRDefault="00A14B9B" w:rsidP="00DB1D1D">
            <w:pPr>
              <w:jc w:val="right"/>
              <w:rPr>
                <w:rFonts w:ascii="Arial" w:eastAsia="Arial" w:hAnsi="Arial" w:cs="Arial"/>
                <w:i/>
                <w:iCs/>
                <w:sz w:val="18"/>
                <w:szCs w:val="18"/>
                <w:lang w:val="cs-CZ"/>
              </w:rPr>
            </w:pPr>
            <w:r w:rsidRPr="002A0D4F">
              <w:rPr>
                <w:rFonts w:ascii="Arial" w:eastAsia="Arial" w:hAnsi="Arial" w:cs="Arial"/>
                <w:i/>
                <w:iCs/>
                <w:sz w:val="18"/>
                <w:szCs w:val="18"/>
                <w:lang w:val="cs-CZ"/>
              </w:rPr>
              <w:t>11,7</w:t>
            </w:r>
          </w:p>
        </w:tc>
        <w:tc>
          <w:tcPr>
            <w:tcW w:w="1158" w:type="dxa"/>
            <w:shd w:val="clear" w:color="auto" w:fill="auto"/>
            <w:noWrap/>
            <w:vAlign w:val="center"/>
            <w:hideMark/>
          </w:tcPr>
          <w:p w14:paraId="031C3909" w14:textId="77777777" w:rsidR="00A14B9B" w:rsidRPr="002A0D4F" w:rsidRDefault="00A14B9B" w:rsidP="00DB1D1D">
            <w:pPr>
              <w:jc w:val="right"/>
              <w:rPr>
                <w:rFonts w:ascii="Arial" w:eastAsia="Arial" w:hAnsi="Arial" w:cs="Arial"/>
                <w:i/>
                <w:iCs/>
                <w:sz w:val="18"/>
                <w:szCs w:val="18"/>
                <w:lang w:val="cs-CZ"/>
              </w:rPr>
            </w:pPr>
            <w:r w:rsidRPr="002A0D4F">
              <w:rPr>
                <w:rFonts w:ascii="Arial" w:eastAsia="Arial" w:hAnsi="Arial" w:cs="Arial"/>
                <w:i/>
                <w:iCs/>
                <w:sz w:val="18"/>
                <w:szCs w:val="18"/>
                <w:lang w:val="cs-CZ"/>
              </w:rPr>
              <w:t>11,0</w:t>
            </w:r>
          </w:p>
        </w:tc>
        <w:tc>
          <w:tcPr>
            <w:tcW w:w="1228" w:type="dxa"/>
            <w:shd w:val="clear" w:color="auto" w:fill="auto"/>
            <w:noWrap/>
            <w:vAlign w:val="center"/>
            <w:hideMark/>
          </w:tcPr>
          <w:p w14:paraId="6CC4C63D" w14:textId="77777777" w:rsidR="00A14B9B" w:rsidRPr="002A0D4F" w:rsidRDefault="00A14B9B" w:rsidP="00DB1D1D">
            <w:pPr>
              <w:jc w:val="right"/>
              <w:rPr>
                <w:rFonts w:ascii="Arial" w:eastAsia="Arial" w:hAnsi="Arial" w:cs="Arial"/>
                <w:i/>
                <w:iCs/>
                <w:sz w:val="18"/>
                <w:szCs w:val="18"/>
                <w:lang w:val="cs-CZ"/>
              </w:rPr>
            </w:pPr>
            <w:r w:rsidRPr="002A0D4F">
              <w:rPr>
                <w:rFonts w:ascii="Arial" w:eastAsia="Arial" w:hAnsi="Arial" w:cs="Arial"/>
                <w:i/>
                <w:iCs/>
                <w:sz w:val="18"/>
                <w:szCs w:val="18"/>
                <w:lang w:val="cs-CZ"/>
              </w:rPr>
              <w:t>11,2</w:t>
            </w:r>
          </w:p>
        </w:tc>
      </w:tr>
      <w:tr w:rsidR="00A14B9B" w:rsidRPr="002A0D4F" w14:paraId="7D0F4FC6" w14:textId="77777777" w:rsidTr="00DB1D1D">
        <w:trPr>
          <w:trHeight w:val="312"/>
        </w:trPr>
        <w:tc>
          <w:tcPr>
            <w:tcW w:w="1915" w:type="dxa"/>
            <w:shd w:val="clear" w:color="auto" w:fill="auto"/>
            <w:noWrap/>
            <w:vAlign w:val="center"/>
            <w:hideMark/>
          </w:tcPr>
          <w:p w14:paraId="205C975C" w14:textId="77777777" w:rsidR="00A14B9B" w:rsidRPr="002A0D4F" w:rsidRDefault="00A14B9B" w:rsidP="00DB1D1D">
            <w:pPr>
              <w:ind w:firstLine="7"/>
              <w:rPr>
                <w:rFonts w:ascii="Arial" w:eastAsia="Arial" w:hAnsi="Arial" w:cs="Arial"/>
                <w:i/>
                <w:iCs/>
                <w:sz w:val="18"/>
                <w:szCs w:val="18"/>
                <w:lang w:val="cs-CZ"/>
              </w:rPr>
            </w:pPr>
            <w:r w:rsidRPr="002A0D4F">
              <w:rPr>
                <w:rFonts w:ascii="Arial" w:eastAsia="Arial" w:hAnsi="Arial" w:cs="Arial"/>
                <w:i/>
                <w:iCs/>
                <w:sz w:val="18"/>
                <w:szCs w:val="18"/>
                <w:lang w:val="cs-CZ"/>
              </w:rPr>
              <w:t>Celkem</w:t>
            </w:r>
          </w:p>
        </w:tc>
        <w:tc>
          <w:tcPr>
            <w:tcW w:w="1276" w:type="dxa"/>
            <w:shd w:val="clear" w:color="auto" w:fill="auto"/>
            <w:noWrap/>
            <w:vAlign w:val="center"/>
            <w:hideMark/>
          </w:tcPr>
          <w:p w14:paraId="1B2760AB" w14:textId="77777777" w:rsidR="00A14B9B" w:rsidRPr="002A0D4F" w:rsidRDefault="00A14B9B" w:rsidP="00DB1D1D">
            <w:pPr>
              <w:jc w:val="right"/>
              <w:rPr>
                <w:rFonts w:ascii="Arial" w:eastAsia="Arial" w:hAnsi="Arial" w:cs="Arial"/>
                <w:i/>
                <w:iCs/>
                <w:sz w:val="18"/>
                <w:szCs w:val="18"/>
                <w:lang w:val="cs-CZ"/>
              </w:rPr>
            </w:pPr>
            <w:r w:rsidRPr="002A0D4F">
              <w:rPr>
                <w:rFonts w:ascii="Arial" w:eastAsia="Arial" w:hAnsi="Arial" w:cs="Arial"/>
                <w:i/>
                <w:iCs/>
                <w:sz w:val="18"/>
                <w:szCs w:val="18"/>
                <w:lang w:val="cs-CZ"/>
              </w:rPr>
              <w:t>100,0</w:t>
            </w:r>
          </w:p>
        </w:tc>
        <w:tc>
          <w:tcPr>
            <w:tcW w:w="1158" w:type="dxa"/>
            <w:shd w:val="clear" w:color="auto" w:fill="auto"/>
            <w:noWrap/>
            <w:vAlign w:val="center"/>
            <w:hideMark/>
          </w:tcPr>
          <w:p w14:paraId="50B43518" w14:textId="77777777" w:rsidR="00A14B9B" w:rsidRPr="002A0D4F" w:rsidRDefault="00A14B9B" w:rsidP="00DB1D1D">
            <w:pPr>
              <w:jc w:val="right"/>
              <w:rPr>
                <w:rFonts w:ascii="Arial" w:eastAsia="Arial" w:hAnsi="Arial" w:cs="Arial"/>
                <w:i/>
                <w:iCs/>
                <w:sz w:val="18"/>
                <w:szCs w:val="18"/>
                <w:lang w:val="cs-CZ"/>
              </w:rPr>
            </w:pPr>
            <w:r w:rsidRPr="002A0D4F">
              <w:rPr>
                <w:rFonts w:ascii="Arial" w:eastAsia="Arial" w:hAnsi="Arial" w:cs="Arial"/>
                <w:i/>
                <w:iCs/>
                <w:sz w:val="18"/>
                <w:szCs w:val="18"/>
                <w:lang w:val="cs-CZ"/>
              </w:rPr>
              <w:t>100,0</w:t>
            </w:r>
          </w:p>
        </w:tc>
        <w:tc>
          <w:tcPr>
            <w:tcW w:w="1251" w:type="dxa"/>
            <w:shd w:val="clear" w:color="auto" w:fill="auto"/>
            <w:noWrap/>
            <w:vAlign w:val="center"/>
            <w:hideMark/>
          </w:tcPr>
          <w:p w14:paraId="2C65C3AB" w14:textId="77777777" w:rsidR="00A14B9B" w:rsidRPr="002A0D4F" w:rsidRDefault="00A14B9B" w:rsidP="00DB1D1D">
            <w:pPr>
              <w:jc w:val="right"/>
              <w:rPr>
                <w:rFonts w:ascii="Arial" w:eastAsia="Arial" w:hAnsi="Arial" w:cs="Arial"/>
                <w:i/>
                <w:iCs/>
                <w:sz w:val="18"/>
                <w:szCs w:val="18"/>
                <w:lang w:val="cs-CZ"/>
              </w:rPr>
            </w:pPr>
            <w:r w:rsidRPr="002A0D4F">
              <w:rPr>
                <w:rFonts w:ascii="Arial" w:eastAsia="Arial" w:hAnsi="Arial" w:cs="Arial"/>
                <w:i/>
                <w:iCs/>
                <w:sz w:val="18"/>
                <w:szCs w:val="18"/>
                <w:lang w:val="cs-CZ"/>
              </w:rPr>
              <w:t>100,0</w:t>
            </w:r>
          </w:p>
        </w:tc>
        <w:tc>
          <w:tcPr>
            <w:tcW w:w="1158" w:type="dxa"/>
            <w:shd w:val="clear" w:color="auto" w:fill="auto"/>
            <w:noWrap/>
            <w:vAlign w:val="center"/>
            <w:hideMark/>
          </w:tcPr>
          <w:p w14:paraId="57104AD1" w14:textId="77777777" w:rsidR="00A14B9B" w:rsidRPr="002A0D4F" w:rsidRDefault="00A14B9B" w:rsidP="00DB1D1D">
            <w:pPr>
              <w:jc w:val="right"/>
              <w:rPr>
                <w:rFonts w:ascii="Arial" w:eastAsia="Arial" w:hAnsi="Arial" w:cs="Arial"/>
                <w:i/>
                <w:iCs/>
                <w:sz w:val="18"/>
                <w:szCs w:val="18"/>
                <w:lang w:val="cs-CZ"/>
              </w:rPr>
            </w:pPr>
            <w:r w:rsidRPr="002A0D4F">
              <w:rPr>
                <w:rFonts w:ascii="Arial" w:eastAsia="Arial" w:hAnsi="Arial" w:cs="Arial"/>
                <w:i/>
                <w:iCs/>
                <w:sz w:val="18"/>
                <w:szCs w:val="18"/>
                <w:lang w:val="cs-CZ"/>
              </w:rPr>
              <w:t>100,0</w:t>
            </w:r>
          </w:p>
        </w:tc>
        <w:tc>
          <w:tcPr>
            <w:tcW w:w="1158" w:type="dxa"/>
            <w:shd w:val="clear" w:color="auto" w:fill="auto"/>
            <w:noWrap/>
            <w:vAlign w:val="center"/>
            <w:hideMark/>
          </w:tcPr>
          <w:p w14:paraId="271309A5" w14:textId="77777777" w:rsidR="00A14B9B" w:rsidRPr="002A0D4F" w:rsidRDefault="00A14B9B" w:rsidP="00DB1D1D">
            <w:pPr>
              <w:jc w:val="right"/>
              <w:rPr>
                <w:rFonts w:ascii="Arial" w:eastAsia="Arial" w:hAnsi="Arial" w:cs="Arial"/>
                <w:i/>
                <w:iCs/>
                <w:sz w:val="18"/>
                <w:szCs w:val="18"/>
                <w:lang w:val="cs-CZ"/>
              </w:rPr>
            </w:pPr>
            <w:r w:rsidRPr="002A0D4F">
              <w:rPr>
                <w:rFonts w:ascii="Arial" w:eastAsia="Arial" w:hAnsi="Arial" w:cs="Arial"/>
                <w:i/>
                <w:iCs/>
                <w:sz w:val="18"/>
                <w:szCs w:val="18"/>
                <w:lang w:val="cs-CZ"/>
              </w:rPr>
              <w:t>100,0</w:t>
            </w:r>
          </w:p>
        </w:tc>
        <w:tc>
          <w:tcPr>
            <w:tcW w:w="1228" w:type="dxa"/>
            <w:shd w:val="clear" w:color="auto" w:fill="auto"/>
            <w:noWrap/>
            <w:vAlign w:val="center"/>
            <w:hideMark/>
          </w:tcPr>
          <w:p w14:paraId="2065D0FD" w14:textId="77777777" w:rsidR="00A14B9B" w:rsidRPr="002A0D4F" w:rsidRDefault="00A14B9B" w:rsidP="00DB1D1D">
            <w:pPr>
              <w:jc w:val="right"/>
              <w:rPr>
                <w:rFonts w:ascii="Arial" w:eastAsia="Arial" w:hAnsi="Arial" w:cs="Arial"/>
                <w:i/>
                <w:iCs/>
                <w:sz w:val="18"/>
                <w:szCs w:val="18"/>
                <w:lang w:val="cs-CZ"/>
              </w:rPr>
            </w:pPr>
            <w:r w:rsidRPr="002A0D4F">
              <w:rPr>
                <w:rFonts w:ascii="Arial" w:eastAsia="Arial" w:hAnsi="Arial" w:cs="Arial"/>
                <w:i/>
                <w:iCs/>
                <w:sz w:val="18"/>
                <w:szCs w:val="18"/>
                <w:lang w:val="cs-CZ"/>
              </w:rPr>
              <w:t>100,0</w:t>
            </w:r>
          </w:p>
        </w:tc>
      </w:tr>
    </w:tbl>
    <w:p w14:paraId="4F746547" w14:textId="77777777" w:rsidR="00A14B9B" w:rsidRPr="00FB4BD8" w:rsidRDefault="00A14B9B" w:rsidP="00FB4BD8">
      <w:pPr>
        <w:pStyle w:val="UZEIZdroj"/>
      </w:pPr>
      <w:r w:rsidRPr="00FB4BD8">
        <w:t>Zdroj: SLDB 2001, 2011; ČSÚ 2002, 2013.</w:t>
      </w:r>
    </w:p>
    <w:p w14:paraId="3F5E227E" w14:textId="3C86D909" w:rsidR="00A14B9B" w:rsidRPr="00F81F4B" w:rsidRDefault="00A14B9B" w:rsidP="00F81F4B">
      <w:pPr>
        <w:pStyle w:val="UZEIObr"/>
        <w:rPr>
          <w:rFonts w:eastAsiaTheme="minorEastAsia"/>
        </w:rPr>
      </w:pPr>
      <w:bookmarkStart w:id="725" w:name="_Toc525727643"/>
      <w:bookmarkStart w:id="726" w:name="_Toc525735930"/>
      <w:bookmarkStart w:id="727" w:name="_Toc25919906"/>
      <w:bookmarkStart w:id="728" w:name="_Toc81815445"/>
      <w:bookmarkStart w:id="729" w:name="_Toc81817650"/>
      <w:r w:rsidRPr="00F81F4B">
        <w:rPr>
          <w:rFonts w:eastAsiaTheme="minorEastAsia"/>
        </w:rPr>
        <w:t>Podíl AS na zaměstnanosti celkem dle velikostních kategorií obcí</w:t>
      </w:r>
      <w:bookmarkEnd w:id="725"/>
      <w:bookmarkEnd w:id="726"/>
      <w:bookmarkEnd w:id="727"/>
      <w:bookmarkEnd w:id="728"/>
      <w:bookmarkEnd w:id="729"/>
    </w:p>
    <w:p w14:paraId="195E237A" w14:textId="77777777" w:rsidR="00A14B9B" w:rsidRPr="002A0D4F" w:rsidRDefault="00A14B9B" w:rsidP="00A14B9B">
      <w:pPr>
        <w:keepNext/>
        <w:rPr>
          <w:lang w:val="cs-CZ"/>
        </w:rPr>
      </w:pPr>
      <w:r w:rsidRPr="002A0D4F">
        <w:rPr>
          <w:noProof/>
          <w:lang w:val="cs-CZ" w:eastAsia="cs-CZ"/>
        </w:rPr>
        <w:drawing>
          <wp:inline distT="0" distB="0" distL="0" distR="0" wp14:anchorId="4523D0C7" wp14:editId="0A0D34F1">
            <wp:extent cx="5734050" cy="2724150"/>
            <wp:effectExtent l="0" t="0" r="0" b="0"/>
            <wp:docPr id="20" name="Graf 20">
              <a:extLst xmlns:a="http://schemas.openxmlformats.org/drawingml/2006/main">
                <a:ext uri="{FF2B5EF4-FFF2-40B4-BE49-F238E27FC236}">
                  <a16:creationId xmlns:a16="http://schemas.microsoft.com/office/drawing/2014/main" id="{FEC1A073-A3C5-4055-B873-4D1032A2E04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1"/>
              </a:graphicData>
            </a:graphic>
          </wp:inline>
        </w:drawing>
      </w:r>
    </w:p>
    <w:p w14:paraId="4B83C1C8" w14:textId="77777777" w:rsidR="00A14B9B" w:rsidRPr="002A0D4F" w:rsidRDefault="00A14B9B" w:rsidP="00F81F4B">
      <w:pPr>
        <w:pStyle w:val="UZEIZdroj"/>
      </w:pPr>
      <w:r w:rsidRPr="002A0D4F">
        <w:t>Zdroj: SLDB 2011</w:t>
      </w:r>
    </w:p>
    <w:p w14:paraId="62EE7E2C" w14:textId="25693446" w:rsidR="00335B9F" w:rsidRPr="00335B9F" w:rsidRDefault="00A14B9B" w:rsidP="00335B9F">
      <w:pPr>
        <w:rPr>
          <w:lang w:val="cs-CZ"/>
        </w:rPr>
      </w:pPr>
      <w:r w:rsidRPr="00335B9F">
        <w:rPr>
          <w:rStyle w:val="UZEINormalnChar"/>
          <w:rFonts w:eastAsiaTheme="minorHAnsi"/>
        </w:rPr>
        <w:t xml:space="preserve">Vývoj zaměstnanosti celkem a dle sektorů na venkově ve srovnání s městy (zde na úrovni regionů NUTS 3) v letech 2009-2019 ukazují následující </w:t>
      </w:r>
      <w:r w:rsidR="0080243E">
        <w:rPr>
          <w:rStyle w:val="UZEINormalnChar"/>
          <w:rFonts w:eastAsiaTheme="minorHAnsi"/>
        </w:rPr>
        <w:fldChar w:fldCharType="begin"/>
      </w:r>
      <w:r w:rsidR="0080243E">
        <w:rPr>
          <w:rStyle w:val="UZEINormalnChar"/>
          <w:rFonts w:eastAsiaTheme="minorHAnsi"/>
        </w:rPr>
        <w:instrText xml:space="preserve"> REF _Ref81773281 \r \h </w:instrText>
      </w:r>
      <w:r w:rsidR="0080243E">
        <w:rPr>
          <w:rStyle w:val="UZEINormalnChar"/>
          <w:rFonts w:eastAsiaTheme="minorHAnsi"/>
        </w:rPr>
      </w:r>
      <w:r w:rsidR="0080243E">
        <w:rPr>
          <w:rStyle w:val="UZEINormalnChar"/>
          <w:rFonts w:eastAsiaTheme="minorHAnsi"/>
        </w:rPr>
        <w:fldChar w:fldCharType="separate"/>
      </w:r>
      <w:r w:rsidR="0080243E">
        <w:rPr>
          <w:rStyle w:val="UZEINormalnChar"/>
          <w:rFonts w:eastAsiaTheme="minorHAnsi"/>
        </w:rPr>
        <w:t>Tabulka 43</w:t>
      </w:r>
      <w:r w:rsidR="0080243E">
        <w:rPr>
          <w:rStyle w:val="UZEINormalnChar"/>
          <w:rFonts w:eastAsiaTheme="minorHAnsi"/>
        </w:rPr>
        <w:fldChar w:fldCharType="end"/>
      </w:r>
      <w:r w:rsidR="0080243E">
        <w:rPr>
          <w:rStyle w:val="UZEINormalnChar"/>
          <w:rFonts w:eastAsiaTheme="minorHAnsi"/>
        </w:rPr>
        <w:t xml:space="preserve">a </w:t>
      </w:r>
      <w:r w:rsidR="0080243E">
        <w:rPr>
          <w:rStyle w:val="UZEINormalnChar"/>
          <w:rFonts w:eastAsiaTheme="minorHAnsi"/>
        </w:rPr>
        <w:fldChar w:fldCharType="begin"/>
      </w:r>
      <w:r w:rsidR="0080243E">
        <w:rPr>
          <w:rStyle w:val="UZEINormalnChar"/>
          <w:rFonts w:eastAsiaTheme="minorHAnsi"/>
        </w:rPr>
        <w:instrText xml:space="preserve"> REF _Ref81773284 \r \h </w:instrText>
      </w:r>
      <w:r w:rsidR="0080243E">
        <w:rPr>
          <w:rStyle w:val="UZEINormalnChar"/>
          <w:rFonts w:eastAsiaTheme="minorHAnsi"/>
        </w:rPr>
      </w:r>
      <w:r w:rsidR="0080243E">
        <w:rPr>
          <w:rStyle w:val="UZEINormalnChar"/>
          <w:rFonts w:eastAsiaTheme="minorHAnsi"/>
        </w:rPr>
        <w:fldChar w:fldCharType="separate"/>
      </w:r>
      <w:r w:rsidR="0080243E">
        <w:rPr>
          <w:rStyle w:val="UZEINormalnChar"/>
          <w:rFonts w:eastAsiaTheme="minorHAnsi"/>
        </w:rPr>
        <w:t>Tabulka 44</w:t>
      </w:r>
      <w:r w:rsidR="0080243E">
        <w:rPr>
          <w:rStyle w:val="UZEINormalnChar"/>
          <w:rFonts w:eastAsiaTheme="minorHAnsi"/>
        </w:rPr>
        <w:fldChar w:fldCharType="end"/>
      </w:r>
      <w:r w:rsidRPr="002A0D4F">
        <w:rPr>
          <w:lang w:val="cs-CZ"/>
        </w:rPr>
        <w:t xml:space="preserve">.  </w:t>
      </w:r>
      <w:bookmarkStart w:id="730" w:name="_Toc25920036"/>
      <w:r w:rsidR="00335B9F">
        <w:rPr>
          <w:rFonts w:eastAsiaTheme="minorEastAsia"/>
        </w:rPr>
        <w:br w:type="page"/>
      </w:r>
    </w:p>
    <w:p w14:paraId="6473452D" w14:textId="7310B4A1" w:rsidR="00A14B9B" w:rsidRPr="00335B9F" w:rsidRDefault="00A14B9B" w:rsidP="00335B9F">
      <w:pPr>
        <w:pStyle w:val="UZEITaB"/>
        <w:rPr>
          <w:rFonts w:eastAsiaTheme="minorEastAsia"/>
        </w:rPr>
      </w:pPr>
      <w:bookmarkStart w:id="731" w:name="_Ref81773281"/>
      <w:bookmarkStart w:id="732" w:name="_Toc81815359"/>
      <w:bookmarkStart w:id="733" w:name="_Toc81817037"/>
      <w:bookmarkStart w:id="734" w:name="_Toc81817550"/>
      <w:r w:rsidRPr="00335B9F">
        <w:rPr>
          <w:rFonts w:eastAsiaTheme="minorEastAsia"/>
        </w:rPr>
        <w:lastRenderedPageBreak/>
        <w:t>Zaměstnanost v NH dle typologie městských a venkovských regionů NUTS 3 (</w:t>
      </w:r>
      <w:proofErr w:type="spellStart"/>
      <w:r w:rsidRPr="00335B9F">
        <w:rPr>
          <w:rFonts w:eastAsiaTheme="minorEastAsia"/>
        </w:rPr>
        <w:t>abs</w:t>
      </w:r>
      <w:proofErr w:type="spellEnd"/>
      <w:r w:rsidRPr="00335B9F">
        <w:rPr>
          <w:rFonts w:eastAsiaTheme="minorEastAsia"/>
        </w:rPr>
        <w:t>.)</w:t>
      </w:r>
      <w:bookmarkEnd w:id="730"/>
      <w:bookmarkEnd w:id="731"/>
      <w:bookmarkEnd w:id="732"/>
      <w:bookmarkEnd w:id="733"/>
      <w:bookmarkEnd w:id="734"/>
    </w:p>
    <w:p w14:paraId="3531C224" w14:textId="77777777" w:rsidR="00A14B9B" w:rsidRPr="002A0D4F" w:rsidRDefault="00A14B9B" w:rsidP="00335B9F">
      <w:pPr>
        <w:pStyle w:val="UZEIZdroj"/>
      </w:pPr>
      <w:r w:rsidRPr="002A0D4F">
        <w:rPr>
          <w:rFonts w:eastAsiaTheme="minorEastAsia"/>
          <w:noProof/>
          <w:lang w:eastAsia="cs-CZ"/>
        </w:rPr>
        <w:drawing>
          <wp:inline distT="0" distB="0" distL="0" distR="0" wp14:anchorId="37B4C271" wp14:editId="2C942811">
            <wp:extent cx="5760720" cy="629000"/>
            <wp:effectExtent l="0" t="0" r="0" b="0"/>
            <wp:docPr id="1737972144" name="Obrázek 1737972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5760720" cy="629000"/>
                    </a:xfrm>
                    <a:prstGeom prst="rect">
                      <a:avLst/>
                    </a:prstGeom>
                    <a:noFill/>
                    <a:ln>
                      <a:noFill/>
                    </a:ln>
                  </pic:spPr>
                </pic:pic>
              </a:graphicData>
            </a:graphic>
          </wp:inline>
        </w:drawing>
      </w:r>
      <w:r w:rsidRPr="002A0D4F">
        <w:rPr>
          <w:noProof/>
          <w:lang w:eastAsia="cs-CZ"/>
        </w:rPr>
        <w:drawing>
          <wp:inline distT="0" distB="0" distL="0" distR="0" wp14:anchorId="4AD1E4CC" wp14:editId="71435108">
            <wp:extent cx="5753098" cy="552450"/>
            <wp:effectExtent l="0" t="0" r="0" b="0"/>
            <wp:docPr id="1871863834" name="Picture 1637812824" title="Vkládá se obráze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812824"/>
                    <pic:cNvPicPr/>
                  </pic:nvPicPr>
                  <pic:blipFill>
                    <a:blip r:embed="rId133">
                      <a:extLst>
                        <a:ext uri="{28A0092B-C50C-407E-A947-70E740481C1C}">
                          <a14:useLocalDpi xmlns:a14="http://schemas.microsoft.com/office/drawing/2010/main" val="0"/>
                        </a:ext>
                      </a:extLst>
                    </a:blip>
                    <a:stretch>
                      <a:fillRect/>
                    </a:stretch>
                  </pic:blipFill>
                  <pic:spPr>
                    <a:xfrm>
                      <a:off x="0" y="0"/>
                      <a:ext cx="5753098" cy="552450"/>
                    </a:xfrm>
                    <a:prstGeom prst="rect">
                      <a:avLst/>
                    </a:prstGeom>
                  </pic:spPr>
                </pic:pic>
              </a:graphicData>
            </a:graphic>
          </wp:inline>
        </w:drawing>
      </w:r>
      <w:r w:rsidRPr="002A0D4F">
        <w:rPr>
          <w:noProof/>
          <w:lang w:eastAsia="cs-CZ"/>
        </w:rPr>
        <w:drawing>
          <wp:inline distT="0" distB="0" distL="0" distR="0" wp14:anchorId="3E888177" wp14:editId="15DB78E4">
            <wp:extent cx="5753098" cy="552450"/>
            <wp:effectExtent l="0" t="0" r="0" b="0"/>
            <wp:docPr id="1413647125" name="Obrázek 1413647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413647125"/>
                    <pic:cNvPicPr/>
                  </pic:nvPicPr>
                  <pic:blipFill>
                    <a:blip r:embed="rId134">
                      <a:extLst>
                        <a:ext uri="{28A0092B-C50C-407E-A947-70E740481C1C}">
                          <a14:useLocalDpi xmlns:a14="http://schemas.microsoft.com/office/drawing/2010/main" val="0"/>
                        </a:ext>
                      </a:extLst>
                    </a:blip>
                    <a:stretch>
                      <a:fillRect/>
                    </a:stretch>
                  </pic:blipFill>
                  <pic:spPr>
                    <a:xfrm>
                      <a:off x="0" y="0"/>
                      <a:ext cx="5753098" cy="552450"/>
                    </a:xfrm>
                    <a:prstGeom prst="rect">
                      <a:avLst/>
                    </a:prstGeom>
                  </pic:spPr>
                </pic:pic>
              </a:graphicData>
            </a:graphic>
          </wp:inline>
        </w:drawing>
      </w:r>
      <w:r w:rsidRPr="002A0D4F">
        <w:rPr>
          <w:rFonts w:asciiTheme="minorHAnsi" w:eastAsiaTheme="minorEastAsia" w:hAnsiTheme="minorHAnsi"/>
          <w:sz w:val="22"/>
        </w:rPr>
        <w:t>Z</w:t>
      </w:r>
      <w:r w:rsidRPr="002A0D4F">
        <w:t xml:space="preserve">droj: Národní účty, ČSÚ </w:t>
      </w:r>
    </w:p>
    <w:p w14:paraId="50F19D0B" w14:textId="77777777" w:rsidR="00A14B9B" w:rsidRPr="002A0D4F" w:rsidRDefault="00A14B9B" w:rsidP="00335B9F">
      <w:pPr>
        <w:pStyle w:val="UZEIZdroj"/>
      </w:pPr>
      <w:r w:rsidRPr="002A0D4F">
        <w:t>Zpracování: ÚZEI</w:t>
      </w:r>
    </w:p>
    <w:p w14:paraId="60229127" w14:textId="77777777" w:rsidR="00A14B9B" w:rsidRPr="002A0D4F" w:rsidRDefault="00A14B9B" w:rsidP="00335B9F">
      <w:pPr>
        <w:pStyle w:val="UZEINormaln"/>
      </w:pPr>
      <w:r w:rsidRPr="002A0D4F">
        <w:t>Zaměstnanost v ČR se v období 2009-2019 mírně zvýšila (o 6,3 %), shodně v krajích převážně městských a převážně venkovských (o 6,8 %, přičemž převážně městské kraje dle VŠPS dlouhodobě vykazují nejvyšší podíly zaměstnaných na obyvatelstvu starším 15 let), v krajích smíšených o 5,5 %). Růst zaměstnanosti souvisí s celkově příznivou ekonomickou situací v ČR (situace na trhu práce, vznik nových pracovních míst, pokles nezaměstnanosti), z demografických změn se na zvyšování zaměstnanosti spolupodílí zahraniční imigrace (v ČR převažuje imigrace osob v produktivním věku za prací).</w:t>
      </w:r>
    </w:p>
    <w:p w14:paraId="0C712147" w14:textId="053D9444" w:rsidR="00335B9F" w:rsidRPr="00335B9F" w:rsidRDefault="00335B9F" w:rsidP="00335B9F">
      <w:pPr>
        <w:pStyle w:val="UZEITaB"/>
        <w:rPr>
          <w:rStyle w:val="UZEITaBChar"/>
          <w:rFonts w:eastAsiaTheme="minorEastAsia"/>
          <w:b/>
        </w:rPr>
      </w:pPr>
      <w:bookmarkStart w:id="735" w:name="_Toc25920037"/>
      <w:r w:rsidRPr="00335B9F">
        <w:rPr>
          <w:rStyle w:val="UZEITaBChar"/>
          <w:rFonts w:eastAsiaTheme="minorEastAsia"/>
          <w:b/>
        </w:rPr>
        <w:t xml:space="preserve"> </w:t>
      </w:r>
      <w:bookmarkStart w:id="736" w:name="_Ref81773284"/>
      <w:bookmarkStart w:id="737" w:name="_Toc81815360"/>
      <w:bookmarkStart w:id="738" w:name="_Toc81817038"/>
      <w:bookmarkStart w:id="739" w:name="_Toc81817551"/>
      <w:r w:rsidR="00A14B9B" w:rsidRPr="00335B9F">
        <w:rPr>
          <w:rStyle w:val="UZEITaBChar"/>
          <w:rFonts w:eastAsiaTheme="minorEastAsia"/>
          <w:b/>
        </w:rPr>
        <w:t>Zaměstnanost v sektorech NH dle typologie městských a venkovských regionů NUTS 3 (%)</w:t>
      </w:r>
      <w:bookmarkEnd w:id="736"/>
      <w:bookmarkEnd w:id="737"/>
      <w:bookmarkEnd w:id="738"/>
      <w:bookmarkEnd w:id="739"/>
    </w:p>
    <w:p w14:paraId="523E71A7" w14:textId="77777777" w:rsidR="00335B9F" w:rsidRDefault="00335B9F" w:rsidP="00A14B9B">
      <w:pPr>
        <w:rPr>
          <w:rStyle w:val="UZEITaBChar"/>
          <w:rFonts w:eastAsiaTheme="minorEastAsia"/>
        </w:rPr>
      </w:pPr>
    </w:p>
    <w:p w14:paraId="29275D10" w14:textId="6B16516B" w:rsidR="00A14B9B" w:rsidRPr="002A0D4F" w:rsidRDefault="00A14B9B" w:rsidP="0080243E">
      <w:pPr>
        <w:pStyle w:val="UZEIZdroj"/>
      </w:pPr>
      <w:r w:rsidRPr="002A0D4F">
        <w:rPr>
          <w:rFonts w:eastAsiaTheme="minorEastAsia"/>
          <w:noProof/>
          <w:lang w:eastAsia="cs-CZ"/>
        </w:rPr>
        <w:drawing>
          <wp:inline distT="0" distB="0" distL="0" distR="0" wp14:anchorId="1FB98152" wp14:editId="2AA2ED00">
            <wp:extent cx="5760720" cy="1980248"/>
            <wp:effectExtent l="0" t="0" r="0" b="1270"/>
            <wp:docPr id="1737972156" name="Obrázek 1737972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5760720" cy="1980248"/>
                    </a:xfrm>
                    <a:prstGeom prst="rect">
                      <a:avLst/>
                    </a:prstGeom>
                    <a:noFill/>
                    <a:ln>
                      <a:noFill/>
                    </a:ln>
                  </pic:spPr>
                </pic:pic>
              </a:graphicData>
            </a:graphic>
          </wp:inline>
        </w:drawing>
      </w:r>
      <w:r w:rsidRPr="002A0D4F">
        <w:rPr>
          <w:noProof/>
          <w:lang w:eastAsia="cs-CZ"/>
        </w:rPr>
        <w:drawing>
          <wp:inline distT="0" distB="0" distL="0" distR="0" wp14:anchorId="476AD40B" wp14:editId="685588EE">
            <wp:extent cx="5753098" cy="1943100"/>
            <wp:effectExtent l="0" t="0" r="0" b="0"/>
            <wp:docPr id="173976455" name="Picture 1014612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4612666"/>
                    <pic:cNvPicPr/>
                  </pic:nvPicPr>
                  <pic:blipFill>
                    <a:blip r:embed="rId136">
                      <a:extLst>
                        <a:ext uri="{28A0092B-C50C-407E-A947-70E740481C1C}">
                          <a14:useLocalDpi xmlns:a14="http://schemas.microsoft.com/office/drawing/2010/main" val="0"/>
                        </a:ext>
                      </a:extLst>
                    </a:blip>
                    <a:stretch>
                      <a:fillRect/>
                    </a:stretch>
                  </pic:blipFill>
                  <pic:spPr>
                    <a:xfrm>
                      <a:off x="0" y="0"/>
                      <a:ext cx="5753098" cy="1943100"/>
                    </a:xfrm>
                    <a:prstGeom prst="rect">
                      <a:avLst/>
                    </a:prstGeom>
                  </pic:spPr>
                </pic:pic>
              </a:graphicData>
            </a:graphic>
          </wp:inline>
        </w:drawing>
      </w:r>
      <w:r w:rsidRPr="002A0D4F">
        <w:rPr>
          <w:noProof/>
          <w:lang w:eastAsia="cs-CZ"/>
        </w:rPr>
        <w:lastRenderedPageBreak/>
        <w:drawing>
          <wp:inline distT="0" distB="0" distL="0" distR="0" wp14:anchorId="3472F19F" wp14:editId="38AC2E77">
            <wp:extent cx="5753098" cy="1943100"/>
            <wp:effectExtent l="0" t="0" r="0" b="0"/>
            <wp:docPr id="403973658" name="Obrázek 403973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403973658"/>
                    <pic:cNvPicPr/>
                  </pic:nvPicPr>
                  <pic:blipFill>
                    <a:blip r:embed="rId137">
                      <a:extLst>
                        <a:ext uri="{28A0092B-C50C-407E-A947-70E740481C1C}">
                          <a14:useLocalDpi xmlns:a14="http://schemas.microsoft.com/office/drawing/2010/main" val="0"/>
                        </a:ext>
                      </a:extLst>
                    </a:blip>
                    <a:stretch>
                      <a:fillRect/>
                    </a:stretch>
                  </pic:blipFill>
                  <pic:spPr>
                    <a:xfrm>
                      <a:off x="0" y="0"/>
                      <a:ext cx="5753098" cy="1943100"/>
                    </a:xfrm>
                    <a:prstGeom prst="rect">
                      <a:avLst/>
                    </a:prstGeom>
                  </pic:spPr>
                </pic:pic>
              </a:graphicData>
            </a:graphic>
          </wp:inline>
        </w:drawing>
      </w:r>
      <w:r w:rsidRPr="002A0D4F">
        <w:t>Pozn.: AS.= agrární sektor (zemědělství, lesnictví, rybářství); průmysl vč. stavebnictví</w:t>
      </w:r>
      <w:bookmarkEnd w:id="735"/>
    </w:p>
    <w:p w14:paraId="6629E4C2" w14:textId="77777777" w:rsidR="00A14B9B" w:rsidRPr="002A0D4F" w:rsidRDefault="00A14B9B" w:rsidP="0080243E">
      <w:pPr>
        <w:pStyle w:val="UZEIZdroj"/>
      </w:pPr>
      <w:r w:rsidRPr="002A0D4F">
        <w:t>Zdroj: Národní účty, ČSÚ</w:t>
      </w:r>
    </w:p>
    <w:p w14:paraId="7039DE49" w14:textId="77777777" w:rsidR="00A14B9B" w:rsidRPr="002A0D4F" w:rsidRDefault="00A14B9B" w:rsidP="0080243E">
      <w:pPr>
        <w:pStyle w:val="UZEIZdroj"/>
      </w:pPr>
      <w:r w:rsidRPr="002A0D4F">
        <w:t>Zpracování: ÚZEI</w:t>
      </w:r>
    </w:p>
    <w:p w14:paraId="7711815D" w14:textId="77777777" w:rsidR="00A14B9B" w:rsidRPr="0080243E" w:rsidRDefault="00A14B9B" w:rsidP="0080243E">
      <w:pPr>
        <w:pStyle w:val="UZEINormaln"/>
      </w:pPr>
      <w:r w:rsidRPr="0080243E">
        <w:t xml:space="preserve">Význam jednotlivých sektorů je v krajích následující: </w:t>
      </w:r>
    </w:p>
    <w:p w14:paraId="759CCDE2" w14:textId="77777777" w:rsidR="00A14B9B" w:rsidRPr="0080243E" w:rsidRDefault="00A14B9B" w:rsidP="0080243E">
      <w:pPr>
        <w:pStyle w:val="UZEINormaln"/>
      </w:pPr>
      <w:r w:rsidRPr="0080243E">
        <w:rPr>
          <w:b/>
          <w:bCs/>
        </w:rPr>
        <w:t>Primární sektor</w:t>
      </w:r>
      <w:r w:rsidRPr="0080243E">
        <w:t xml:space="preserve"> (zemědělství, lesnictví a rybářství) vykazoval v roce 2019 nejvyšší podíl pracovníků na celkové zaměstnanosti v krajích převážně venkovských. Podíl </w:t>
      </w:r>
      <w:proofErr w:type="spellStart"/>
      <w:r w:rsidRPr="0080243E">
        <w:t>priméru</w:t>
      </w:r>
      <w:proofErr w:type="spellEnd"/>
      <w:r w:rsidRPr="0080243E">
        <w:t xml:space="preserve"> na zaměstnanosti v nich činil 4,7 % a tento podíl v období 2009-2019 poklesl o 0,7 p. b. V krajích smíšených činil 2,5 % (poklesl cca o 0,2 p. b.) a v krajích převážně městských 1,8 % (zde se prakticky nezměnil). </w:t>
      </w:r>
    </w:p>
    <w:p w14:paraId="1B93561C" w14:textId="77777777" w:rsidR="00A14B9B" w:rsidRPr="0080243E" w:rsidRDefault="00A14B9B" w:rsidP="0080243E">
      <w:pPr>
        <w:pStyle w:val="UZEINormaln"/>
      </w:pPr>
      <w:r w:rsidRPr="0080243E">
        <w:rPr>
          <w:b/>
          <w:bCs/>
        </w:rPr>
        <w:t>Sektor průmyslu</w:t>
      </w:r>
      <w:r w:rsidRPr="0080243E">
        <w:t xml:space="preserve"> (vč. stavebnictví) je nejvýrazněji zastoupen rovněž v převážně venkovských krajích. V roce 2019 v nich činil podíl pracovníků v průmyslu 43,1 % (proti roku 2009 poklesl o 0,2 p. b.). Silně zastoupen je i v krajích smíšených, dosáhl tam téměř 40 % (proti roku 2009 však poklesl o 0,6 p. b.). V krajích převážně městských představovali pracovníci v průmyslu necelou čtvrtinu všech pracovníků NH (proti roku 2009 pokles o 1,1 p. b.).</w:t>
      </w:r>
    </w:p>
    <w:p w14:paraId="7E5B1F26" w14:textId="77777777" w:rsidR="00A14B9B" w:rsidRPr="0080243E" w:rsidRDefault="00A14B9B" w:rsidP="0080243E">
      <w:pPr>
        <w:pStyle w:val="UZEINormaln"/>
      </w:pPr>
      <w:r w:rsidRPr="0080243E">
        <w:rPr>
          <w:b/>
          <w:bCs/>
        </w:rPr>
        <w:t>Sektor služeb</w:t>
      </w:r>
      <w:r w:rsidRPr="0080243E">
        <w:t xml:space="preserve"> je naopak nejvíce rozvinut v krajích převážně městských. Podíl pracovníků v roce 2019 činil necelé tři čtvrtiny všech pracovníků NH (74 %) a proti roku 2009 narostl o 1,2 p. b. Zvýšil se i v krajích smíšených, a to na 57,9 % (o 0,8 p. b.). Nejnižší podíl vykazovali pracovníci služeb v krajích převážně venkovských – činil 52,3 % a za sledované desetileté období narostl jen o 1,2 p. b.</w:t>
      </w:r>
    </w:p>
    <w:p w14:paraId="530E46EB" w14:textId="77777777" w:rsidR="00A14B9B" w:rsidRPr="0080243E" w:rsidRDefault="00A14B9B" w:rsidP="0080243E">
      <w:pPr>
        <w:pStyle w:val="UZEINormaln"/>
        <w:rPr>
          <w:rFonts w:eastAsiaTheme="majorEastAsia"/>
          <w:b/>
          <w:bCs/>
        </w:rPr>
      </w:pPr>
      <w:bookmarkStart w:id="740" w:name="_Hlk518999026"/>
      <w:r w:rsidRPr="0080243E">
        <w:rPr>
          <w:rFonts w:eastAsiaTheme="majorEastAsia"/>
          <w:b/>
          <w:bCs/>
        </w:rPr>
        <w:t>Zaměstnatelnost</w:t>
      </w:r>
    </w:p>
    <w:p w14:paraId="65C3916A" w14:textId="77777777" w:rsidR="00A14B9B" w:rsidRPr="0080243E" w:rsidRDefault="00A14B9B" w:rsidP="0080243E">
      <w:pPr>
        <w:pStyle w:val="UZEINormaln"/>
      </w:pPr>
      <w:r w:rsidRPr="0080243E">
        <w:t>Na venkově (v obcích do 2000 obyvatel) žilo v roce 2011 zhruba 1 185 tis. zaměstnaných osob (cca ¼ všech zaměstnaných), celkový počet obsazených pracovních míst</w:t>
      </w:r>
      <w:r w:rsidRPr="0080243E">
        <w:rPr>
          <w:rStyle w:val="FootnoteCharacters"/>
          <w:rFonts w:cstheme="minorHAnsi"/>
          <w:vertAlign w:val="baseline"/>
        </w:rPr>
        <w:footnoteReference w:id="21"/>
      </w:r>
      <w:r w:rsidRPr="0080243E">
        <w:t xml:space="preserve"> zde však činil pouze 876 tis., což odpovídá méně než 1/5 všech pracovních míst v ČR. </w:t>
      </w:r>
    </w:p>
    <w:p w14:paraId="1AAE8CDE" w14:textId="77777777" w:rsidR="00A14B9B" w:rsidRPr="0080243E" w:rsidRDefault="00A14B9B" w:rsidP="0080243E">
      <w:pPr>
        <w:pStyle w:val="UZEINormaln"/>
      </w:pPr>
      <w:r w:rsidRPr="0080243E">
        <w:t>Míra zaměstnatelnosti (tedy míra potenciálu najít zaměstnání v určitém regionu) je ve venkovském prostoru obecně nízká (0,66), pracovní uplatnění přímo na venkově mají šanci najít jen zhruba 2/3 tamních pracovních sil. Ve městech v roce 2011 dosáhl hodnoty 0,97, tento prostor umožňuje najít pracovní uplatnění prakticky pro všechny „své“ ekonomicky aktivní obyvatele (tj. zaměstnané i nezaměstnané), vzhledem k hospodářské krizi byl ukazatel v roce 2011 méně příznivý než v roce 2001. Napříč velikostními kategoriemi obcí vykazuje ukazatel lineárně rostoucí trend.</w:t>
      </w:r>
    </w:p>
    <w:p w14:paraId="355ECFB4" w14:textId="721D22EC" w:rsidR="00A14B9B" w:rsidRPr="002A0D4F" w:rsidRDefault="00A14B9B" w:rsidP="007A3E11">
      <w:pPr>
        <w:pStyle w:val="UZEINormaln"/>
      </w:pPr>
      <w:r w:rsidRPr="002A0D4F">
        <w:lastRenderedPageBreak/>
        <w:t xml:space="preserve">Při sektorovém členění je evidentní, že zemědělství má průběh míry zaměstnatelnosti v závislosti na velikosti obce mnohem </w:t>
      </w:r>
      <w:r w:rsidRPr="002A0D4F">
        <w:rPr>
          <w:color w:val="000000" w:themeColor="text1"/>
        </w:rPr>
        <w:t>vyrovnanější (</w:t>
      </w:r>
      <w:r w:rsidR="00BE506B">
        <w:rPr>
          <w:color w:val="000000" w:themeColor="text1"/>
        </w:rPr>
        <w:fldChar w:fldCharType="begin"/>
      </w:r>
      <w:r w:rsidR="00BE506B">
        <w:rPr>
          <w:color w:val="000000" w:themeColor="text1"/>
        </w:rPr>
        <w:instrText xml:space="preserve"> REF _Ref81773406 \r \h </w:instrText>
      </w:r>
      <w:r w:rsidR="00BE506B">
        <w:rPr>
          <w:color w:val="000000" w:themeColor="text1"/>
        </w:rPr>
      </w:r>
      <w:r w:rsidR="00BE506B">
        <w:rPr>
          <w:color w:val="000000" w:themeColor="text1"/>
        </w:rPr>
        <w:fldChar w:fldCharType="separate"/>
      </w:r>
      <w:r w:rsidR="00BE506B">
        <w:rPr>
          <w:color w:val="000000" w:themeColor="text1"/>
        </w:rPr>
        <w:t>Obrázek 65</w:t>
      </w:r>
      <w:r w:rsidR="00BE506B">
        <w:rPr>
          <w:color w:val="000000" w:themeColor="text1"/>
        </w:rPr>
        <w:fldChar w:fldCharType="end"/>
      </w:r>
      <w:r w:rsidRPr="002A0D4F">
        <w:rPr>
          <w:color w:val="000000" w:themeColor="text1"/>
        </w:rPr>
        <w:t xml:space="preserve">). Ukazatel narůstá s velikostí obce od hodnoty 0,75 do hodnoty 1,01 a rozdíl mezi venkovem a </w:t>
      </w:r>
      <w:r w:rsidRPr="002A0D4F">
        <w:t>městy je ve srovnání s ostatními sektory naprosto minimální (0,93 vůči 0,94). Zemědělství tak lépe absorbuje potenciální místní pracovní sílu přímo v místě než ostatní sektory. S velikostí obce narůstá míra zaměstnatelnosti mnohem strměji jak pro sektor průmyslu a stavebnictví, tak především pro sektor služeb, jenž má na venkově nejnižší potenciál. Hodnoty tohoto ukazatele vykazují pro města více než dvojnásobné hodnoty než pro venkov.</w:t>
      </w:r>
    </w:p>
    <w:p w14:paraId="398A5273" w14:textId="2886BA5C" w:rsidR="00A14B9B" w:rsidRPr="007A3E11" w:rsidRDefault="00A14B9B" w:rsidP="007A3E11">
      <w:pPr>
        <w:pStyle w:val="UZEIObr"/>
        <w:rPr>
          <w:rFonts w:eastAsiaTheme="minorEastAsia"/>
        </w:rPr>
      </w:pPr>
      <w:bookmarkStart w:id="741" w:name="_Toc525727644"/>
      <w:bookmarkStart w:id="742" w:name="_Toc525735931"/>
      <w:bookmarkStart w:id="743" w:name="_Toc25919907"/>
      <w:bookmarkStart w:id="744" w:name="_Ref81773406"/>
      <w:bookmarkStart w:id="745" w:name="_Toc81815446"/>
      <w:bookmarkStart w:id="746" w:name="_Toc81817651"/>
      <w:r w:rsidRPr="007A3E11">
        <w:rPr>
          <w:rFonts w:eastAsiaTheme="minorEastAsia"/>
        </w:rPr>
        <w:t>Míra zaměstnatelnosti podle odvětví v roce 2011</w:t>
      </w:r>
      <w:bookmarkEnd w:id="741"/>
      <w:bookmarkEnd w:id="742"/>
      <w:bookmarkEnd w:id="743"/>
      <w:bookmarkEnd w:id="744"/>
      <w:bookmarkEnd w:id="745"/>
      <w:bookmarkEnd w:id="746"/>
      <w:r w:rsidRPr="007A3E11">
        <w:rPr>
          <w:rFonts w:eastAsiaTheme="minorEastAsia"/>
        </w:rPr>
        <w:t xml:space="preserve"> </w:t>
      </w:r>
    </w:p>
    <w:p w14:paraId="0A89E444" w14:textId="77777777" w:rsidR="00A14B9B" w:rsidRPr="002A0D4F" w:rsidRDefault="00A14B9B" w:rsidP="00A14B9B">
      <w:pPr>
        <w:rPr>
          <w:lang w:val="cs-CZ" w:eastAsia="zh-CN"/>
        </w:rPr>
      </w:pPr>
      <w:r w:rsidRPr="002A0D4F">
        <w:rPr>
          <w:noProof/>
          <w:lang w:val="cs-CZ" w:eastAsia="cs-CZ"/>
        </w:rPr>
        <w:drawing>
          <wp:inline distT="0" distB="0" distL="0" distR="0" wp14:anchorId="407F4C91" wp14:editId="6EA93F7F">
            <wp:extent cx="5591175" cy="2352675"/>
            <wp:effectExtent l="0" t="0" r="9525" b="9525"/>
            <wp:docPr id="28" name="Graf 28">
              <a:extLst xmlns:a="http://schemas.openxmlformats.org/drawingml/2006/main">
                <a:ext uri="{FF2B5EF4-FFF2-40B4-BE49-F238E27FC236}">
                  <a16:creationId xmlns:a16="http://schemas.microsoft.com/office/drawing/2014/main" id="{ECD9B5CF-EA24-4149-B8FA-F2CC916CC80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8"/>
              </a:graphicData>
            </a:graphic>
          </wp:inline>
        </w:drawing>
      </w:r>
    </w:p>
    <w:p w14:paraId="6706BA0D" w14:textId="77777777" w:rsidR="00A14B9B" w:rsidRPr="002A0D4F" w:rsidRDefault="00A14B9B" w:rsidP="00BE506B">
      <w:pPr>
        <w:pStyle w:val="UZEIZdroj"/>
      </w:pPr>
      <w:r w:rsidRPr="002A0D4F">
        <w:t xml:space="preserve">Zdroj: SLDB 2011 </w:t>
      </w:r>
    </w:p>
    <w:p w14:paraId="081C6B27" w14:textId="77777777" w:rsidR="00A14B9B" w:rsidRPr="002A0D4F" w:rsidRDefault="00A14B9B" w:rsidP="00BE506B">
      <w:pPr>
        <w:pStyle w:val="UZEIZdroj"/>
      </w:pPr>
      <w:r w:rsidRPr="002A0D4F">
        <w:t>Zpracování: ÚZEI</w:t>
      </w:r>
    </w:p>
    <w:p w14:paraId="45477642" w14:textId="2321847B" w:rsidR="00A14B9B" w:rsidRPr="002A0D4F" w:rsidRDefault="00A14B9B" w:rsidP="00BE506B">
      <w:pPr>
        <w:pStyle w:val="UZEINormaln"/>
      </w:pPr>
      <w:r w:rsidRPr="002A0D4F">
        <w:t xml:space="preserve">Ekonomicky aktivní obyvatelstvo na venkově je z velké části závislé na pracovních nabídkách z měst, samotný venkov není schopen vygenerovat dostatečný počet pracovních míst pro vlastní </w:t>
      </w:r>
      <w:r w:rsidRPr="002A0D4F">
        <w:rPr>
          <w:color w:val="000000" w:themeColor="text1"/>
        </w:rPr>
        <w:t>obyvatelstvo (</w:t>
      </w:r>
      <w:r w:rsidR="00BE506B">
        <w:rPr>
          <w:color w:val="000000" w:themeColor="text1"/>
        </w:rPr>
        <w:fldChar w:fldCharType="begin"/>
      </w:r>
      <w:r w:rsidR="00BE506B">
        <w:rPr>
          <w:color w:val="000000" w:themeColor="text1"/>
        </w:rPr>
        <w:instrText xml:space="preserve"> REF _Ref81773451 \r \h </w:instrText>
      </w:r>
      <w:r w:rsidR="00BE506B">
        <w:rPr>
          <w:color w:val="000000" w:themeColor="text1"/>
        </w:rPr>
      </w:r>
      <w:r w:rsidR="00BE506B">
        <w:rPr>
          <w:color w:val="000000" w:themeColor="text1"/>
        </w:rPr>
        <w:fldChar w:fldCharType="separate"/>
      </w:r>
      <w:r w:rsidR="00BE506B">
        <w:rPr>
          <w:color w:val="000000" w:themeColor="text1"/>
        </w:rPr>
        <w:t>Obrázek 66</w:t>
      </w:r>
      <w:r w:rsidR="00BE506B">
        <w:rPr>
          <w:color w:val="000000" w:themeColor="text1"/>
        </w:rPr>
        <w:fldChar w:fldCharType="end"/>
      </w:r>
      <w:r w:rsidRPr="002A0D4F">
        <w:rPr>
          <w:color w:val="000000" w:themeColor="text1"/>
        </w:rPr>
        <w:t xml:space="preserve">). Za </w:t>
      </w:r>
      <w:r w:rsidRPr="002A0D4F">
        <w:t>soběstačné v generování pracovních míst lze považovat až obce s 10 tis. a více obyvateli (počet pracovních míst zde převažuje nad počtem pracujících obyvatel zde sídlících – v menších obcích je tomu naopak).</w:t>
      </w:r>
      <w:r w:rsidRPr="002A0D4F">
        <w:rPr>
          <w:color w:val="FF0000"/>
        </w:rPr>
        <w:t xml:space="preserve"> </w:t>
      </w:r>
      <w:r w:rsidRPr="002A0D4F">
        <w:t>Z hlediska soběstačnosti vychází nejlépe pro venkov pracovní místa v zemědělství, lesnictví a rybolovu.</w:t>
      </w:r>
    </w:p>
    <w:p w14:paraId="61909991" w14:textId="3E30C907" w:rsidR="00A14B9B" w:rsidRPr="00BE506B" w:rsidRDefault="00A14B9B" w:rsidP="00BE506B">
      <w:pPr>
        <w:pStyle w:val="UZEIObr"/>
        <w:ind w:left="0" w:firstLine="0"/>
        <w:rPr>
          <w:rFonts w:eastAsiaTheme="minorEastAsia"/>
        </w:rPr>
      </w:pPr>
      <w:bookmarkStart w:id="747" w:name="_Toc525727645"/>
      <w:bookmarkStart w:id="748" w:name="_Toc525735932"/>
      <w:bookmarkStart w:id="749" w:name="_Toc25919908"/>
      <w:bookmarkStart w:id="750" w:name="_Ref81773451"/>
      <w:bookmarkStart w:id="751" w:name="_Toc81815447"/>
      <w:bookmarkStart w:id="752" w:name="_Toc81817652"/>
      <w:r w:rsidRPr="00BE506B">
        <w:rPr>
          <w:rFonts w:eastAsiaTheme="minorEastAsia"/>
        </w:rPr>
        <w:t>Počty zaměstnaných a pracovních míst v jednotlivých velikostních kategoriích obcí v roce 2011</w:t>
      </w:r>
      <w:bookmarkEnd w:id="747"/>
      <w:bookmarkEnd w:id="748"/>
      <w:bookmarkEnd w:id="749"/>
      <w:bookmarkEnd w:id="750"/>
      <w:bookmarkEnd w:id="751"/>
      <w:bookmarkEnd w:id="752"/>
    </w:p>
    <w:p w14:paraId="0360367B" w14:textId="77777777" w:rsidR="00A14B9B" w:rsidRPr="002A0D4F" w:rsidRDefault="00A14B9B" w:rsidP="00A14B9B">
      <w:pPr>
        <w:rPr>
          <w:lang w:val="cs-CZ"/>
        </w:rPr>
      </w:pPr>
      <w:r w:rsidRPr="002A0D4F">
        <w:rPr>
          <w:noProof/>
          <w:lang w:val="cs-CZ" w:eastAsia="cs-CZ"/>
        </w:rPr>
        <w:drawing>
          <wp:inline distT="0" distB="0" distL="0" distR="0" wp14:anchorId="6DF5EFC2" wp14:editId="46C7B31F">
            <wp:extent cx="5362575" cy="2619375"/>
            <wp:effectExtent l="0" t="0" r="9525" b="9525"/>
            <wp:docPr id="64" name="Graf 64">
              <a:extLst xmlns:a="http://schemas.openxmlformats.org/drawingml/2006/main">
                <a:ext uri="{FF2B5EF4-FFF2-40B4-BE49-F238E27FC236}">
                  <a16:creationId xmlns:a16="http://schemas.microsoft.com/office/drawing/2014/main" id="{F9FBC823-C37D-405D-A03C-7164E96F975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9"/>
              </a:graphicData>
            </a:graphic>
          </wp:inline>
        </w:drawing>
      </w:r>
    </w:p>
    <w:p w14:paraId="0E0D289A" w14:textId="509B320D" w:rsidR="00A14B9B" w:rsidRPr="00BE506B" w:rsidRDefault="00A14B9B" w:rsidP="00BE506B">
      <w:pPr>
        <w:pStyle w:val="UZEIZdroj"/>
      </w:pPr>
      <w:r w:rsidRPr="00BE506B">
        <w:t>Zdroj: SLDB 2011</w:t>
      </w:r>
      <w:r w:rsidR="006F2767">
        <w:t xml:space="preserve">, </w:t>
      </w:r>
      <w:r w:rsidRPr="00BE506B">
        <w:t>Zpracování: ÚZEI</w:t>
      </w:r>
    </w:p>
    <w:bookmarkEnd w:id="740"/>
    <w:p w14:paraId="44B28B06" w14:textId="77777777" w:rsidR="00A14B9B" w:rsidRPr="00E14F56" w:rsidRDefault="00A14B9B" w:rsidP="00E14F56">
      <w:pPr>
        <w:pStyle w:val="UZEINormaln"/>
        <w:rPr>
          <w:rFonts w:eastAsiaTheme="majorEastAsia"/>
          <w:b/>
          <w:bCs/>
        </w:rPr>
      </w:pPr>
      <w:r w:rsidRPr="00E14F56">
        <w:rPr>
          <w:rFonts w:eastAsiaTheme="majorEastAsia"/>
          <w:b/>
          <w:bCs/>
        </w:rPr>
        <w:lastRenderedPageBreak/>
        <w:t xml:space="preserve">Nezaměstnanost </w:t>
      </w:r>
    </w:p>
    <w:p w14:paraId="108C30DC" w14:textId="77777777" w:rsidR="00A14B9B" w:rsidRPr="002A0D4F" w:rsidRDefault="00A14B9B" w:rsidP="00E14F56">
      <w:pPr>
        <w:pStyle w:val="UZEINormaln"/>
      </w:pPr>
      <w:r w:rsidRPr="002A0D4F">
        <w:t xml:space="preserve">Rok 2020 významně ovlivněný koronavirovou krizí přinesl obrat v dosavadním příznivém vývoji na trhu práce. </w:t>
      </w:r>
    </w:p>
    <w:p w14:paraId="12378B78" w14:textId="2732D7F8" w:rsidR="00A14B9B" w:rsidRPr="002A0D4F" w:rsidRDefault="00A14B9B" w:rsidP="00E14F56">
      <w:pPr>
        <w:pStyle w:val="UZEIObr"/>
        <w:ind w:left="0" w:firstLine="0"/>
      </w:pPr>
      <w:bookmarkStart w:id="753" w:name="_Toc81815448"/>
      <w:bookmarkStart w:id="754" w:name="_Toc81817653"/>
      <w:r w:rsidRPr="002A0D4F">
        <w:t>Vývoj počtu dosažitelných uchazečů o práci a podílu nezaměstnaných osob (%) v ČR 2005-2020 (roční průměry).</w:t>
      </w:r>
      <w:bookmarkEnd w:id="753"/>
      <w:bookmarkEnd w:id="754"/>
    </w:p>
    <w:p w14:paraId="77EE285F" w14:textId="77777777" w:rsidR="00A14B9B" w:rsidRPr="002A0D4F" w:rsidRDefault="00A14B9B" w:rsidP="00E14F56">
      <w:pPr>
        <w:pStyle w:val="UZEIZdroj"/>
      </w:pPr>
      <w:r w:rsidRPr="002A0D4F">
        <w:rPr>
          <w:noProof/>
          <w:lang w:eastAsia="cs-CZ"/>
        </w:rPr>
        <w:drawing>
          <wp:inline distT="0" distB="0" distL="0" distR="0" wp14:anchorId="6DD2B68C" wp14:editId="47B1FBEA">
            <wp:extent cx="5753098" cy="2209800"/>
            <wp:effectExtent l="0" t="0" r="0" b="0"/>
            <wp:docPr id="631338635" name="Picture 631338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1338635"/>
                    <pic:cNvPicPr/>
                  </pic:nvPicPr>
                  <pic:blipFill>
                    <a:blip r:embed="rId140">
                      <a:extLst>
                        <a:ext uri="{28A0092B-C50C-407E-A947-70E740481C1C}">
                          <a14:useLocalDpi xmlns:a14="http://schemas.microsoft.com/office/drawing/2010/main" val="0"/>
                        </a:ext>
                      </a:extLst>
                    </a:blip>
                    <a:stretch>
                      <a:fillRect/>
                    </a:stretch>
                  </pic:blipFill>
                  <pic:spPr>
                    <a:xfrm>
                      <a:off x="0" y="0"/>
                      <a:ext cx="5753098" cy="2209800"/>
                    </a:xfrm>
                    <a:prstGeom prst="rect">
                      <a:avLst/>
                    </a:prstGeom>
                  </pic:spPr>
                </pic:pic>
              </a:graphicData>
            </a:graphic>
          </wp:inline>
        </w:drawing>
      </w:r>
      <w:r w:rsidRPr="002A0D4F">
        <w:t>Pramen: Časové řady CSÚ, Roční průměr PNO dle MPSV.</w:t>
      </w:r>
    </w:p>
    <w:p w14:paraId="54609377" w14:textId="47B5D4F8" w:rsidR="00A14B9B" w:rsidRPr="002A0D4F" w:rsidRDefault="00A14B9B" w:rsidP="00E14F56">
      <w:pPr>
        <w:pStyle w:val="UZEINormaln"/>
      </w:pPr>
      <w:r w:rsidRPr="002A0D4F">
        <w:t>Nezaměstnanost vyjádřená průměrným podílem nezaměstnaných osob (PNO)</w:t>
      </w:r>
      <w:r w:rsidR="00A82B53">
        <w:rPr>
          <w:rStyle w:val="Znakapoznpodarou"/>
        </w:rPr>
        <w:footnoteReference w:id="22"/>
      </w:r>
      <w:r w:rsidRPr="002A0D4F">
        <w:t xml:space="preserve"> po řadě let poklesu meziročně vzrostla o 0,7 p. b. na 3,5 %. Podle údajů MPSV bylo v roce 2020 na úřadech práce evidováno v průměru 262,2 tis. uchazečů o práci, z toho počet dosažitelných uchazečů o práci dosáhl 243,4 tis., což odpovídá meziročnímu nárůstu téměř 52 tis. osob (navýšení o 27 %). Průměrný počet volných pracovních míst (VPM) oproti roku 2019 poklesl na 331,1 tis. (úbytek o necelá 3 %, tj. cca 10 tis. VPM).</w:t>
      </w:r>
    </w:p>
    <w:p w14:paraId="18062249" w14:textId="76CC76C1" w:rsidR="00A14B9B" w:rsidRPr="002A0D4F" w:rsidRDefault="00A14B9B" w:rsidP="00E14F56">
      <w:pPr>
        <w:pStyle w:val="UZEINormaln"/>
      </w:pPr>
      <w:r w:rsidRPr="002A0D4F">
        <w:t>Údaje o trhu práce na úrovni obcí máme pro rok 2020 o 239,1 tis. dosažitelných uchazečích a 242,4 tis. volných pracovních místech</w:t>
      </w:r>
      <w:r w:rsidR="00E14F56">
        <w:rPr>
          <w:rStyle w:val="Znakapoznpodarou"/>
        </w:rPr>
        <w:footnoteReference w:id="23"/>
      </w:r>
      <w:r w:rsidRPr="002A0D4F">
        <w:t>. Na venkovské obce s cca 27% podílem na obyvatelstvu ČR i jeho produktivní složce připadal podobně jako v předchozích letech relativně menší počet uchazečů o práci (23,3 %) i VPM (necelých 21 %). Stejně jako v předchozích letech (obr. 4.4.) vykazovala i v roce 2020 průměrně vyšší hodnoty PNO města (průměrně 3,7 % oproti 3,0 % na venkově).</w:t>
      </w:r>
    </w:p>
    <w:p w14:paraId="3394F53D" w14:textId="77777777" w:rsidR="002A06D2" w:rsidRDefault="002A06D2">
      <w:pPr>
        <w:spacing w:after="160" w:line="259" w:lineRule="auto"/>
        <w:jc w:val="left"/>
        <w:rPr>
          <w:rFonts w:eastAsiaTheme="majorEastAsia" w:cs="Arial"/>
          <w:b/>
          <w:noProof/>
          <w:sz w:val="20"/>
          <w:szCs w:val="20"/>
          <w:lang w:val="cs-CZ" w:eastAsia="cs-CZ"/>
        </w:rPr>
      </w:pPr>
      <w:bookmarkStart w:id="755" w:name="_Toc525727646"/>
      <w:bookmarkStart w:id="756" w:name="_Toc525735933"/>
      <w:bookmarkStart w:id="757" w:name="_Toc25919909"/>
      <w:r>
        <w:rPr>
          <w:rFonts w:eastAsiaTheme="majorEastAsia"/>
        </w:rPr>
        <w:br w:type="page"/>
      </w:r>
    </w:p>
    <w:p w14:paraId="23EA292F" w14:textId="5641C0F9" w:rsidR="00A14B9B" w:rsidRPr="00182CC0" w:rsidRDefault="00A14B9B" w:rsidP="00182CC0">
      <w:pPr>
        <w:pStyle w:val="UZEIObr"/>
        <w:ind w:left="0" w:firstLine="0"/>
        <w:rPr>
          <w:rFonts w:eastAsiaTheme="majorEastAsia"/>
        </w:rPr>
      </w:pPr>
      <w:bookmarkStart w:id="758" w:name="_Toc81815449"/>
      <w:bookmarkStart w:id="759" w:name="_Toc81817654"/>
      <w:r w:rsidRPr="00182CC0">
        <w:rPr>
          <w:rFonts w:eastAsiaTheme="majorEastAsia"/>
        </w:rPr>
        <w:lastRenderedPageBreak/>
        <w:t>Vývoj podílu nezaměstnaných osob ve městě a na venkově ve vybraných měsících let 2015-2020(%)</w:t>
      </w:r>
      <w:bookmarkEnd w:id="755"/>
      <w:bookmarkEnd w:id="756"/>
      <w:bookmarkEnd w:id="757"/>
      <w:bookmarkEnd w:id="758"/>
      <w:bookmarkEnd w:id="759"/>
    </w:p>
    <w:p w14:paraId="693AA559" w14:textId="77777777" w:rsidR="00A14B9B" w:rsidRPr="002A0D4F" w:rsidRDefault="00A14B9B" w:rsidP="00A14B9B">
      <w:pPr>
        <w:rPr>
          <w:rFonts w:eastAsia="Times New Roman" w:cs="Times New Roman"/>
          <w:szCs w:val="23"/>
          <w:lang w:val="cs-CZ"/>
        </w:rPr>
      </w:pPr>
      <w:r w:rsidRPr="002A0D4F">
        <w:rPr>
          <w:noProof/>
          <w:lang w:val="cs-CZ" w:eastAsia="cs-CZ"/>
        </w:rPr>
        <w:drawing>
          <wp:inline distT="0" distB="0" distL="0" distR="0" wp14:anchorId="121A1EF2" wp14:editId="0F21E2B7">
            <wp:extent cx="5753098" cy="2133600"/>
            <wp:effectExtent l="0" t="0" r="0" b="0"/>
            <wp:docPr id="846335543" name="Picture 846335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6335543"/>
                    <pic:cNvPicPr/>
                  </pic:nvPicPr>
                  <pic:blipFill>
                    <a:blip r:embed="rId141">
                      <a:extLst>
                        <a:ext uri="{28A0092B-C50C-407E-A947-70E740481C1C}">
                          <a14:useLocalDpi xmlns:a14="http://schemas.microsoft.com/office/drawing/2010/main" val="0"/>
                        </a:ext>
                      </a:extLst>
                    </a:blip>
                    <a:stretch>
                      <a:fillRect/>
                    </a:stretch>
                  </pic:blipFill>
                  <pic:spPr>
                    <a:xfrm>
                      <a:off x="0" y="0"/>
                      <a:ext cx="5753098" cy="2133600"/>
                    </a:xfrm>
                    <a:prstGeom prst="rect">
                      <a:avLst/>
                    </a:prstGeom>
                  </pic:spPr>
                </pic:pic>
              </a:graphicData>
            </a:graphic>
          </wp:inline>
        </w:drawing>
      </w:r>
    </w:p>
    <w:p w14:paraId="09E626CB" w14:textId="77777777" w:rsidR="00A14B9B" w:rsidRPr="002A0D4F" w:rsidRDefault="00A14B9B" w:rsidP="00A14B9B">
      <w:pPr>
        <w:rPr>
          <w:lang w:val="cs-CZ"/>
        </w:rPr>
      </w:pPr>
      <w:r w:rsidRPr="002A0D4F">
        <w:rPr>
          <w:noProof/>
          <w:lang w:val="cs-CZ" w:eastAsia="cs-CZ"/>
        </w:rPr>
        <w:drawing>
          <wp:inline distT="0" distB="0" distL="0" distR="0" wp14:anchorId="22032DD2" wp14:editId="6F0192A0">
            <wp:extent cx="5753098" cy="2514600"/>
            <wp:effectExtent l="0" t="0" r="0" b="0"/>
            <wp:docPr id="1213281409" name="Picture 1021754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1754073"/>
                    <pic:cNvPicPr/>
                  </pic:nvPicPr>
                  <pic:blipFill>
                    <a:blip r:embed="rId142">
                      <a:extLst>
                        <a:ext uri="{28A0092B-C50C-407E-A947-70E740481C1C}">
                          <a14:useLocalDpi xmlns:a14="http://schemas.microsoft.com/office/drawing/2010/main" val="0"/>
                        </a:ext>
                      </a:extLst>
                    </a:blip>
                    <a:stretch>
                      <a:fillRect/>
                    </a:stretch>
                  </pic:blipFill>
                  <pic:spPr>
                    <a:xfrm>
                      <a:off x="0" y="0"/>
                      <a:ext cx="5753098" cy="2514600"/>
                    </a:xfrm>
                    <a:prstGeom prst="rect">
                      <a:avLst/>
                    </a:prstGeom>
                  </pic:spPr>
                </pic:pic>
              </a:graphicData>
            </a:graphic>
          </wp:inline>
        </w:drawing>
      </w:r>
    </w:p>
    <w:p w14:paraId="5D6AFCF5" w14:textId="77777777" w:rsidR="00A14B9B" w:rsidRPr="002A0D4F" w:rsidRDefault="00A14B9B" w:rsidP="00A14B9B">
      <w:pPr>
        <w:rPr>
          <w:lang w:val="cs-CZ"/>
        </w:rPr>
      </w:pPr>
      <w:r w:rsidRPr="002A0D4F">
        <w:rPr>
          <w:noProof/>
          <w:lang w:val="cs-CZ" w:eastAsia="cs-CZ"/>
        </w:rPr>
        <w:drawing>
          <wp:inline distT="0" distB="0" distL="0" distR="0" wp14:anchorId="2A62ECF4" wp14:editId="2E73E815">
            <wp:extent cx="5752465" cy="2171700"/>
            <wp:effectExtent l="0" t="0" r="635" b="0"/>
            <wp:docPr id="1737972158" name="Graf 1737972158">
              <a:extLst xmlns:a="http://schemas.openxmlformats.org/drawingml/2006/main">
                <a:ext uri="{FF2B5EF4-FFF2-40B4-BE49-F238E27FC236}">
                  <a16:creationId xmlns:a16="http://schemas.microsoft.com/office/drawing/2014/main" id="{80AE378C-E917-4575-90A3-D811DEAC159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3"/>
              </a:graphicData>
            </a:graphic>
          </wp:inline>
        </w:drawing>
      </w:r>
    </w:p>
    <w:p w14:paraId="6C771A38" w14:textId="0285A608" w:rsidR="00A14B9B" w:rsidRPr="002A0D4F" w:rsidRDefault="00A14B9B" w:rsidP="00182CC0">
      <w:pPr>
        <w:pStyle w:val="UZEIZdroj"/>
      </w:pPr>
      <w:r w:rsidRPr="002A0D4F">
        <w:rPr>
          <w:rFonts w:eastAsiaTheme="majorEastAsia"/>
        </w:rPr>
        <w:t>Zdroj: Nezaměstnanost v obcích a mikroregionech v březnu, červnu, září a prosinci 2015-2020. MPSV 2015-2021. Zpracování: ÚZEI.</w:t>
      </w:r>
      <w:r w:rsidRPr="002A0D4F">
        <w:t xml:space="preserve"> </w:t>
      </w:r>
    </w:p>
    <w:p w14:paraId="3CFCCE9A" w14:textId="77777777" w:rsidR="00E12182" w:rsidRDefault="00E12182">
      <w:pPr>
        <w:spacing w:after="160" w:line="259" w:lineRule="auto"/>
        <w:jc w:val="left"/>
        <w:rPr>
          <w:rFonts w:eastAsia="Times New Roman" w:cstheme="minorHAnsi"/>
          <w:szCs w:val="24"/>
          <w:lang w:val="cs-CZ" w:eastAsia="cs-CZ"/>
        </w:rPr>
      </w:pPr>
      <w:r>
        <w:br w:type="page"/>
      </w:r>
    </w:p>
    <w:p w14:paraId="192D305F" w14:textId="27CB4AAE" w:rsidR="00A14B9B" w:rsidRPr="002A0D4F" w:rsidRDefault="00A14B9B" w:rsidP="00182CC0">
      <w:pPr>
        <w:pStyle w:val="UZEINormaln"/>
      </w:pPr>
      <w:r w:rsidRPr="002A0D4F">
        <w:lastRenderedPageBreak/>
        <w:t xml:space="preserve">I když v letech 2014-2019 docházelo k postupnému snižování nezaměstnanosti ve všech krajích ČR, meziregionální odlišnosti na regionálních trzích práce přetrvaly. Nejvyšší a v rámci ČR nadprůměrné hodnoty PNO jsou stále dosahovány ve smíšených regionech (Ústecký a Moravskoslezský kraj vykazují největší rozdíly mezi počty nezaměstnaných a nabízených pracovních míst), z převážně venkovských krajů vykazoval dlouhodobě nadprůměrné hodnoty nezaměstnanosti kraj Olomoucký (nabídku a poptávku po práci v krajích viz </w:t>
      </w:r>
      <w:r w:rsidR="00A937C8">
        <w:fldChar w:fldCharType="begin"/>
      </w:r>
      <w:r w:rsidR="00A937C8">
        <w:instrText xml:space="preserve"> REF _Ref81773677 \r \h </w:instrText>
      </w:r>
      <w:r w:rsidR="00A937C8">
        <w:fldChar w:fldCharType="separate"/>
      </w:r>
      <w:r w:rsidR="00A937C8">
        <w:t>Obrázek 69</w:t>
      </w:r>
      <w:r w:rsidR="00A937C8">
        <w:fldChar w:fldCharType="end"/>
      </w:r>
      <w:r w:rsidRPr="002A0D4F">
        <w:t>).</w:t>
      </w:r>
    </w:p>
    <w:p w14:paraId="50F17386" w14:textId="46928036" w:rsidR="00A14B9B" w:rsidRPr="00182CC0" w:rsidRDefault="00A14B9B" w:rsidP="00A937C8">
      <w:pPr>
        <w:pStyle w:val="UZEIObr"/>
        <w:ind w:left="0" w:firstLine="0"/>
        <w:rPr>
          <w:rFonts w:eastAsiaTheme="majorEastAsia"/>
        </w:rPr>
      </w:pPr>
      <w:bookmarkStart w:id="760" w:name="_Ref81773677"/>
      <w:bookmarkStart w:id="761" w:name="_Toc81815450"/>
      <w:bookmarkStart w:id="762" w:name="_Toc81817655"/>
      <w:r w:rsidRPr="00182CC0">
        <w:rPr>
          <w:rFonts w:eastAsiaTheme="majorEastAsia"/>
        </w:rPr>
        <w:t>Počet dosažitelných uchazečů a volných pracovních míst v krajích ČR v roce 2020 (roční průměr)</w:t>
      </w:r>
      <w:bookmarkEnd w:id="760"/>
      <w:bookmarkEnd w:id="761"/>
      <w:bookmarkEnd w:id="762"/>
    </w:p>
    <w:p w14:paraId="59E9CB2C" w14:textId="77777777" w:rsidR="00A14B9B" w:rsidRPr="002A0D4F" w:rsidRDefault="00A14B9B" w:rsidP="00A937C8">
      <w:pPr>
        <w:pStyle w:val="UZEIZdroj"/>
      </w:pPr>
      <w:r w:rsidRPr="002A0D4F">
        <w:rPr>
          <w:noProof/>
          <w:lang w:eastAsia="cs-CZ"/>
        </w:rPr>
        <w:drawing>
          <wp:inline distT="0" distB="0" distL="0" distR="0" wp14:anchorId="30A2C8D0" wp14:editId="6FFE9BDE">
            <wp:extent cx="5753098" cy="2390775"/>
            <wp:effectExtent l="0" t="0" r="0" b="0"/>
            <wp:docPr id="1516777594" name="Picture 378067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067657"/>
                    <pic:cNvPicPr/>
                  </pic:nvPicPr>
                  <pic:blipFill>
                    <a:blip r:embed="rId144">
                      <a:extLst>
                        <a:ext uri="{28A0092B-C50C-407E-A947-70E740481C1C}">
                          <a14:useLocalDpi xmlns:a14="http://schemas.microsoft.com/office/drawing/2010/main" val="0"/>
                        </a:ext>
                      </a:extLst>
                    </a:blip>
                    <a:stretch>
                      <a:fillRect/>
                    </a:stretch>
                  </pic:blipFill>
                  <pic:spPr>
                    <a:xfrm>
                      <a:off x="0" y="0"/>
                      <a:ext cx="5753098" cy="2390775"/>
                    </a:xfrm>
                    <a:prstGeom prst="rect">
                      <a:avLst/>
                    </a:prstGeom>
                  </pic:spPr>
                </pic:pic>
              </a:graphicData>
            </a:graphic>
          </wp:inline>
        </w:drawing>
      </w:r>
      <w:r w:rsidRPr="002A0D4F">
        <w:t>Zdroj: Nezaměstnanost v obcích a mikroregionech v roce 2020. MPSV 2021. Data zahrnují pouze nezaměstnané a volná pracovní místa evidované v jednotlivých obcích ČR (informaci o místu bydliště/místu výkonu práce nemáme pro 4,3 tis. DU a 88,9 tis. VPM). Zpracování: ÚZEI.</w:t>
      </w:r>
    </w:p>
    <w:p w14:paraId="7E0FCDB3" w14:textId="41DAFCC0" w:rsidR="00A14B9B" w:rsidRPr="00A937C8" w:rsidRDefault="00A14B9B" w:rsidP="00A937C8">
      <w:pPr>
        <w:pStyle w:val="UZEIObr"/>
        <w:rPr>
          <w:rFonts w:eastAsiaTheme="majorEastAsia"/>
        </w:rPr>
      </w:pPr>
      <w:bookmarkStart w:id="763" w:name="_Toc525727647"/>
      <w:bookmarkStart w:id="764" w:name="_Toc525735934"/>
      <w:bookmarkStart w:id="765" w:name="_Toc25919910"/>
      <w:bookmarkStart w:id="766" w:name="_Toc81815451"/>
      <w:bookmarkStart w:id="767" w:name="_Toc81817656"/>
      <w:r w:rsidRPr="00A937C8">
        <w:rPr>
          <w:rFonts w:eastAsiaTheme="majorEastAsia"/>
        </w:rPr>
        <w:t xml:space="preserve">Vývoj ročních průměrů PNO v krajích ČR 2005-20 </w:t>
      </w:r>
      <w:bookmarkEnd w:id="763"/>
      <w:bookmarkEnd w:id="764"/>
      <w:r w:rsidRPr="00A937C8">
        <w:rPr>
          <w:rFonts w:eastAsiaTheme="majorEastAsia"/>
        </w:rPr>
        <w:t>(%)</w:t>
      </w:r>
      <w:bookmarkEnd w:id="765"/>
      <w:bookmarkEnd w:id="766"/>
      <w:bookmarkEnd w:id="767"/>
    </w:p>
    <w:p w14:paraId="3F5339F3" w14:textId="77777777" w:rsidR="00A14B9B" w:rsidRPr="002A0D4F" w:rsidRDefault="00A14B9B" w:rsidP="00A14B9B">
      <w:pPr>
        <w:rPr>
          <w:rFonts w:eastAsia="Times New Roman" w:cs="Times New Roman"/>
          <w:szCs w:val="23"/>
          <w:lang w:val="cs-CZ"/>
        </w:rPr>
      </w:pPr>
      <w:r w:rsidRPr="002A0D4F">
        <w:rPr>
          <w:noProof/>
          <w:lang w:val="cs-CZ" w:eastAsia="cs-CZ"/>
        </w:rPr>
        <w:drawing>
          <wp:inline distT="0" distB="0" distL="0" distR="0" wp14:anchorId="15AE785B" wp14:editId="614BF354">
            <wp:extent cx="5753098" cy="2600325"/>
            <wp:effectExtent l="0" t="0" r="0" b="0"/>
            <wp:docPr id="1077419195" name="Picture 1077419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7419195"/>
                    <pic:cNvPicPr/>
                  </pic:nvPicPr>
                  <pic:blipFill>
                    <a:blip r:embed="rId145">
                      <a:extLst>
                        <a:ext uri="{28A0092B-C50C-407E-A947-70E740481C1C}">
                          <a14:useLocalDpi xmlns:a14="http://schemas.microsoft.com/office/drawing/2010/main" val="0"/>
                        </a:ext>
                      </a:extLst>
                    </a:blip>
                    <a:stretch>
                      <a:fillRect/>
                    </a:stretch>
                  </pic:blipFill>
                  <pic:spPr>
                    <a:xfrm>
                      <a:off x="0" y="0"/>
                      <a:ext cx="5753098" cy="2600325"/>
                    </a:xfrm>
                    <a:prstGeom prst="rect">
                      <a:avLst/>
                    </a:prstGeom>
                  </pic:spPr>
                </pic:pic>
              </a:graphicData>
            </a:graphic>
          </wp:inline>
        </w:drawing>
      </w:r>
    </w:p>
    <w:p w14:paraId="76E2E4BC" w14:textId="77777777" w:rsidR="00A14B9B" w:rsidRPr="002A0D4F" w:rsidRDefault="00A14B9B" w:rsidP="00A14B9B">
      <w:pPr>
        <w:rPr>
          <w:lang w:val="cs-CZ"/>
        </w:rPr>
      </w:pPr>
      <w:r w:rsidRPr="002A0D4F">
        <w:rPr>
          <w:noProof/>
          <w:lang w:val="cs-CZ" w:eastAsia="cs-CZ"/>
        </w:rPr>
        <w:lastRenderedPageBreak/>
        <w:drawing>
          <wp:inline distT="0" distB="0" distL="0" distR="0" wp14:anchorId="39C2C72A" wp14:editId="005F7472">
            <wp:extent cx="5753098" cy="3829050"/>
            <wp:effectExtent l="0" t="0" r="0" b="0"/>
            <wp:docPr id="1631125727" name="Picture 2038953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8953010"/>
                    <pic:cNvPicPr/>
                  </pic:nvPicPr>
                  <pic:blipFill>
                    <a:blip r:embed="rId146">
                      <a:extLst>
                        <a:ext uri="{28A0092B-C50C-407E-A947-70E740481C1C}">
                          <a14:useLocalDpi xmlns:a14="http://schemas.microsoft.com/office/drawing/2010/main" val="0"/>
                        </a:ext>
                      </a:extLst>
                    </a:blip>
                    <a:stretch>
                      <a:fillRect/>
                    </a:stretch>
                  </pic:blipFill>
                  <pic:spPr>
                    <a:xfrm>
                      <a:off x="0" y="0"/>
                      <a:ext cx="5753098" cy="3829050"/>
                    </a:xfrm>
                    <a:prstGeom prst="rect">
                      <a:avLst/>
                    </a:prstGeom>
                  </pic:spPr>
                </pic:pic>
              </a:graphicData>
            </a:graphic>
          </wp:inline>
        </w:drawing>
      </w:r>
    </w:p>
    <w:p w14:paraId="796DE8BE" w14:textId="77777777" w:rsidR="00A14B9B" w:rsidRPr="00A937C8" w:rsidRDefault="00A14B9B" w:rsidP="00A937C8">
      <w:pPr>
        <w:pStyle w:val="UZEIZdroj"/>
      </w:pPr>
      <w:r w:rsidRPr="002A0D4F">
        <w:rPr>
          <w:noProof/>
          <w:lang w:eastAsia="cs-CZ"/>
        </w:rPr>
        <w:drawing>
          <wp:inline distT="0" distB="0" distL="0" distR="0" wp14:anchorId="6902F940" wp14:editId="3221032A">
            <wp:extent cx="5962650" cy="3362325"/>
            <wp:effectExtent l="0" t="0" r="0" b="9525"/>
            <wp:docPr id="3022915" name="Graf 3022915">
              <a:extLst xmlns:a="http://schemas.openxmlformats.org/drawingml/2006/main">
                <a:ext uri="{FF2B5EF4-FFF2-40B4-BE49-F238E27FC236}">
                  <a16:creationId xmlns:a16="http://schemas.microsoft.com/office/drawing/2014/main" id="{5A570928-E682-44EC-8F13-DBABAC15C01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7"/>
              </a:graphicData>
            </a:graphic>
          </wp:inline>
        </w:drawing>
      </w:r>
      <w:r w:rsidRPr="00A937C8">
        <w:t>Zdroj: MPSV 2006-2021.</w:t>
      </w:r>
    </w:p>
    <w:p w14:paraId="0886C952" w14:textId="77777777" w:rsidR="00A14B9B" w:rsidRPr="00A937C8" w:rsidRDefault="00A14B9B" w:rsidP="00A937C8">
      <w:pPr>
        <w:pStyle w:val="UZEIZdroj"/>
      </w:pPr>
      <w:r w:rsidRPr="00A937C8">
        <w:t>Zpracování: ÚZEI</w:t>
      </w:r>
    </w:p>
    <w:p w14:paraId="35E611DA" w14:textId="77777777" w:rsidR="00A14B9B" w:rsidRPr="002A0D4F" w:rsidRDefault="00A14B9B" w:rsidP="00A14B9B">
      <w:pPr>
        <w:ind w:firstLine="708"/>
        <w:rPr>
          <w:lang w:val="cs-CZ"/>
        </w:rPr>
      </w:pPr>
    </w:p>
    <w:p w14:paraId="5647A179" w14:textId="77777777" w:rsidR="00A14B9B" w:rsidRPr="002A0D4F" w:rsidRDefault="00A14B9B" w:rsidP="00A14B9B">
      <w:pPr>
        <w:ind w:firstLine="708"/>
        <w:rPr>
          <w:szCs w:val="24"/>
          <w:lang w:val="cs-CZ"/>
        </w:rPr>
      </w:pPr>
    </w:p>
    <w:p w14:paraId="117FF5E8" w14:textId="77777777" w:rsidR="00A937C8" w:rsidRDefault="00A937C8">
      <w:pPr>
        <w:spacing w:after="160" w:line="259" w:lineRule="auto"/>
        <w:jc w:val="left"/>
        <w:rPr>
          <w:rFonts w:eastAsiaTheme="majorEastAsia" w:cs="Arial"/>
          <w:b/>
          <w:noProof/>
          <w:sz w:val="20"/>
          <w:szCs w:val="20"/>
          <w:lang w:val="cs-CZ" w:eastAsia="cs-CZ"/>
        </w:rPr>
      </w:pPr>
      <w:bookmarkStart w:id="768" w:name="_Toc525727648"/>
      <w:bookmarkStart w:id="769" w:name="_Toc525735935"/>
      <w:bookmarkStart w:id="770" w:name="_Toc25919911"/>
      <w:r>
        <w:rPr>
          <w:rFonts w:eastAsiaTheme="majorEastAsia"/>
        </w:rPr>
        <w:br w:type="page"/>
      </w:r>
    </w:p>
    <w:p w14:paraId="150A9186" w14:textId="751714A5" w:rsidR="00A14B9B" w:rsidRPr="00A937C8" w:rsidRDefault="00A14B9B" w:rsidP="00A937C8">
      <w:pPr>
        <w:pStyle w:val="UZEIObr"/>
        <w:ind w:left="0" w:firstLine="0"/>
        <w:rPr>
          <w:rFonts w:eastAsiaTheme="majorEastAsia"/>
        </w:rPr>
      </w:pPr>
      <w:bookmarkStart w:id="771" w:name="_Toc81815452"/>
      <w:bookmarkStart w:id="772" w:name="_Toc81817657"/>
      <w:r w:rsidRPr="00A937C8">
        <w:rPr>
          <w:rFonts w:eastAsiaTheme="majorEastAsia"/>
        </w:rPr>
        <w:lastRenderedPageBreak/>
        <w:t>Počty dosažitelných uchazečů o práci a volných pracovních míst ve městech a na venkově v ČR ve vybraných měsících let 2015-</w:t>
      </w:r>
      <w:bookmarkEnd w:id="768"/>
      <w:bookmarkEnd w:id="769"/>
      <w:bookmarkEnd w:id="770"/>
      <w:r w:rsidRPr="00A937C8">
        <w:rPr>
          <w:rFonts w:eastAsiaTheme="majorEastAsia"/>
        </w:rPr>
        <w:t>20120</w:t>
      </w:r>
      <w:bookmarkEnd w:id="771"/>
      <w:bookmarkEnd w:id="772"/>
    </w:p>
    <w:p w14:paraId="517D911A" w14:textId="77777777" w:rsidR="00A14B9B" w:rsidRPr="002A0D4F" w:rsidRDefault="00A14B9B" w:rsidP="00A14B9B">
      <w:pPr>
        <w:rPr>
          <w:rFonts w:eastAsia="Times New Roman" w:cs="Times New Roman"/>
          <w:szCs w:val="23"/>
          <w:lang w:val="cs-CZ"/>
        </w:rPr>
      </w:pPr>
      <w:r w:rsidRPr="002A0D4F">
        <w:rPr>
          <w:noProof/>
          <w:lang w:val="cs-CZ" w:eastAsia="cs-CZ"/>
        </w:rPr>
        <w:drawing>
          <wp:inline distT="0" distB="0" distL="0" distR="0" wp14:anchorId="37832E3C" wp14:editId="104DA78D">
            <wp:extent cx="4714875" cy="2536978"/>
            <wp:effectExtent l="0" t="0" r="0" b="0"/>
            <wp:docPr id="1744495219" name="Picture 1744495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4495219"/>
                    <pic:cNvPicPr/>
                  </pic:nvPicPr>
                  <pic:blipFill>
                    <a:blip r:embed="rId148">
                      <a:extLst>
                        <a:ext uri="{28A0092B-C50C-407E-A947-70E740481C1C}">
                          <a14:useLocalDpi xmlns:a14="http://schemas.microsoft.com/office/drawing/2010/main" val="0"/>
                        </a:ext>
                      </a:extLst>
                    </a:blip>
                    <a:stretch>
                      <a:fillRect/>
                    </a:stretch>
                  </pic:blipFill>
                  <pic:spPr>
                    <a:xfrm>
                      <a:off x="0" y="0"/>
                      <a:ext cx="4774481" cy="2569051"/>
                    </a:xfrm>
                    <a:prstGeom prst="rect">
                      <a:avLst/>
                    </a:prstGeom>
                  </pic:spPr>
                </pic:pic>
              </a:graphicData>
            </a:graphic>
          </wp:inline>
        </w:drawing>
      </w:r>
    </w:p>
    <w:p w14:paraId="593480F7" w14:textId="77777777" w:rsidR="00A14B9B" w:rsidRPr="002A0D4F" w:rsidRDefault="00A14B9B" w:rsidP="00A14B9B">
      <w:pPr>
        <w:rPr>
          <w:lang w:val="cs-CZ"/>
        </w:rPr>
      </w:pPr>
      <w:r w:rsidRPr="002A0D4F">
        <w:rPr>
          <w:noProof/>
          <w:lang w:val="cs-CZ" w:eastAsia="cs-CZ"/>
        </w:rPr>
        <w:drawing>
          <wp:inline distT="0" distB="0" distL="0" distR="0" wp14:anchorId="7201ABBA" wp14:editId="3BA95A78">
            <wp:extent cx="4724400" cy="2416954"/>
            <wp:effectExtent l="0" t="0" r="0" b="2540"/>
            <wp:docPr id="805863376" name="Picture 187009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009389"/>
                    <pic:cNvPicPr/>
                  </pic:nvPicPr>
                  <pic:blipFill>
                    <a:blip r:embed="rId149">
                      <a:extLst>
                        <a:ext uri="{28A0092B-C50C-407E-A947-70E740481C1C}">
                          <a14:useLocalDpi xmlns:a14="http://schemas.microsoft.com/office/drawing/2010/main" val="0"/>
                        </a:ext>
                      </a:extLst>
                    </a:blip>
                    <a:stretch>
                      <a:fillRect/>
                    </a:stretch>
                  </pic:blipFill>
                  <pic:spPr>
                    <a:xfrm>
                      <a:off x="0" y="0"/>
                      <a:ext cx="4742591" cy="2426261"/>
                    </a:xfrm>
                    <a:prstGeom prst="rect">
                      <a:avLst/>
                    </a:prstGeom>
                  </pic:spPr>
                </pic:pic>
              </a:graphicData>
            </a:graphic>
          </wp:inline>
        </w:drawing>
      </w:r>
    </w:p>
    <w:p w14:paraId="4E445A7F" w14:textId="77777777" w:rsidR="00A14B9B" w:rsidRPr="002A0D4F" w:rsidRDefault="00A14B9B" w:rsidP="00A14B9B">
      <w:pPr>
        <w:rPr>
          <w:rFonts w:eastAsiaTheme="majorEastAsia"/>
          <w:i/>
          <w:iCs/>
          <w:lang w:val="cs-CZ"/>
        </w:rPr>
      </w:pPr>
      <w:r w:rsidRPr="002A0D4F">
        <w:rPr>
          <w:noProof/>
          <w:lang w:val="cs-CZ" w:eastAsia="cs-CZ"/>
        </w:rPr>
        <w:drawing>
          <wp:inline distT="0" distB="0" distL="0" distR="0" wp14:anchorId="5D0ACAEB" wp14:editId="51CBB26F">
            <wp:extent cx="4705350" cy="2781300"/>
            <wp:effectExtent l="0" t="0" r="0" b="0"/>
            <wp:docPr id="1737972157" name="Graf 1737972157">
              <a:extLst xmlns:a="http://schemas.openxmlformats.org/drawingml/2006/main">
                <a:ext uri="{FF2B5EF4-FFF2-40B4-BE49-F238E27FC236}">
                  <a16:creationId xmlns:a16="http://schemas.microsoft.com/office/drawing/2014/main" id="{8FFAAA1B-53CC-4136-BF20-670D31F3D2E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0"/>
              </a:graphicData>
            </a:graphic>
          </wp:inline>
        </w:drawing>
      </w:r>
    </w:p>
    <w:p w14:paraId="2F50A104" w14:textId="77777777" w:rsidR="00A14B9B" w:rsidRPr="002A0D4F" w:rsidRDefault="00A14B9B" w:rsidP="00A937C8">
      <w:pPr>
        <w:pStyle w:val="UZEIZdroj"/>
      </w:pPr>
      <w:r w:rsidRPr="002A0D4F">
        <w:t>Zdroj: Nezaměstnanost v obcích a mikroregionech v březnu, červnu, září a prosinci 2015-</w:t>
      </w:r>
      <w:proofErr w:type="gramStart"/>
      <w:r w:rsidRPr="002A0D4F">
        <w:t>2020..</w:t>
      </w:r>
      <w:proofErr w:type="gramEnd"/>
      <w:r w:rsidRPr="002A0D4F">
        <w:t xml:space="preserve">MPSV 2015 –2021 Data  o počtu  </w:t>
      </w:r>
      <w:r w:rsidRPr="002A0D4F">
        <w:rPr>
          <w:rFonts w:ascii="Calibri Light" w:eastAsia="Calibri Light" w:hAnsi="Calibri Light" w:cs="Calibri Light"/>
        </w:rPr>
        <w:t xml:space="preserve">DU a VPM ve městech a na venkově (v obcích do 2000 obyvatel) zahrnují </w:t>
      </w:r>
      <w:r w:rsidRPr="002A0D4F">
        <w:t>dosažitelné uchazeče a volná pracovní místa v jednotlivých obcích ČR (nezahrnují  nezaměstnané a volná pracovní místa bez územní identifikace na úrovni obcí). Naopak data DU celkem a VPM celkem zahrnují všechny uchazeče, resp. nabízená místa v ČR, tj. včetně těch, které nelze územně specifikovat. Zpracování: ÚZEI</w:t>
      </w:r>
    </w:p>
    <w:p w14:paraId="36BA4724" w14:textId="0A305289" w:rsidR="00A14B9B" w:rsidRPr="00A937C8" w:rsidRDefault="00A14B9B" w:rsidP="00A937C8">
      <w:pPr>
        <w:pStyle w:val="UZEIObr"/>
        <w:ind w:left="0" w:firstLine="0"/>
        <w:rPr>
          <w:rFonts w:eastAsiaTheme="majorEastAsia"/>
        </w:rPr>
      </w:pPr>
      <w:bookmarkStart w:id="773" w:name="_Toc525727649"/>
      <w:bookmarkStart w:id="774" w:name="_Toc525735936"/>
      <w:bookmarkStart w:id="775" w:name="_Toc25919912"/>
      <w:bookmarkStart w:id="776" w:name="_Toc81815453"/>
      <w:bookmarkStart w:id="777" w:name="_Toc81817658"/>
      <w:r w:rsidRPr="00A937C8">
        <w:rPr>
          <w:rFonts w:eastAsiaTheme="majorEastAsia"/>
        </w:rPr>
        <w:lastRenderedPageBreak/>
        <w:t>Počet dosažitelných uchazečů o práci na jedno volné pracovní místo ve městě a na venkově v ČR ve vybraných měsících let 2015-</w:t>
      </w:r>
      <w:bookmarkEnd w:id="773"/>
      <w:bookmarkEnd w:id="774"/>
      <w:bookmarkEnd w:id="775"/>
      <w:r w:rsidRPr="00A937C8">
        <w:rPr>
          <w:rFonts w:eastAsiaTheme="majorEastAsia"/>
        </w:rPr>
        <w:t>20120</w:t>
      </w:r>
      <w:bookmarkEnd w:id="776"/>
      <w:bookmarkEnd w:id="777"/>
    </w:p>
    <w:p w14:paraId="2347F2C4" w14:textId="77777777" w:rsidR="00A14B9B" w:rsidRPr="002A0D4F" w:rsidRDefault="00A14B9B" w:rsidP="00A14B9B">
      <w:pPr>
        <w:rPr>
          <w:rFonts w:eastAsia="Times New Roman" w:cs="Times New Roman"/>
          <w:szCs w:val="23"/>
          <w:lang w:val="cs-CZ"/>
        </w:rPr>
      </w:pPr>
      <w:r w:rsidRPr="002A0D4F">
        <w:rPr>
          <w:noProof/>
          <w:lang w:val="cs-CZ" w:eastAsia="cs-CZ"/>
        </w:rPr>
        <w:drawing>
          <wp:inline distT="0" distB="0" distL="0" distR="0" wp14:anchorId="59BCC400" wp14:editId="224024E2">
            <wp:extent cx="4695103" cy="2847975"/>
            <wp:effectExtent l="0" t="0" r="0" b="0"/>
            <wp:docPr id="323655879" name="Picture 323655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655879"/>
                    <pic:cNvPicPr/>
                  </pic:nvPicPr>
                  <pic:blipFill>
                    <a:blip r:embed="rId151">
                      <a:extLst>
                        <a:ext uri="{28A0092B-C50C-407E-A947-70E740481C1C}">
                          <a14:useLocalDpi xmlns:a14="http://schemas.microsoft.com/office/drawing/2010/main" val="0"/>
                        </a:ext>
                      </a:extLst>
                    </a:blip>
                    <a:stretch>
                      <a:fillRect/>
                    </a:stretch>
                  </pic:blipFill>
                  <pic:spPr>
                    <a:xfrm>
                      <a:off x="0" y="0"/>
                      <a:ext cx="4725051" cy="2866141"/>
                    </a:xfrm>
                    <a:prstGeom prst="rect">
                      <a:avLst/>
                    </a:prstGeom>
                  </pic:spPr>
                </pic:pic>
              </a:graphicData>
            </a:graphic>
          </wp:inline>
        </w:drawing>
      </w:r>
    </w:p>
    <w:p w14:paraId="1A391602" w14:textId="77777777" w:rsidR="00A14B9B" w:rsidRPr="002A0D4F" w:rsidRDefault="00A14B9B" w:rsidP="00A14B9B">
      <w:pPr>
        <w:rPr>
          <w:lang w:val="cs-CZ"/>
        </w:rPr>
      </w:pPr>
      <w:r w:rsidRPr="002A0D4F">
        <w:rPr>
          <w:noProof/>
          <w:lang w:val="cs-CZ" w:eastAsia="cs-CZ"/>
        </w:rPr>
        <w:drawing>
          <wp:inline distT="0" distB="0" distL="0" distR="0" wp14:anchorId="697885EB" wp14:editId="14EF47EC">
            <wp:extent cx="4709197" cy="2686050"/>
            <wp:effectExtent l="0" t="0" r="0" b="0"/>
            <wp:docPr id="1602223693" name="Picture 1571281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1281601"/>
                    <pic:cNvPicPr/>
                  </pic:nvPicPr>
                  <pic:blipFill>
                    <a:blip r:embed="rId152">
                      <a:extLst>
                        <a:ext uri="{28A0092B-C50C-407E-A947-70E740481C1C}">
                          <a14:useLocalDpi xmlns:a14="http://schemas.microsoft.com/office/drawing/2010/main" val="0"/>
                        </a:ext>
                      </a:extLst>
                    </a:blip>
                    <a:stretch>
                      <a:fillRect/>
                    </a:stretch>
                  </pic:blipFill>
                  <pic:spPr>
                    <a:xfrm>
                      <a:off x="0" y="0"/>
                      <a:ext cx="4720529" cy="2692514"/>
                    </a:xfrm>
                    <a:prstGeom prst="rect">
                      <a:avLst/>
                    </a:prstGeom>
                  </pic:spPr>
                </pic:pic>
              </a:graphicData>
            </a:graphic>
          </wp:inline>
        </w:drawing>
      </w:r>
    </w:p>
    <w:p w14:paraId="03E9368A" w14:textId="77777777" w:rsidR="00A14B9B" w:rsidRPr="002A0D4F" w:rsidRDefault="00A14B9B" w:rsidP="00A14B9B">
      <w:pPr>
        <w:rPr>
          <w:lang w:val="cs-CZ"/>
        </w:rPr>
      </w:pPr>
      <w:r w:rsidRPr="002A0D4F">
        <w:rPr>
          <w:noProof/>
          <w:lang w:val="cs-CZ" w:eastAsia="cs-CZ"/>
        </w:rPr>
        <w:drawing>
          <wp:inline distT="0" distB="0" distL="0" distR="0" wp14:anchorId="26C5168B" wp14:editId="3B7B70DF">
            <wp:extent cx="4724400" cy="2305050"/>
            <wp:effectExtent l="0" t="0" r="0" b="0"/>
            <wp:docPr id="1737972159" name="Graf 1737972159">
              <a:extLst xmlns:a="http://schemas.openxmlformats.org/drawingml/2006/main">
                <a:ext uri="{FF2B5EF4-FFF2-40B4-BE49-F238E27FC236}">
                  <a16:creationId xmlns:a16="http://schemas.microsoft.com/office/drawing/2014/main" id="{F51EFA59-222F-4F99-8916-E198711F00D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3"/>
              </a:graphicData>
            </a:graphic>
          </wp:inline>
        </w:drawing>
      </w:r>
    </w:p>
    <w:p w14:paraId="24DDFF89" w14:textId="0635267F" w:rsidR="00A14B9B" w:rsidRPr="002A0D4F" w:rsidRDefault="00A14B9B" w:rsidP="00A937C8">
      <w:pPr>
        <w:pStyle w:val="UZEIZdroj"/>
        <w:rPr>
          <w:color w:val="000000" w:themeColor="text1"/>
        </w:rPr>
      </w:pPr>
      <w:r w:rsidRPr="002A0D4F">
        <w:t>Zdroj: Nezaměstnanost v obcích a mikroregionech v březnu, červnu, září a prosinci 2015-2020</w:t>
      </w:r>
      <w:r w:rsidR="007B1EDC">
        <w:t xml:space="preserve"> </w:t>
      </w:r>
      <w:r w:rsidRPr="002A0D4F">
        <w:t xml:space="preserve">MPSV </w:t>
      </w:r>
      <w:proofErr w:type="gramStart"/>
      <w:r w:rsidRPr="002A0D4F">
        <w:t>2015 - 2021</w:t>
      </w:r>
      <w:proofErr w:type="gramEnd"/>
      <w:r w:rsidRPr="002A0D4F">
        <w:t>. Zpracování: ÚZEI. Indikátor DU/VPM ve městech a na venkově zahrnuje DU a VPM evidované v konkrétní obcích, DU/VPM celkem vychází z celkového počtu dosažitelných uchazečů i nabízených pracovních míst v ČR (tj. včetně těch bez územní specifikace).</w:t>
      </w:r>
    </w:p>
    <w:p w14:paraId="00F60079" w14:textId="65CED721" w:rsidR="00A14B9B" w:rsidRPr="002A0D4F" w:rsidRDefault="00A14B9B" w:rsidP="00A14B9B">
      <w:pPr>
        <w:rPr>
          <w:color w:val="000000" w:themeColor="text1"/>
          <w:lang w:val="cs-CZ"/>
        </w:rPr>
      </w:pPr>
      <w:r w:rsidRPr="00521BC1">
        <w:rPr>
          <w:rStyle w:val="UZEINormalnChar"/>
          <w:rFonts w:eastAsiaTheme="minorHAnsi"/>
        </w:rPr>
        <w:lastRenderedPageBreak/>
        <w:t xml:space="preserve">Za relativně méně příznivou lze stále označovat situaci v populačně malých obcích do 199 obyvatel, které často patří k nadprůměrně </w:t>
      </w:r>
      <w:proofErr w:type="gramStart"/>
      <w:r w:rsidRPr="00521BC1">
        <w:rPr>
          <w:rStyle w:val="UZEINormalnChar"/>
          <w:rFonts w:eastAsiaTheme="minorHAnsi"/>
        </w:rPr>
        <w:t>zasaženým</w:t>
      </w:r>
      <w:r w:rsidR="00521BC1">
        <w:rPr>
          <w:rStyle w:val="UZEINormalnChar"/>
          <w:rFonts w:eastAsiaTheme="minorHAnsi"/>
        </w:rPr>
        <w:t xml:space="preserve"> </w:t>
      </w:r>
      <w:r w:rsidRPr="00521BC1">
        <w:rPr>
          <w:rStyle w:val="UZEINormalnChar"/>
          <w:rFonts w:eastAsiaTheme="minorHAnsi"/>
        </w:rPr>
        <w:t>nezaměstnaností</w:t>
      </w:r>
      <w:proofErr w:type="gramEnd"/>
      <w:r w:rsidRPr="00521BC1">
        <w:rPr>
          <w:rStyle w:val="UZEINormalnChar"/>
          <w:rFonts w:eastAsiaTheme="minorHAnsi"/>
        </w:rPr>
        <w:t xml:space="preserve"> v rámci jednotlivých regionů. Poměr dosažitelných uchazečů o práci a nabízených volných pracovních míst dle velikostních kategorií obcí nabízí </w:t>
      </w:r>
      <w:r w:rsidR="00521BC1">
        <w:rPr>
          <w:rStyle w:val="UZEINormalnChar"/>
          <w:rFonts w:eastAsiaTheme="minorHAnsi"/>
        </w:rPr>
        <w:fldChar w:fldCharType="begin"/>
      </w:r>
      <w:r w:rsidR="00521BC1">
        <w:rPr>
          <w:rStyle w:val="UZEINormalnChar"/>
          <w:rFonts w:eastAsiaTheme="minorHAnsi"/>
        </w:rPr>
        <w:instrText xml:space="preserve"> REF _Ref81773846 \r \h </w:instrText>
      </w:r>
      <w:r w:rsidR="00521BC1">
        <w:rPr>
          <w:rStyle w:val="UZEINormalnChar"/>
          <w:rFonts w:eastAsiaTheme="minorHAnsi"/>
        </w:rPr>
      </w:r>
      <w:r w:rsidR="00521BC1">
        <w:rPr>
          <w:rStyle w:val="UZEINormalnChar"/>
          <w:rFonts w:eastAsiaTheme="minorHAnsi"/>
        </w:rPr>
        <w:fldChar w:fldCharType="separate"/>
      </w:r>
      <w:r w:rsidR="00521BC1">
        <w:rPr>
          <w:rStyle w:val="UZEINormalnChar"/>
          <w:rFonts w:eastAsiaTheme="minorHAnsi"/>
        </w:rPr>
        <w:t>Obrázek 73</w:t>
      </w:r>
      <w:r w:rsidR="00521BC1">
        <w:rPr>
          <w:rStyle w:val="UZEINormalnChar"/>
          <w:rFonts w:eastAsiaTheme="minorHAnsi"/>
        </w:rPr>
        <w:fldChar w:fldCharType="end"/>
      </w:r>
      <w:r w:rsidRPr="002A0D4F">
        <w:rPr>
          <w:color w:val="000000" w:themeColor="text1"/>
          <w:lang w:val="cs-CZ"/>
        </w:rPr>
        <w:t>.</w:t>
      </w:r>
    </w:p>
    <w:p w14:paraId="6648E9B0" w14:textId="6BC73D3B" w:rsidR="00A14B9B" w:rsidRPr="002A0D4F" w:rsidRDefault="00A14B9B" w:rsidP="007B1EDC">
      <w:pPr>
        <w:pStyle w:val="UZEIObr"/>
        <w:ind w:left="0" w:firstLine="0"/>
        <w:rPr>
          <w:rFonts w:eastAsiaTheme="majorEastAsia"/>
        </w:rPr>
      </w:pPr>
      <w:bookmarkStart w:id="778" w:name="_Toc525727650"/>
      <w:bookmarkStart w:id="779" w:name="_Toc525735937"/>
      <w:bookmarkStart w:id="780" w:name="_Toc25919913"/>
      <w:bookmarkStart w:id="781" w:name="_Ref81773846"/>
      <w:bookmarkStart w:id="782" w:name="_Toc81815454"/>
      <w:bookmarkStart w:id="783" w:name="_Toc81817659"/>
      <w:r w:rsidRPr="002A0D4F">
        <w:rPr>
          <w:rFonts w:eastAsiaTheme="majorEastAsia"/>
        </w:rPr>
        <w:t>Počet dosažitelných uchazečů a volných pracovních míst ve velikostních skupinách obcí ČR v roce 2020 roční průměr)</w:t>
      </w:r>
      <w:bookmarkEnd w:id="778"/>
      <w:bookmarkEnd w:id="779"/>
      <w:bookmarkEnd w:id="780"/>
      <w:bookmarkEnd w:id="781"/>
      <w:bookmarkEnd w:id="782"/>
      <w:bookmarkEnd w:id="783"/>
    </w:p>
    <w:p w14:paraId="1639F110" w14:textId="77777777" w:rsidR="00A14B9B" w:rsidRPr="002A0D4F" w:rsidRDefault="00A14B9B" w:rsidP="00A14B9B">
      <w:pPr>
        <w:jc w:val="left"/>
        <w:rPr>
          <w:b/>
          <w:bCs/>
          <w:szCs w:val="24"/>
          <w:lang w:val="cs-CZ"/>
        </w:rPr>
      </w:pPr>
    </w:p>
    <w:p w14:paraId="47E1AA69" w14:textId="77777777" w:rsidR="00A14B9B" w:rsidRPr="002A0D4F" w:rsidRDefault="00A14B9B" w:rsidP="00A14B9B">
      <w:pPr>
        <w:jc w:val="left"/>
        <w:rPr>
          <w:lang w:val="cs-CZ"/>
        </w:rPr>
      </w:pPr>
      <w:r w:rsidRPr="002A0D4F">
        <w:rPr>
          <w:noProof/>
          <w:lang w:val="cs-CZ" w:eastAsia="cs-CZ"/>
        </w:rPr>
        <w:drawing>
          <wp:inline distT="0" distB="0" distL="0" distR="0" wp14:anchorId="511DBCD0" wp14:editId="2900B404">
            <wp:extent cx="4966137" cy="2400300"/>
            <wp:effectExtent l="0" t="0" r="6350" b="0"/>
            <wp:docPr id="1326140844" name="Picture 1326140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6140844"/>
                    <pic:cNvPicPr/>
                  </pic:nvPicPr>
                  <pic:blipFill>
                    <a:blip r:embed="rId154">
                      <a:extLst>
                        <a:ext uri="{28A0092B-C50C-407E-A947-70E740481C1C}">
                          <a14:useLocalDpi xmlns:a14="http://schemas.microsoft.com/office/drawing/2010/main" val="0"/>
                        </a:ext>
                      </a:extLst>
                    </a:blip>
                    <a:stretch>
                      <a:fillRect/>
                    </a:stretch>
                  </pic:blipFill>
                  <pic:spPr>
                    <a:xfrm>
                      <a:off x="0" y="0"/>
                      <a:ext cx="5004195" cy="2418695"/>
                    </a:xfrm>
                    <a:prstGeom prst="rect">
                      <a:avLst/>
                    </a:prstGeom>
                  </pic:spPr>
                </pic:pic>
              </a:graphicData>
            </a:graphic>
          </wp:inline>
        </w:drawing>
      </w:r>
    </w:p>
    <w:p w14:paraId="37534F71" w14:textId="77777777" w:rsidR="00A14B9B" w:rsidRPr="002A0D4F" w:rsidRDefault="00A14B9B" w:rsidP="00A14B9B">
      <w:pPr>
        <w:jc w:val="left"/>
        <w:rPr>
          <w:lang w:val="cs-CZ"/>
        </w:rPr>
      </w:pPr>
      <w:r w:rsidRPr="002A0D4F">
        <w:rPr>
          <w:noProof/>
          <w:lang w:val="cs-CZ" w:eastAsia="cs-CZ"/>
        </w:rPr>
        <w:drawing>
          <wp:inline distT="0" distB="0" distL="0" distR="0" wp14:anchorId="6A44B65D" wp14:editId="5CF4073B">
            <wp:extent cx="4950891" cy="2514600"/>
            <wp:effectExtent l="0" t="0" r="2540" b="0"/>
            <wp:docPr id="410154174" name="Picture 1805979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5979692"/>
                    <pic:cNvPicPr/>
                  </pic:nvPicPr>
                  <pic:blipFill>
                    <a:blip r:embed="rId155">
                      <a:extLst>
                        <a:ext uri="{28A0092B-C50C-407E-A947-70E740481C1C}">
                          <a14:useLocalDpi xmlns:a14="http://schemas.microsoft.com/office/drawing/2010/main" val="0"/>
                        </a:ext>
                      </a:extLst>
                    </a:blip>
                    <a:stretch>
                      <a:fillRect/>
                    </a:stretch>
                  </pic:blipFill>
                  <pic:spPr>
                    <a:xfrm>
                      <a:off x="0" y="0"/>
                      <a:ext cx="4966375" cy="2522465"/>
                    </a:xfrm>
                    <a:prstGeom prst="rect">
                      <a:avLst/>
                    </a:prstGeom>
                  </pic:spPr>
                </pic:pic>
              </a:graphicData>
            </a:graphic>
          </wp:inline>
        </w:drawing>
      </w:r>
    </w:p>
    <w:p w14:paraId="43E28633" w14:textId="77777777" w:rsidR="00A14B9B" w:rsidRPr="002A0D4F" w:rsidRDefault="00A14B9B" w:rsidP="00A14B9B">
      <w:pPr>
        <w:keepNext/>
        <w:jc w:val="left"/>
        <w:rPr>
          <w:rFonts w:asciiTheme="majorHAnsi" w:eastAsiaTheme="majorEastAsia" w:hAnsiTheme="majorHAnsi" w:cstheme="majorBidi"/>
          <w:b/>
          <w:bCs/>
          <w:sz w:val="22"/>
          <w:lang w:val="cs-CZ"/>
        </w:rPr>
      </w:pPr>
      <w:r w:rsidRPr="002A0D4F">
        <w:rPr>
          <w:noProof/>
          <w:lang w:val="cs-CZ" w:eastAsia="cs-CZ"/>
        </w:rPr>
        <w:drawing>
          <wp:inline distT="0" distB="0" distL="0" distR="0" wp14:anchorId="6702FD60" wp14:editId="5B9C35B1">
            <wp:extent cx="4924425" cy="2038350"/>
            <wp:effectExtent l="0" t="0" r="9525" b="0"/>
            <wp:docPr id="3022913" name="Graf 3022913">
              <a:extLst xmlns:a="http://schemas.openxmlformats.org/drawingml/2006/main">
                <a:ext uri="{FF2B5EF4-FFF2-40B4-BE49-F238E27FC236}">
                  <a16:creationId xmlns:a16="http://schemas.microsoft.com/office/drawing/2014/main" id="{1893E324-DCC6-4790-9169-1D4787D9633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6"/>
              </a:graphicData>
            </a:graphic>
          </wp:inline>
        </w:drawing>
      </w:r>
    </w:p>
    <w:p w14:paraId="64431C68" w14:textId="77777777" w:rsidR="00A14B9B" w:rsidRPr="002A0D4F" w:rsidRDefault="00A14B9B" w:rsidP="007B1EDC">
      <w:pPr>
        <w:pStyle w:val="UZEIZdroj"/>
      </w:pPr>
      <w:r w:rsidRPr="002A0D4F">
        <w:t xml:space="preserve">Zdroj: Nezaměstnanost v obcích a mikroregionech v roce 2020. MPSV 2021. Data zahrnují pouze nezaměstnané a volná pracovní místa evidované v jednotlivých obcích ČR (informaci o místu bydliště/místu výkonu práce nemáme pro 4,3 tis. DU a 88,9 tis. VPM). Zpracování: ÚZEI. </w:t>
      </w:r>
    </w:p>
    <w:p w14:paraId="7DA59F5D" w14:textId="77777777" w:rsidR="00A14B9B" w:rsidRPr="00831EC5" w:rsidRDefault="00A14B9B" w:rsidP="007B1EDC">
      <w:pPr>
        <w:pStyle w:val="UZEINormaln"/>
        <w:rPr>
          <w:rFonts w:eastAsiaTheme="majorEastAsia"/>
          <w:b/>
          <w:bCs/>
        </w:rPr>
      </w:pPr>
      <w:r w:rsidRPr="00831EC5">
        <w:rPr>
          <w:rFonts w:eastAsiaTheme="majorEastAsia"/>
          <w:b/>
          <w:bCs/>
        </w:rPr>
        <w:lastRenderedPageBreak/>
        <w:t>Zaměstnanost v lesním hospodářství</w:t>
      </w:r>
    </w:p>
    <w:p w14:paraId="55DFADF7" w14:textId="77777777" w:rsidR="00A14B9B" w:rsidRPr="002A0D4F" w:rsidRDefault="00A14B9B" w:rsidP="007B1EDC">
      <w:pPr>
        <w:pStyle w:val="UZEINormaln"/>
      </w:pPr>
      <w:r w:rsidRPr="002A0D4F">
        <w:t xml:space="preserve">Závažným jevem v oblasti lidských zdrojů v lesním hospodářství je jeho dlouhodobý klesající trend v průřezu všech zaměstnaneckých úrovní. Tento trend tedy bohužel dostatečně nepřispívá v potenciálu širšího rozvíjení se venkova a jeho zajištění atraktivních pracovních pozic a celkově zvyšující se pracovní i platové úrovni v porovnání s jinými obory nebo pracovními příležitostmi z měst, ve kterém by lesnictví mohlo svou kapacitou potřebných prací hrát silnou roli. Jedním z důvodů, proč tomu tak je, je poměrově nedostatečné finanční ohodnocení tohoto oboru a vysoký podíl fyzicky i odborně náročné práce. </w:t>
      </w:r>
    </w:p>
    <w:p w14:paraId="0121CE40" w14:textId="77777777" w:rsidR="00A14B9B" w:rsidRPr="002A0D4F" w:rsidRDefault="00A14B9B" w:rsidP="007B1EDC">
      <w:pPr>
        <w:pStyle w:val="UZEINormaln"/>
      </w:pPr>
      <w:r w:rsidRPr="002A0D4F">
        <w:t>Je obecně známým faktem, že vedle zaměstnaneckého poměru aktuálně v oboru lesního hospodářství schází pracovníci na úrovni OSVČ (živnostenská oprávnění), kteří by zajišťovali mimo jiné kapacitní možnosti pro zvládnutí kalamitních situací souvisejících s rozvojem biotických a abiotických škůdců. Tento fakt souvisí s odlivem pracovní síly do jiných odvětví s vyšším pracovním příjmem a menší pracovní námahou. Pokles celkového počtu pracovních sil v lesním hospodářství dokládají údaje z ekonomických účtů pro lesnictví a těžbu dřeva, které obsahují i informaci o počtu ročních pracovních jednotek (odpovídá počtu pracovníků určenému přepočtem na plné úvazky, ať už se jedná o zaměstnance nebo OSVČ). Pokud počet zaměstnanců je více méně stabilizovaný, počet OSVČ každoročně významně klesá.</w:t>
      </w:r>
    </w:p>
    <w:p w14:paraId="35B820D0" w14:textId="62584678" w:rsidR="00A14B9B" w:rsidRPr="002A0D4F" w:rsidRDefault="00831EC5" w:rsidP="00831EC5">
      <w:pPr>
        <w:pStyle w:val="UZEITaB"/>
      </w:pPr>
      <w:bookmarkStart w:id="784" w:name="_Toc25920038"/>
      <w:r>
        <w:rPr>
          <w:rFonts w:eastAsiaTheme="minorEastAsia"/>
        </w:rPr>
        <w:t xml:space="preserve"> </w:t>
      </w:r>
      <w:r w:rsidRPr="002A0D4F">
        <w:rPr>
          <w:rFonts w:eastAsiaTheme="minorEastAsia"/>
        </w:rPr>
        <w:t xml:space="preserve"> </w:t>
      </w:r>
      <w:bookmarkStart w:id="785" w:name="_Toc81815361"/>
      <w:bookmarkStart w:id="786" w:name="_Toc81817039"/>
      <w:bookmarkStart w:id="787" w:name="_Toc81817552"/>
      <w:r w:rsidR="00A14B9B" w:rsidRPr="002A0D4F">
        <w:rPr>
          <w:rFonts w:eastAsiaTheme="minorEastAsia"/>
        </w:rPr>
        <w:t>Vstup pracovní síly do odvětví lesního hospodářství</w:t>
      </w:r>
      <w:bookmarkEnd w:id="784"/>
      <w:bookmarkEnd w:id="785"/>
      <w:bookmarkEnd w:id="786"/>
      <w:bookmarkEnd w:id="787"/>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58"/>
        <w:gridCol w:w="750"/>
        <w:gridCol w:w="750"/>
        <w:gridCol w:w="749"/>
        <w:gridCol w:w="749"/>
        <w:gridCol w:w="749"/>
        <w:gridCol w:w="711"/>
      </w:tblGrid>
      <w:tr w:rsidR="00A14B9B" w:rsidRPr="00831EC5" w14:paraId="75186E0D" w14:textId="77777777" w:rsidTr="00DB1D1D">
        <w:tc>
          <w:tcPr>
            <w:tcW w:w="4792" w:type="dxa"/>
            <w:shd w:val="clear" w:color="auto" w:fill="auto"/>
          </w:tcPr>
          <w:p w14:paraId="73CFA673" w14:textId="77777777" w:rsidR="00A14B9B" w:rsidRPr="00831EC5" w:rsidRDefault="00A14B9B" w:rsidP="00DB1D1D">
            <w:pPr>
              <w:jc w:val="center"/>
              <w:rPr>
                <w:sz w:val="22"/>
                <w:lang w:val="cs-CZ"/>
              </w:rPr>
            </w:pPr>
          </w:p>
        </w:tc>
        <w:tc>
          <w:tcPr>
            <w:tcW w:w="756" w:type="dxa"/>
          </w:tcPr>
          <w:p w14:paraId="00317049" w14:textId="77777777" w:rsidR="00A14B9B" w:rsidRPr="00831EC5" w:rsidRDefault="00A14B9B" w:rsidP="00DB1D1D">
            <w:pPr>
              <w:jc w:val="center"/>
              <w:rPr>
                <w:sz w:val="22"/>
                <w:lang w:val="cs-CZ"/>
              </w:rPr>
            </w:pPr>
            <w:r w:rsidRPr="00831EC5">
              <w:rPr>
                <w:sz w:val="22"/>
                <w:lang w:val="cs-CZ"/>
              </w:rPr>
              <w:t>2012</w:t>
            </w:r>
          </w:p>
        </w:tc>
        <w:tc>
          <w:tcPr>
            <w:tcW w:w="756" w:type="dxa"/>
            <w:shd w:val="clear" w:color="auto" w:fill="auto"/>
          </w:tcPr>
          <w:p w14:paraId="03AD4038" w14:textId="77777777" w:rsidR="00A14B9B" w:rsidRPr="00831EC5" w:rsidRDefault="00A14B9B" w:rsidP="00DB1D1D">
            <w:pPr>
              <w:jc w:val="center"/>
              <w:rPr>
                <w:sz w:val="22"/>
                <w:lang w:val="cs-CZ"/>
              </w:rPr>
            </w:pPr>
            <w:r w:rsidRPr="00831EC5">
              <w:rPr>
                <w:sz w:val="22"/>
                <w:lang w:val="cs-CZ"/>
              </w:rPr>
              <w:t>2013</w:t>
            </w:r>
          </w:p>
        </w:tc>
        <w:tc>
          <w:tcPr>
            <w:tcW w:w="756" w:type="dxa"/>
            <w:shd w:val="clear" w:color="auto" w:fill="auto"/>
          </w:tcPr>
          <w:p w14:paraId="28855174" w14:textId="77777777" w:rsidR="00A14B9B" w:rsidRPr="00831EC5" w:rsidRDefault="00A14B9B" w:rsidP="00DB1D1D">
            <w:pPr>
              <w:jc w:val="center"/>
              <w:rPr>
                <w:sz w:val="22"/>
                <w:lang w:val="cs-CZ"/>
              </w:rPr>
            </w:pPr>
            <w:r w:rsidRPr="00831EC5">
              <w:rPr>
                <w:sz w:val="22"/>
                <w:lang w:val="cs-CZ"/>
              </w:rPr>
              <w:t>2014</w:t>
            </w:r>
          </w:p>
        </w:tc>
        <w:tc>
          <w:tcPr>
            <w:tcW w:w="756" w:type="dxa"/>
            <w:shd w:val="clear" w:color="auto" w:fill="auto"/>
          </w:tcPr>
          <w:p w14:paraId="1D929E54" w14:textId="77777777" w:rsidR="00A14B9B" w:rsidRPr="00831EC5" w:rsidRDefault="00A14B9B" w:rsidP="00DB1D1D">
            <w:pPr>
              <w:jc w:val="center"/>
              <w:rPr>
                <w:sz w:val="22"/>
                <w:lang w:val="cs-CZ"/>
              </w:rPr>
            </w:pPr>
            <w:r w:rsidRPr="00831EC5">
              <w:rPr>
                <w:sz w:val="22"/>
                <w:lang w:val="cs-CZ"/>
              </w:rPr>
              <w:t>2015</w:t>
            </w:r>
          </w:p>
        </w:tc>
        <w:tc>
          <w:tcPr>
            <w:tcW w:w="756" w:type="dxa"/>
            <w:shd w:val="clear" w:color="auto" w:fill="auto"/>
          </w:tcPr>
          <w:p w14:paraId="1CD0BF3E" w14:textId="77777777" w:rsidR="00A14B9B" w:rsidRPr="00831EC5" w:rsidRDefault="00A14B9B" w:rsidP="00DB1D1D">
            <w:pPr>
              <w:jc w:val="center"/>
              <w:rPr>
                <w:sz w:val="22"/>
                <w:lang w:val="cs-CZ"/>
              </w:rPr>
            </w:pPr>
            <w:r w:rsidRPr="00831EC5">
              <w:rPr>
                <w:sz w:val="22"/>
                <w:lang w:val="cs-CZ"/>
              </w:rPr>
              <w:t>2016</w:t>
            </w:r>
          </w:p>
        </w:tc>
        <w:tc>
          <w:tcPr>
            <w:tcW w:w="715" w:type="dxa"/>
          </w:tcPr>
          <w:p w14:paraId="0F456AA1" w14:textId="77777777" w:rsidR="00A14B9B" w:rsidRPr="00831EC5" w:rsidRDefault="00A14B9B" w:rsidP="00DB1D1D">
            <w:pPr>
              <w:jc w:val="center"/>
              <w:rPr>
                <w:sz w:val="22"/>
                <w:lang w:val="cs-CZ"/>
              </w:rPr>
            </w:pPr>
            <w:r w:rsidRPr="00831EC5">
              <w:rPr>
                <w:sz w:val="22"/>
                <w:lang w:val="cs-CZ"/>
              </w:rPr>
              <w:t>2017</w:t>
            </w:r>
          </w:p>
        </w:tc>
      </w:tr>
      <w:tr w:rsidR="00A14B9B" w:rsidRPr="00831EC5" w14:paraId="2E8ACEE2" w14:textId="77777777" w:rsidTr="00DB1D1D">
        <w:tc>
          <w:tcPr>
            <w:tcW w:w="4792" w:type="dxa"/>
            <w:shd w:val="clear" w:color="auto" w:fill="auto"/>
            <w:vAlign w:val="center"/>
          </w:tcPr>
          <w:p w14:paraId="4542DCD3" w14:textId="77777777" w:rsidR="00A14B9B" w:rsidRPr="00831EC5" w:rsidRDefault="00A14B9B" w:rsidP="00DB1D1D">
            <w:pPr>
              <w:jc w:val="left"/>
              <w:rPr>
                <w:sz w:val="22"/>
                <w:lang w:val="cs-CZ"/>
              </w:rPr>
            </w:pPr>
            <w:r w:rsidRPr="00831EC5">
              <w:rPr>
                <w:sz w:val="22"/>
                <w:lang w:val="cs-CZ"/>
              </w:rPr>
              <w:t>Vstup pracovní síly (v tis. ročních pracovních jednotek AWU)</w:t>
            </w:r>
          </w:p>
        </w:tc>
        <w:tc>
          <w:tcPr>
            <w:tcW w:w="756" w:type="dxa"/>
            <w:vAlign w:val="center"/>
          </w:tcPr>
          <w:p w14:paraId="311E62B2" w14:textId="77777777" w:rsidR="00A14B9B" w:rsidRPr="00831EC5" w:rsidRDefault="00A14B9B" w:rsidP="00DB1D1D">
            <w:pPr>
              <w:jc w:val="center"/>
              <w:rPr>
                <w:sz w:val="22"/>
                <w:lang w:val="cs-CZ"/>
              </w:rPr>
            </w:pPr>
            <w:r w:rsidRPr="00831EC5">
              <w:rPr>
                <w:sz w:val="22"/>
                <w:lang w:val="cs-CZ"/>
              </w:rPr>
              <w:t>22,9</w:t>
            </w:r>
          </w:p>
        </w:tc>
        <w:tc>
          <w:tcPr>
            <w:tcW w:w="756" w:type="dxa"/>
            <w:shd w:val="clear" w:color="auto" w:fill="auto"/>
            <w:vAlign w:val="center"/>
          </w:tcPr>
          <w:p w14:paraId="75BD0A8C" w14:textId="77777777" w:rsidR="00A14B9B" w:rsidRPr="00831EC5" w:rsidRDefault="00A14B9B" w:rsidP="00DB1D1D">
            <w:pPr>
              <w:jc w:val="center"/>
              <w:rPr>
                <w:sz w:val="22"/>
                <w:lang w:val="cs-CZ"/>
              </w:rPr>
            </w:pPr>
            <w:r w:rsidRPr="00831EC5">
              <w:rPr>
                <w:sz w:val="22"/>
                <w:lang w:val="cs-CZ"/>
              </w:rPr>
              <w:t>22,1</w:t>
            </w:r>
          </w:p>
        </w:tc>
        <w:tc>
          <w:tcPr>
            <w:tcW w:w="756" w:type="dxa"/>
            <w:shd w:val="clear" w:color="auto" w:fill="auto"/>
            <w:vAlign w:val="center"/>
          </w:tcPr>
          <w:p w14:paraId="704A8C6D" w14:textId="77777777" w:rsidR="00A14B9B" w:rsidRPr="00831EC5" w:rsidRDefault="00A14B9B" w:rsidP="00DB1D1D">
            <w:pPr>
              <w:jc w:val="center"/>
              <w:rPr>
                <w:sz w:val="22"/>
                <w:lang w:val="cs-CZ"/>
              </w:rPr>
            </w:pPr>
            <w:r w:rsidRPr="00831EC5">
              <w:rPr>
                <w:sz w:val="22"/>
                <w:lang w:val="cs-CZ"/>
              </w:rPr>
              <w:t>22,2</w:t>
            </w:r>
          </w:p>
        </w:tc>
        <w:tc>
          <w:tcPr>
            <w:tcW w:w="756" w:type="dxa"/>
            <w:shd w:val="clear" w:color="auto" w:fill="auto"/>
            <w:vAlign w:val="center"/>
          </w:tcPr>
          <w:p w14:paraId="76FA1D44" w14:textId="77777777" w:rsidR="00A14B9B" w:rsidRPr="00831EC5" w:rsidRDefault="00A14B9B" w:rsidP="00DB1D1D">
            <w:pPr>
              <w:jc w:val="center"/>
              <w:rPr>
                <w:sz w:val="22"/>
                <w:lang w:val="cs-CZ"/>
              </w:rPr>
            </w:pPr>
            <w:r w:rsidRPr="00831EC5">
              <w:rPr>
                <w:sz w:val="22"/>
                <w:lang w:val="cs-CZ"/>
              </w:rPr>
              <w:t>21,6</w:t>
            </w:r>
          </w:p>
        </w:tc>
        <w:tc>
          <w:tcPr>
            <w:tcW w:w="756" w:type="dxa"/>
            <w:shd w:val="clear" w:color="auto" w:fill="auto"/>
            <w:vAlign w:val="center"/>
          </w:tcPr>
          <w:p w14:paraId="7441BAA7" w14:textId="77777777" w:rsidR="00A14B9B" w:rsidRPr="00831EC5" w:rsidRDefault="00A14B9B" w:rsidP="00DB1D1D">
            <w:pPr>
              <w:jc w:val="center"/>
              <w:rPr>
                <w:sz w:val="22"/>
                <w:lang w:val="cs-CZ"/>
              </w:rPr>
            </w:pPr>
            <w:r w:rsidRPr="00831EC5">
              <w:rPr>
                <w:sz w:val="22"/>
                <w:lang w:val="cs-CZ"/>
              </w:rPr>
              <w:t>21,5</w:t>
            </w:r>
          </w:p>
        </w:tc>
        <w:tc>
          <w:tcPr>
            <w:tcW w:w="715" w:type="dxa"/>
            <w:vAlign w:val="center"/>
          </w:tcPr>
          <w:p w14:paraId="18A289BD" w14:textId="77777777" w:rsidR="00A14B9B" w:rsidRPr="00831EC5" w:rsidRDefault="00A14B9B" w:rsidP="00DB1D1D">
            <w:pPr>
              <w:jc w:val="center"/>
              <w:rPr>
                <w:sz w:val="22"/>
                <w:lang w:val="cs-CZ"/>
              </w:rPr>
            </w:pPr>
            <w:r w:rsidRPr="00831EC5">
              <w:rPr>
                <w:sz w:val="22"/>
                <w:lang w:val="cs-CZ"/>
              </w:rPr>
              <w:t>21,7</w:t>
            </w:r>
          </w:p>
        </w:tc>
      </w:tr>
      <w:tr w:rsidR="00A14B9B" w:rsidRPr="00831EC5" w14:paraId="6EC77B5B" w14:textId="77777777" w:rsidTr="00DB1D1D">
        <w:tc>
          <w:tcPr>
            <w:tcW w:w="4792" w:type="dxa"/>
            <w:shd w:val="clear" w:color="auto" w:fill="auto"/>
            <w:vAlign w:val="center"/>
          </w:tcPr>
          <w:p w14:paraId="1E2F88EC" w14:textId="77777777" w:rsidR="00A14B9B" w:rsidRPr="00831EC5" w:rsidRDefault="00A14B9B" w:rsidP="00DB1D1D">
            <w:pPr>
              <w:rPr>
                <w:i/>
                <w:sz w:val="22"/>
                <w:lang w:val="cs-CZ"/>
              </w:rPr>
            </w:pPr>
            <w:r w:rsidRPr="00831EC5">
              <w:rPr>
                <w:i/>
                <w:sz w:val="22"/>
                <w:lang w:val="cs-CZ"/>
              </w:rPr>
              <w:t>meziroční změna</w:t>
            </w:r>
          </w:p>
        </w:tc>
        <w:tc>
          <w:tcPr>
            <w:tcW w:w="756" w:type="dxa"/>
          </w:tcPr>
          <w:p w14:paraId="20A490E4" w14:textId="77777777" w:rsidR="00A14B9B" w:rsidRPr="00831EC5" w:rsidRDefault="00A14B9B" w:rsidP="00DB1D1D">
            <w:pPr>
              <w:jc w:val="right"/>
              <w:rPr>
                <w:i/>
                <w:sz w:val="22"/>
                <w:lang w:val="cs-CZ"/>
              </w:rPr>
            </w:pPr>
          </w:p>
        </w:tc>
        <w:tc>
          <w:tcPr>
            <w:tcW w:w="756" w:type="dxa"/>
            <w:shd w:val="clear" w:color="auto" w:fill="auto"/>
            <w:vAlign w:val="center"/>
          </w:tcPr>
          <w:p w14:paraId="6457356C" w14:textId="77777777" w:rsidR="00A14B9B" w:rsidRPr="00831EC5" w:rsidRDefault="00A14B9B" w:rsidP="00DB1D1D">
            <w:pPr>
              <w:jc w:val="right"/>
              <w:rPr>
                <w:i/>
                <w:sz w:val="22"/>
                <w:lang w:val="cs-CZ"/>
              </w:rPr>
            </w:pPr>
            <w:r w:rsidRPr="00831EC5">
              <w:rPr>
                <w:i/>
                <w:sz w:val="22"/>
                <w:lang w:val="cs-CZ"/>
              </w:rPr>
              <w:t>-3 %</w:t>
            </w:r>
          </w:p>
        </w:tc>
        <w:tc>
          <w:tcPr>
            <w:tcW w:w="756" w:type="dxa"/>
            <w:shd w:val="clear" w:color="auto" w:fill="auto"/>
            <w:vAlign w:val="center"/>
          </w:tcPr>
          <w:p w14:paraId="00A94BBA" w14:textId="77777777" w:rsidR="00A14B9B" w:rsidRPr="00831EC5" w:rsidRDefault="00A14B9B" w:rsidP="00DB1D1D">
            <w:pPr>
              <w:jc w:val="right"/>
              <w:rPr>
                <w:i/>
                <w:sz w:val="22"/>
                <w:lang w:val="cs-CZ"/>
              </w:rPr>
            </w:pPr>
            <w:r w:rsidRPr="00831EC5">
              <w:rPr>
                <w:i/>
                <w:sz w:val="22"/>
                <w:lang w:val="cs-CZ"/>
              </w:rPr>
              <w:t>+0 %</w:t>
            </w:r>
          </w:p>
        </w:tc>
        <w:tc>
          <w:tcPr>
            <w:tcW w:w="756" w:type="dxa"/>
            <w:shd w:val="clear" w:color="auto" w:fill="auto"/>
            <w:vAlign w:val="center"/>
          </w:tcPr>
          <w:p w14:paraId="79CAC9BA" w14:textId="77777777" w:rsidR="00A14B9B" w:rsidRPr="00831EC5" w:rsidRDefault="00A14B9B" w:rsidP="00DB1D1D">
            <w:pPr>
              <w:jc w:val="right"/>
              <w:rPr>
                <w:i/>
                <w:sz w:val="22"/>
                <w:lang w:val="cs-CZ"/>
              </w:rPr>
            </w:pPr>
            <w:r w:rsidRPr="00831EC5">
              <w:rPr>
                <w:i/>
                <w:sz w:val="22"/>
                <w:lang w:val="cs-CZ"/>
              </w:rPr>
              <w:t>-3 %</w:t>
            </w:r>
          </w:p>
        </w:tc>
        <w:tc>
          <w:tcPr>
            <w:tcW w:w="756" w:type="dxa"/>
            <w:shd w:val="clear" w:color="auto" w:fill="auto"/>
            <w:vAlign w:val="center"/>
          </w:tcPr>
          <w:p w14:paraId="73A9D662" w14:textId="77777777" w:rsidR="00A14B9B" w:rsidRPr="00831EC5" w:rsidRDefault="00A14B9B" w:rsidP="00DB1D1D">
            <w:pPr>
              <w:jc w:val="right"/>
              <w:rPr>
                <w:i/>
                <w:sz w:val="22"/>
                <w:lang w:val="cs-CZ"/>
              </w:rPr>
            </w:pPr>
            <w:r w:rsidRPr="00831EC5">
              <w:rPr>
                <w:i/>
                <w:sz w:val="22"/>
                <w:lang w:val="cs-CZ"/>
              </w:rPr>
              <w:t>-1 %</w:t>
            </w:r>
          </w:p>
        </w:tc>
        <w:tc>
          <w:tcPr>
            <w:tcW w:w="715" w:type="dxa"/>
          </w:tcPr>
          <w:p w14:paraId="5592760C" w14:textId="77777777" w:rsidR="00A14B9B" w:rsidRPr="00831EC5" w:rsidRDefault="00A14B9B" w:rsidP="00DB1D1D">
            <w:pPr>
              <w:jc w:val="right"/>
              <w:rPr>
                <w:i/>
                <w:sz w:val="22"/>
                <w:lang w:val="cs-CZ"/>
              </w:rPr>
            </w:pPr>
            <w:r w:rsidRPr="00831EC5">
              <w:rPr>
                <w:i/>
                <w:sz w:val="22"/>
                <w:lang w:val="cs-CZ"/>
              </w:rPr>
              <w:t>+1 %</w:t>
            </w:r>
          </w:p>
        </w:tc>
      </w:tr>
    </w:tbl>
    <w:p w14:paraId="75D43975" w14:textId="77777777" w:rsidR="00A14B9B" w:rsidRPr="002A0D4F" w:rsidRDefault="00A14B9B" w:rsidP="00831EC5">
      <w:pPr>
        <w:pStyle w:val="UZEIZdroj"/>
      </w:pPr>
      <w:r w:rsidRPr="002A0D4F">
        <w:t>Zdroj: Zpráva o stavu lesa a lesního hospodářství České republiky v roce 2018.  Jedna AWU zahrnuje takový počet hodin, který odpovídá počtu skutečně odpracovaných hodin v rámci plného pracovního úvazku (1 AWU = 1800 hodin)</w:t>
      </w:r>
    </w:p>
    <w:p w14:paraId="0004FBD0" w14:textId="77777777" w:rsidR="001249DA" w:rsidRDefault="00A14B9B" w:rsidP="00831EC5">
      <w:pPr>
        <w:pStyle w:val="UZEINormaln"/>
      </w:pPr>
      <w:r w:rsidRPr="002A0D4F">
        <w:t>Zásadní problém ve výrazném poklesu počtu pracovní síly v oboru je jen částečně kompenzován nasazením výkonných těžebních a dopravních technologií a vyšším využíváním přirozené obnovy lesa, v pěstební činnosti. Za aktuálního odlivu kvalifikované pracovní síly z lesního hospodářství do jiných odvětví nelze kalamity včas zpracovat a zamezit tak dalšímu šíření škodlivých činitelů. Stav na trhu práce v lesním hospodářství se tak stává kritickým problémem z hlediska trvalé udržitelnosti hospodaření v lese.</w:t>
      </w:r>
    </w:p>
    <w:p w14:paraId="711FE086" w14:textId="77777777" w:rsidR="001249DA" w:rsidRDefault="001249DA">
      <w:pPr>
        <w:spacing w:after="160" w:line="259" w:lineRule="auto"/>
        <w:jc w:val="left"/>
        <w:rPr>
          <w:rFonts w:eastAsia="Times New Roman" w:cstheme="minorHAnsi"/>
          <w:szCs w:val="24"/>
          <w:lang w:val="cs-CZ" w:eastAsia="cs-CZ"/>
        </w:rPr>
      </w:pPr>
      <w:r>
        <w:br w:type="page"/>
      </w:r>
    </w:p>
    <w:p w14:paraId="1FD1EA54" w14:textId="5A3CFF6D" w:rsidR="00A14B9B" w:rsidRPr="001249DA" w:rsidRDefault="00A14B9B" w:rsidP="00831EC5">
      <w:pPr>
        <w:pStyle w:val="UZEINormaln"/>
      </w:pPr>
      <w:r w:rsidRPr="00831EC5">
        <w:rPr>
          <w:rFonts w:eastAsiaTheme="majorEastAsia"/>
          <w:b/>
          <w:bCs/>
        </w:rPr>
        <w:lastRenderedPageBreak/>
        <w:t xml:space="preserve">Mzdová úroveň na venkově </w:t>
      </w:r>
    </w:p>
    <w:p w14:paraId="53175728" w14:textId="30454318" w:rsidR="00A14B9B" w:rsidRPr="00831EC5" w:rsidRDefault="00831EC5" w:rsidP="00831EC5">
      <w:pPr>
        <w:pStyle w:val="UZEITaB"/>
        <w:ind w:left="0" w:firstLine="0"/>
      </w:pPr>
      <w:bookmarkStart w:id="788" w:name="_Toc25920039"/>
      <w:r>
        <w:rPr>
          <w:rFonts w:eastAsiaTheme="majorEastAsia"/>
        </w:rPr>
        <w:t xml:space="preserve"> </w:t>
      </w:r>
      <w:bookmarkStart w:id="789" w:name="_Toc81815362"/>
      <w:bookmarkStart w:id="790" w:name="_Toc81817040"/>
      <w:bookmarkStart w:id="791" w:name="_Toc81817553"/>
      <w:r w:rsidR="00A14B9B" w:rsidRPr="00831EC5">
        <w:rPr>
          <w:rFonts w:eastAsiaTheme="majorEastAsia"/>
        </w:rPr>
        <w:t xml:space="preserve">Vývoj průměrných mezd v krajích a </w:t>
      </w:r>
      <w:r w:rsidR="00A14B9B" w:rsidRPr="00831EC5">
        <w:t>dle typologie městských a venkovských regionů (NUTS3)</w:t>
      </w:r>
      <w:r w:rsidR="00A14B9B" w:rsidRPr="00831EC5">
        <w:rPr>
          <w:rFonts w:eastAsiaTheme="majorEastAsia"/>
        </w:rPr>
        <w:t xml:space="preserve"> v letech 2011-2019 (Kč)</w:t>
      </w:r>
      <w:bookmarkEnd w:id="788"/>
      <w:bookmarkEnd w:id="789"/>
      <w:bookmarkEnd w:id="790"/>
      <w:bookmarkEnd w:id="791"/>
    </w:p>
    <w:p w14:paraId="41776DAD" w14:textId="77777777" w:rsidR="00A14B9B" w:rsidRPr="002A0D4F" w:rsidRDefault="00A14B9B" w:rsidP="00A14B9B">
      <w:pPr>
        <w:rPr>
          <w:lang w:val="cs-CZ"/>
        </w:rPr>
      </w:pPr>
      <w:r w:rsidRPr="002A0D4F">
        <w:rPr>
          <w:noProof/>
          <w:lang w:val="cs-CZ" w:eastAsia="cs-CZ"/>
        </w:rPr>
        <w:drawing>
          <wp:inline distT="0" distB="0" distL="0" distR="0" wp14:anchorId="59C5DBC1" wp14:editId="168C5029">
            <wp:extent cx="5535930" cy="3665855"/>
            <wp:effectExtent l="0" t="0" r="7620" b="0"/>
            <wp:docPr id="1737972140" name="Obrázek 1737972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5535930" cy="3665855"/>
                    </a:xfrm>
                    <a:prstGeom prst="rect">
                      <a:avLst/>
                    </a:prstGeom>
                    <a:noFill/>
                    <a:ln>
                      <a:noFill/>
                    </a:ln>
                  </pic:spPr>
                </pic:pic>
              </a:graphicData>
            </a:graphic>
          </wp:inline>
        </w:drawing>
      </w:r>
      <w:r w:rsidRPr="002A0D4F">
        <w:rPr>
          <w:noProof/>
          <w:lang w:val="cs-CZ" w:eastAsia="cs-CZ"/>
        </w:rPr>
        <w:drawing>
          <wp:inline distT="0" distB="0" distL="0" distR="0" wp14:anchorId="1FEBEE97" wp14:editId="392CEB73">
            <wp:extent cx="5753098" cy="3524250"/>
            <wp:effectExtent l="0" t="0" r="0" b="0"/>
            <wp:docPr id="1076239097" name="Picture 853449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3449164"/>
                    <pic:cNvPicPr/>
                  </pic:nvPicPr>
                  <pic:blipFill>
                    <a:blip r:embed="rId158">
                      <a:extLst>
                        <a:ext uri="{28A0092B-C50C-407E-A947-70E740481C1C}">
                          <a14:useLocalDpi xmlns:a14="http://schemas.microsoft.com/office/drawing/2010/main" val="0"/>
                        </a:ext>
                      </a:extLst>
                    </a:blip>
                    <a:stretch>
                      <a:fillRect/>
                    </a:stretch>
                  </pic:blipFill>
                  <pic:spPr>
                    <a:xfrm>
                      <a:off x="0" y="0"/>
                      <a:ext cx="5753098" cy="3524250"/>
                    </a:xfrm>
                    <a:prstGeom prst="rect">
                      <a:avLst/>
                    </a:prstGeom>
                  </pic:spPr>
                </pic:pic>
              </a:graphicData>
            </a:graphic>
          </wp:inline>
        </w:drawing>
      </w:r>
    </w:p>
    <w:p w14:paraId="1DB75F04" w14:textId="77777777" w:rsidR="00A14B9B" w:rsidRPr="002A0D4F" w:rsidRDefault="00A14B9B" w:rsidP="00831EC5">
      <w:pPr>
        <w:pStyle w:val="UZEIZdroj"/>
      </w:pPr>
      <w:r w:rsidRPr="002A0D4F">
        <w:t>Zdroj: ČSÚ, Veřejná databáze</w:t>
      </w:r>
      <w:bookmarkStart w:id="792" w:name="_Toc525727651"/>
      <w:bookmarkStart w:id="793" w:name="_Toc525735938"/>
    </w:p>
    <w:p w14:paraId="1EC4D5C7" w14:textId="77777777" w:rsidR="00A14B9B" w:rsidRPr="002A0D4F" w:rsidRDefault="00A14B9B" w:rsidP="00A14B9B">
      <w:pPr>
        <w:pStyle w:val="Titulek"/>
        <w:spacing w:after="0"/>
        <w:jc w:val="left"/>
        <w:rPr>
          <w:rFonts w:asciiTheme="minorHAnsi" w:eastAsiaTheme="minorEastAsia" w:hAnsiTheme="minorHAnsi" w:cstheme="minorBidi"/>
          <w:b w:val="0"/>
          <w:bCs w:val="0"/>
          <w:i/>
          <w:iCs/>
          <w:sz w:val="22"/>
          <w:szCs w:val="22"/>
        </w:rPr>
      </w:pPr>
    </w:p>
    <w:p w14:paraId="49A6026E" w14:textId="77777777" w:rsidR="00831EC5" w:rsidRDefault="00831EC5">
      <w:pPr>
        <w:spacing w:after="160" w:line="259" w:lineRule="auto"/>
        <w:jc w:val="left"/>
        <w:rPr>
          <w:rFonts w:eastAsiaTheme="minorEastAsia" w:cs="Arial"/>
          <w:b/>
          <w:noProof/>
          <w:sz w:val="20"/>
          <w:szCs w:val="20"/>
          <w:lang w:val="cs-CZ" w:eastAsia="cs-CZ"/>
        </w:rPr>
      </w:pPr>
      <w:bookmarkStart w:id="794" w:name="_Toc25919914"/>
      <w:r>
        <w:rPr>
          <w:rFonts w:eastAsiaTheme="minorEastAsia"/>
        </w:rPr>
        <w:br w:type="page"/>
      </w:r>
    </w:p>
    <w:p w14:paraId="0049E50D" w14:textId="250B9D80" w:rsidR="00A14B9B" w:rsidRPr="00831EC5" w:rsidRDefault="00A14B9B" w:rsidP="00831EC5">
      <w:pPr>
        <w:pStyle w:val="UZEIObr"/>
        <w:ind w:left="0" w:firstLine="0"/>
        <w:rPr>
          <w:rFonts w:eastAsiaTheme="minorEastAsia"/>
        </w:rPr>
      </w:pPr>
      <w:bookmarkStart w:id="795" w:name="_Ref81774071"/>
      <w:bookmarkStart w:id="796" w:name="_Toc81815455"/>
      <w:bookmarkStart w:id="797" w:name="_Toc81817660"/>
      <w:r w:rsidRPr="00831EC5">
        <w:rPr>
          <w:rFonts w:eastAsiaTheme="minorEastAsia"/>
        </w:rPr>
        <w:lastRenderedPageBreak/>
        <w:t xml:space="preserve">Vývoj průměrných mezd </w:t>
      </w:r>
      <w:r w:rsidRPr="00831EC5">
        <w:t xml:space="preserve">dle typologie městských a venkovských regionů (NUTS3) </w:t>
      </w:r>
      <w:r w:rsidRPr="00831EC5">
        <w:rPr>
          <w:rFonts w:eastAsiaTheme="minorEastAsia"/>
        </w:rPr>
        <w:t>v letech 2011-2019 (Kč)</w:t>
      </w:r>
      <w:bookmarkEnd w:id="792"/>
      <w:bookmarkEnd w:id="793"/>
      <w:bookmarkEnd w:id="794"/>
      <w:bookmarkEnd w:id="795"/>
      <w:bookmarkEnd w:id="796"/>
      <w:bookmarkEnd w:id="797"/>
    </w:p>
    <w:p w14:paraId="2DE4C837" w14:textId="77777777" w:rsidR="00A14B9B" w:rsidRPr="002A0D4F" w:rsidRDefault="00A14B9B" w:rsidP="00A14B9B">
      <w:pPr>
        <w:rPr>
          <w:lang w:val="cs-CZ"/>
        </w:rPr>
      </w:pPr>
      <w:r w:rsidRPr="002A0D4F">
        <w:rPr>
          <w:noProof/>
          <w:lang w:val="cs-CZ" w:eastAsia="cs-CZ"/>
        </w:rPr>
        <w:drawing>
          <wp:inline distT="0" distB="0" distL="0" distR="0" wp14:anchorId="0B517764" wp14:editId="4F5DFE49">
            <wp:extent cx="5601730" cy="2743200"/>
            <wp:effectExtent l="0" t="0" r="18415" b="0"/>
            <wp:docPr id="3022919" name="Graf 3022919">
              <a:extLst xmlns:a="http://schemas.openxmlformats.org/drawingml/2006/main">
                <a:ext uri="{FF2B5EF4-FFF2-40B4-BE49-F238E27FC236}">
                  <a16:creationId xmlns:a16="http://schemas.microsoft.com/office/drawing/2014/main" id="{946A4061-6F74-4276-870D-7C61C006B75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9"/>
              </a:graphicData>
            </a:graphic>
          </wp:inline>
        </w:drawing>
      </w:r>
      <w:r w:rsidRPr="002A0D4F">
        <w:rPr>
          <w:noProof/>
          <w:lang w:val="cs-CZ" w:eastAsia="cs-CZ"/>
        </w:rPr>
        <w:drawing>
          <wp:inline distT="0" distB="0" distL="0" distR="0" wp14:anchorId="63F110E2" wp14:editId="32218A31">
            <wp:extent cx="5600700" cy="2743200"/>
            <wp:effectExtent l="0" t="0" r="0" b="0"/>
            <wp:docPr id="1666503773" name="Picture 1378012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8012010"/>
                    <pic:cNvPicPr/>
                  </pic:nvPicPr>
                  <pic:blipFill>
                    <a:blip r:embed="rId160">
                      <a:extLst>
                        <a:ext uri="{28A0092B-C50C-407E-A947-70E740481C1C}">
                          <a14:useLocalDpi xmlns:a14="http://schemas.microsoft.com/office/drawing/2010/main" val="0"/>
                        </a:ext>
                      </a:extLst>
                    </a:blip>
                    <a:stretch>
                      <a:fillRect/>
                    </a:stretch>
                  </pic:blipFill>
                  <pic:spPr>
                    <a:xfrm>
                      <a:off x="0" y="0"/>
                      <a:ext cx="5600700" cy="2743200"/>
                    </a:xfrm>
                    <a:prstGeom prst="rect">
                      <a:avLst/>
                    </a:prstGeom>
                  </pic:spPr>
                </pic:pic>
              </a:graphicData>
            </a:graphic>
          </wp:inline>
        </w:drawing>
      </w:r>
    </w:p>
    <w:p w14:paraId="3CE1AB11" w14:textId="77777777" w:rsidR="00A14B9B" w:rsidRPr="002A0D4F" w:rsidRDefault="00A14B9B" w:rsidP="00831EC5">
      <w:pPr>
        <w:pStyle w:val="UZEIZdroj"/>
      </w:pPr>
      <w:r w:rsidRPr="002A0D4F">
        <w:t>Zdroj: ČSÚ, Veřejná databáze</w:t>
      </w:r>
    </w:p>
    <w:p w14:paraId="386C7F2C" w14:textId="57C8A0C0" w:rsidR="00A14B9B" w:rsidRPr="002A0D4F" w:rsidRDefault="00A14B9B" w:rsidP="00831EC5">
      <w:pPr>
        <w:pStyle w:val="UZEINormaln"/>
      </w:pPr>
      <w:r w:rsidRPr="002A0D4F">
        <w:t xml:space="preserve">Nejvyšších průměrných mezd v ČR dosahovaly v období 2011-2019 převážně městské regiony, a to s poměrně velkým odstupem od regionů smíšených a převážně venkovských, přičemž mezi těmito dvěma kategoriemi regionů již byly rozdíly nepoměrně </w:t>
      </w:r>
      <w:r w:rsidRPr="002A0D4F">
        <w:rPr>
          <w:color w:val="000000" w:themeColor="text1"/>
        </w:rPr>
        <w:t>menší (</w:t>
      </w:r>
      <w:r w:rsidR="00831EC5">
        <w:rPr>
          <w:color w:val="000000" w:themeColor="text1"/>
        </w:rPr>
        <w:fldChar w:fldCharType="begin"/>
      </w:r>
      <w:r w:rsidR="00831EC5">
        <w:rPr>
          <w:color w:val="000000" w:themeColor="text1"/>
        </w:rPr>
        <w:instrText xml:space="preserve"> REF _Ref81774071 \r \h </w:instrText>
      </w:r>
      <w:r w:rsidR="00831EC5">
        <w:rPr>
          <w:color w:val="000000" w:themeColor="text1"/>
        </w:rPr>
      </w:r>
      <w:r w:rsidR="00831EC5">
        <w:rPr>
          <w:color w:val="000000" w:themeColor="text1"/>
        </w:rPr>
        <w:fldChar w:fldCharType="separate"/>
      </w:r>
      <w:r w:rsidR="00831EC5">
        <w:rPr>
          <w:color w:val="000000" w:themeColor="text1"/>
        </w:rPr>
        <w:t>Obrázek 74</w:t>
      </w:r>
      <w:r w:rsidR="00831EC5">
        <w:rPr>
          <w:color w:val="000000" w:themeColor="text1"/>
        </w:rPr>
        <w:fldChar w:fldCharType="end"/>
      </w:r>
      <w:r w:rsidRPr="002A0D4F">
        <w:rPr>
          <w:color w:val="000000" w:themeColor="text1"/>
        </w:rPr>
        <w:t xml:space="preserve">). Převážně venkovské regiony tak ztrácely po celé období ve srovnání s převážně </w:t>
      </w:r>
      <w:r w:rsidRPr="002A0D4F">
        <w:t xml:space="preserve">městskými regiony na průměrné mzdě 7,6-8,8 tis. Kč, zatímco k dosažení úrovně v regionech smíšených jim scházelo jen 0,5-0,7 tis. Kč. Relativně rostly mzdy nejpomaleji v převážně městských regionech celkem (v Hlavním městě Praze; ve Středočeském kraji byl nárůst nadprůměrný), ve zbývajících dvou kategoriích regionů bylo tempo růstu velmi podobné (přičemž nepatrně rychlejší bylo v regionech převážně venkovských). </w:t>
      </w:r>
    </w:p>
    <w:p w14:paraId="35578637" w14:textId="77777777" w:rsidR="00A14B9B" w:rsidRPr="002A0D4F" w:rsidRDefault="00A14B9B" w:rsidP="00831EC5">
      <w:pPr>
        <w:pStyle w:val="UZEINormaln"/>
      </w:pPr>
      <w:r w:rsidRPr="002A0D4F">
        <w:t>V rámci jednotlivých krajů ČR dosahovaly po celé období nejnižších mezd kraje Karlovarský (smíšený) a Zlínský (převážně venkovský; v podobné situaci se nachází i další kraje z této kategorie, a to Pardubický a Olomoucký). Naopak nejvyšší úroveň mezd drželo Hlavní město Praha – rozdíl při srovnání s krajem Karlovarským se pohyboval mezi 11,3-12,6 tis. Kč. Ve všech krajích narostl ve sledovaném období počet zaměstnanců, nejmasivněji v Praze a Středočeském kraji; výjimkou byl již zmíněný kraj Karlovarský, v němž došlo k poklesu.</w:t>
      </w:r>
    </w:p>
    <w:p w14:paraId="79C4AD8A" w14:textId="3C65AEF4" w:rsidR="00A14B9B" w:rsidRPr="002A0D4F" w:rsidRDefault="00A14B9B" w:rsidP="00831EC5">
      <w:pPr>
        <w:pStyle w:val="UZEINormaln"/>
        <w:rPr>
          <w:iCs/>
          <w:color w:val="000000" w:themeColor="text1"/>
        </w:rPr>
      </w:pPr>
      <w:r w:rsidRPr="002A0D4F">
        <w:lastRenderedPageBreak/>
        <w:t>Porovnáme-li mediány mezd v krajích, získáme podobný obraz jako při porovnání mzdových průměrů, přičemž však rozdíly mezi kraji či jejich kategoriemi jsou poněkud nižší (</w:t>
      </w:r>
      <w:r w:rsidR="00D06915">
        <w:rPr>
          <w:color w:val="000000" w:themeColor="text1"/>
        </w:rPr>
        <w:fldChar w:fldCharType="begin"/>
      </w:r>
      <w:r w:rsidR="00D06915">
        <w:instrText xml:space="preserve"> REF _Ref81774123 \r \h </w:instrText>
      </w:r>
      <w:r w:rsidR="00D06915">
        <w:rPr>
          <w:color w:val="000000" w:themeColor="text1"/>
        </w:rPr>
      </w:r>
      <w:r w:rsidR="00D06915">
        <w:rPr>
          <w:color w:val="000000" w:themeColor="text1"/>
        </w:rPr>
        <w:fldChar w:fldCharType="separate"/>
      </w:r>
      <w:r w:rsidR="00D06915">
        <w:t>Obrázek 75</w:t>
      </w:r>
      <w:r w:rsidR="00D06915">
        <w:rPr>
          <w:color w:val="000000" w:themeColor="text1"/>
        </w:rPr>
        <w:fldChar w:fldCharType="end"/>
      </w:r>
      <w:r w:rsidRPr="002A0D4F">
        <w:rPr>
          <w:color w:val="000000" w:themeColor="text1"/>
        </w:rPr>
        <w:t>).</w:t>
      </w:r>
    </w:p>
    <w:p w14:paraId="291766C0" w14:textId="692A0DA5" w:rsidR="00A14B9B" w:rsidRPr="00831EC5" w:rsidRDefault="00A14B9B" w:rsidP="00D06915">
      <w:pPr>
        <w:pStyle w:val="UZEIObr"/>
        <w:ind w:left="0" w:firstLine="0"/>
        <w:rPr>
          <w:rFonts w:eastAsiaTheme="minorEastAsia"/>
        </w:rPr>
      </w:pPr>
      <w:bookmarkStart w:id="798" w:name="_Toc525727652"/>
      <w:bookmarkStart w:id="799" w:name="_Toc525735939"/>
      <w:bookmarkStart w:id="800" w:name="_Toc25919915"/>
      <w:bookmarkStart w:id="801" w:name="_Ref81774123"/>
      <w:bookmarkStart w:id="802" w:name="_Toc81815456"/>
      <w:bookmarkStart w:id="803" w:name="_Toc81817661"/>
      <w:r w:rsidRPr="00831EC5">
        <w:rPr>
          <w:rFonts w:eastAsiaTheme="minorEastAsia"/>
        </w:rPr>
        <w:t>Vývoj mediánů mezd dle typologie městských a venkovských regionů (NUTS3) v letech 2011-2019 (Kč)</w:t>
      </w:r>
      <w:bookmarkEnd w:id="798"/>
      <w:bookmarkEnd w:id="799"/>
      <w:bookmarkEnd w:id="800"/>
      <w:bookmarkEnd w:id="801"/>
      <w:bookmarkEnd w:id="802"/>
      <w:bookmarkEnd w:id="803"/>
    </w:p>
    <w:p w14:paraId="01CD8D60" w14:textId="77777777" w:rsidR="00A14B9B" w:rsidRPr="002A0D4F" w:rsidRDefault="00A14B9B" w:rsidP="00A14B9B">
      <w:pPr>
        <w:rPr>
          <w:sz w:val="22"/>
          <w:lang w:val="cs-CZ"/>
        </w:rPr>
      </w:pPr>
    </w:p>
    <w:p w14:paraId="45B54323" w14:textId="77777777" w:rsidR="00A14B9B" w:rsidRPr="002A0D4F" w:rsidRDefault="00A14B9B" w:rsidP="00D06915">
      <w:pPr>
        <w:pStyle w:val="UZEIZdroj"/>
      </w:pPr>
      <w:r w:rsidRPr="002A0D4F">
        <w:rPr>
          <w:noProof/>
          <w:lang w:eastAsia="cs-CZ"/>
        </w:rPr>
        <w:drawing>
          <wp:inline distT="0" distB="0" distL="0" distR="0" wp14:anchorId="4BBF3658" wp14:editId="01949ED2">
            <wp:extent cx="5743575" cy="2752725"/>
            <wp:effectExtent l="0" t="0" r="0" b="0"/>
            <wp:docPr id="1227515628" name="Picture 19773759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7375981"/>
                    <pic:cNvPicPr/>
                  </pic:nvPicPr>
                  <pic:blipFill>
                    <a:blip r:embed="rId161">
                      <a:extLst>
                        <a:ext uri="{28A0092B-C50C-407E-A947-70E740481C1C}">
                          <a14:useLocalDpi xmlns:a14="http://schemas.microsoft.com/office/drawing/2010/main" val="0"/>
                        </a:ext>
                      </a:extLst>
                    </a:blip>
                    <a:stretch>
                      <a:fillRect/>
                    </a:stretch>
                  </pic:blipFill>
                  <pic:spPr>
                    <a:xfrm>
                      <a:off x="0" y="0"/>
                      <a:ext cx="5743575" cy="2752725"/>
                    </a:xfrm>
                    <a:prstGeom prst="rect">
                      <a:avLst/>
                    </a:prstGeom>
                  </pic:spPr>
                </pic:pic>
              </a:graphicData>
            </a:graphic>
          </wp:inline>
        </w:drawing>
      </w:r>
      <w:r w:rsidRPr="002A0D4F">
        <w:t>Zdroj: ČSÚ, Veřejná databáze</w:t>
      </w:r>
    </w:p>
    <w:p w14:paraId="55DD7673" w14:textId="77777777" w:rsidR="00A14B9B" w:rsidRPr="002A0D4F" w:rsidRDefault="00A14B9B" w:rsidP="00D06915">
      <w:pPr>
        <w:pStyle w:val="UZEIZdroj"/>
      </w:pPr>
      <w:r w:rsidRPr="002A0D4F">
        <w:t>Zpracování: ÚZEI</w:t>
      </w:r>
    </w:p>
    <w:p w14:paraId="2C15F75D" w14:textId="77777777" w:rsidR="00A14B9B" w:rsidRPr="00D06915" w:rsidRDefault="00A14B9B" w:rsidP="00D06915">
      <w:pPr>
        <w:pStyle w:val="UZEINormaln"/>
      </w:pPr>
      <w:r w:rsidRPr="00D06915">
        <w:t xml:space="preserve">Zmíněné vysoké rozdíly v příjmové úrovni mezi převážně venkovskými a smíšenými regiony ve srovnání s převážně městskými regiony představují vážný problém – stimulují pracovníky z „chudších“ regionů k hledání lukrativnější práce v největším centru zaměstnanosti ve státě, tj. v Praze a Středočeském kraji. Sílu této přitažlivosti dokumentuje enormní nárůst počtu zaměstnanců v tomto centru v období 2011-19, tj. o 15 % (zatímco za zbytek krajů ČR to bylo “pouhých” 5,45 %). Se změnou pracoviště souvisí často i trvalé přestěhování – v tomto případě do prostředí velkého města či jeho blízkého okolí. </w:t>
      </w:r>
    </w:p>
    <w:p w14:paraId="61BF7F9A" w14:textId="32F8F58D" w:rsidR="00A14B9B" w:rsidRPr="00D06915" w:rsidRDefault="00A14B9B" w:rsidP="00D06915">
      <w:pPr>
        <w:pStyle w:val="UZEINormaln"/>
      </w:pPr>
      <w:r w:rsidRPr="00D06915">
        <w:t>Úroveň mezd v zemědělství, v průmyslu a v NH v jednotlivých krajích v časové řadě (</w:t>
      </w:r>
      <w:r w:rsidR="007E02A1">
        <w:t xml:space="preserve">viz </w:t>
      </w:r>
      <w:r w:rsidR="007E02A1">
        <w:fldChar w:fldCharType="begin"/>
      </w:r>
      <w:r w:rsidR="007E02A1">
        <w:instrText xml:space="preserve"> REF _Ref81774634 \r \h </w:instrText>
      </w:r>
      <w:r w:rsidR="007E02A1">
        <w:fldChar w:fldCharType="separate"/>
      </w:r>
      <w:r w:rsidR="007E02A1">
        <w:t>Obrázek 76</w:t>
      </w:r>
      <w:r w:rsidR="007E02A1">
        <w:fldChar w:fldCharType="end"/>
      </w:r>
      <w:r w:rsidR="007E02A1">
        <w:t xml:space="preserve"> – </w:t>
      </w:r>
      <w:r w:rsidR="007E02A1">
        <w:fldChar w:fldCharType="begin"/>
      </w:r>
      <w:r w:rsidR="007E02A1">
        <w:instrText xml:space="preserve"> REF _Ref81774638 \r \h </w:instrText>
      </w:r>
      <w:r w:rsidR="007E02A1">
        <w:fldChar w:fldCharType="separate"/>
      </w:r>
      <w:r w:rsidR="007E02A1">
        <w:t>Obrázek 81</w:t>
      </w:r>
      <w:r w:rsidR="007E02A1">
        <w:fldChar w:fldCharType="end"/>
      </w:r>
      <w:r w:rsidRPr="00D06915">
        <w:t xml:space="preserve">) dokládá nepříznivou pozici zemědělství i z regionálního pohledu. </w:t>
      </w:r>
    </w:p>
    <w:p w14:paraId="0A8F2877" w14:textId="77777777" w:rsidR="00A14B9B" w:rsidRPr="002A0D4F" w:rsidRDefault="00A14B9B" w:rsidP="00A14B9B">
      <w:pPr>
        <w:rPr>
          <w:lang w:val="cs-CZ"/>
        </w:rPr>
      </w:pPr>
      <w:bookmarkStart w:id="804" w:name="_Toc520294115"/>
    </w:p>
    <w:p w14:paraId="311017D3" w14:textId="77777777" w:rsidR="00A14B9B" w:rsidRPr="002A0D4F" w:rsidRDefault="00A14B9B" w:rsidP="00A14B9B">
      <w:pPr>
        <w:spacing w:after="160" w:line="259" w:lineRule="auto"/>
        <w:jc w:val="left"/>
        <w:rPr>
          <w:rFonts w:asciiTheme="majorHAnsi" w:hAnsiTheme="majorHAnsi" w:cstheme="majorBidi"/>
          <w:b/>
          <w:bCs/>
          <w:color w:val="000000" w:themeColor="text1"/>
          <w:sz w:val="22"/>
          <w:lang w:val="cs-CZ"/>
        </w:rPr>
      </w:pPr>
      <w:bookmarkStart w:id="805" w:name="_Toc525727653"/>
      <w:bookmarkStart w:id="806" w:name="_Toc525735940"/>
      <w:bookmarkEnd w:id="804"/>
      <w:r w:rsidRPr="002A0D4F">
        <w:rPr>
          <w:rFonts w:asciiTheme="majorHAnsi" w:hAnsiTheme="majorHAnsi" w:cstheme="majorBidi"/>
          <w:b/>
          <w:bCs/>
          <w:i/>
          <w:iCs/>
          <w:color w:val="000000" w:themeColor="text1"/>
          <w:sz w:val="22"/>
          <w:lang w:val="cs-CZ"/>
        </w:rPr>
        <w:br w:type="page"/>
      </w:r>
    </w:p>
    <w:p w14:paraId="23F3979A" w14:textId="3E28D3E6" w:rsidR="00A14B9B" w:rsidRPr="00D06915" w:rsidRDefault="00A14B9B" w:rsidP="00D06915">
      <w:pPr>
        <w:pStyle w:val="UZEIObr"/>
        <w:ind w:left="0" w:firstLine="0"/>
      </w:pPr>
      <w:bookmarkStart w:id="807" w:name="_Toc25919916"/>
      <w:bookmarkStart w:id="808" w:name="_Ref81774634"/>
      <w:bookmarkStart w:id="809" w:name="_Toc81815457"/>
      <w:bookmarkStart w:id="810" w:name="_Toc81817662"/>
      <w:r w:rsidRPr="00D06915">
        <w:lastRenderedPageBreak/>
        <w:t>Průměrné mzdy v krajích regionu soudržnosti Praha a Střední Čechy v zemědělství, průmyslu a NH (v Kč)</w:t>
      </w:r>
      <w:bookmarkEnd w:id="805"/>
      <w:bookmarkEnd w:id="806"/>
      <w:bookmarkEnd w:id="807"/>
      <w:bookmarkEnd w:id="808"/>
      <w:bookmarkEnd w:id="809"/>
      <w:bookmarkEnd w:id="810"/>
    </w:p>
    <w:p w14:paraId="530BBA66" w14:textId="77777777" w:rsidR="00A14B9B" w:rsidRPr="002A0D4F" w:rsidRDefault="00A14B9B" w:rsidP="00A14B9B">
      <w:pPr>
        <w:rPr>
          <w:lang w:val="cs-CZ"/>
        </w:rPr>
      </w:pPr>
      <w:r w:rsidRPr="002A0D4F">
        <w:rPr>
          <w:noProof/>
          <w:lang w:val="cs-CZ" w:eastAsia="cs-CZ"/>
        </w:rPr>
        <w:drawing>
          <wp:inline distT="0" distB="0" distL="0" distR="0" wp14:anchorId="3D9D9164" wp14:editId="647553B6">
            <wp:extent cx="4543425" cy="2343150"/>
            <wp:effectExtent l="0" t="0" r="9525" b="0"/>
            <wp:docPr id="3022927" name="Graf 3022927">
              <a:extLst xmlns:a="http://schemas.openxmlformats.org/drawingml/2006/main">
                <a:ext uri="{FF2B5EF4-FFF2-40B4-BE49-F238E27FC236}">
                  <a16:creationId xmlns:a16="http://schemas.microsoft.com/office/drawing/2014/main" id="{8C848F97-C1D9-49CB-BED7-131F898E74F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62"/>
              </a:graphicData>
            </a:graphic>
          </wp:inline>
        </w:drawing>
      </w:r>
      <w:r w:rsidRPr="002A0D4F">
        <w:rPr>
          <w:noProof/>
          <w:lang w:val="cs-CZ" w:eastAsia="cs-CZ"/>
        </w:rPr>
        <w:drawing>
          <wp:inline distT="0" distB="0" distL="0" distR="0" wp14:anchorId="7905ADC6" wp14:editId="02480359">
            <wp:extent cx="4533900" cy="2404719"/>
            <wp:effectExtent l="0" t="0" r="0" b="0"/>
            <wp:docPr id="17340678" name="Picture 1249467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9467648"/>
                    <pic:cNvPicPr/>
                  </pic:nvPicPr>
                  <pic:blipFill>
                    <a:blip r:embed="rId163">
                      <a:extLst>
                        <a:ext uri="{28A0092B-C50C-407E-A947-70E740481C1C}">
                          <a14:useLocalDpi xmlns:a14="http://schemas.microsoft.com/office/drawing/2010/main" val="0"/>
                        </a:ext>
                      </a:extLst>
                    </a:blip>
                    <a:stretch>
                      <a:fillRect/>
                    </a:stretch>
                  </pic:blipFill>
                  <pic:spPr>
                    <a:xfrm>
                      <a:off x="0" y="0"/>
                      <a:ext cx="4579593" cy="2428954"/>
                    </a:xfrm>
                    <a:prstGeom prst="rect">
                      <a:avLst/>
                    </a:prstGeom>
                  </pic:spPr>
                </pic:pic>
              </a:graphicData>
            </a:graphic>
          </wp:inline>
        </w:drawing>
      </w:r>
    </w:p>
    <w:p w14:paraId="03FAB187" w14:textId="77777777" w:rsidR="00A14B9B" w:rsidRPr="002A0D4F" w:rsidRDefault="00A14B9B" w:rsidP="00A14B9B">
      <w:pPr>
        <w:rPr>
          <w:lang w:val="cs-CZ"/>
        </w:rPr>
      </w:pPr>
      <w:r w:rsidRPr="002A0D4F">
        <w:rPr>
          <w:noProof/>
          <w:lang w:val="cs-CZ" w:eastAsia="cs-CZ"/>
        </w:rPr>
        <w:drawing>
          <wp:inline distT="0" distB="0" distL="0" distR="0" wp14:anchorId="150F4025" wp14:editId="6C09E9BF">
            <wp:extent cx="4526873" cy="2657475"/>
            <wp:effectExtent l="0" t="0" r="7620" b="0"/>
            <wp:docPr id="1115884453" name="Picture 1115884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5884453"/>
                    <pic:cNvPicPr/>
                  </pic:nvPicPr>
                  <pic:blipFill>
                    <a:blip r:embed="rId164">
                      <a:extLst>
                        <a:ext uri="{28A0092B-C50C-407E-A947-70E740481C1C}">
                          <a14:useLocalDpi xmlns:a14="http://schemas.microsoft.com/office/drawing/2010/main" val="0"/>
                        </a:ext>
                      </a:extLst>
                    </a:blip>
                    <a:stretch>
                      <a:fillRect/>
                    </a:stretch>
                  </pic:blipFill>
                  <pic:spPr>
                    <a:xfrm>
                      <a:off x="0" y="0"/>
                      <a:ext cx="4530289" cy="2659481"/>
                    </a:xfrm>
                    <a:prstGeom prst="rect">
                      <a:avLst/>
                    </a:prstGeom>
                  </pic:spPr>
                </pic:pic>
              </a:graphicData>
            </a:graphic>
          </wp:inline>
        </w:drawing>
      </w:r>
    </w:p>
    <w:p w14:paraId="43792CAF" w14:textId="77777777" w:rsidR="00A14B9B" w:rsidRPr="002A0D4F" w:rsidRDefault="00A14B9B" w:rsidP="00D06915">
      <w:pPr>
        <w:pStyle w:val="UZEIZdroj"/>
      </w:pPr>
      <w:r w:rsidRPr="002A0D4F">
        <w:t>Zdroj: Krajské ročenky, ČSÚ 2013-2020</w:t>
      </w:r>
    </w:p>
    <w:p w14:paraId="1AB40899" w14:textId="77777777" w:rsidR="00A14B9B" w:rsidRPr="002A0D4F" w:rsidRDefault="00A14B9B" w:rsidP="00D06915">
      <w:pPr>
        <w:pStyle w:val="UZEIZdroj"/>
        <w:rPr>
          <w:rFonts w:ascii="Calibri" w:hAnsi="Calibri"/>
          <w:color w:val="000000"/>
          <w:sz w:val="18"/>
          <w:szCs w:val="18"/>
        </w:rPr>
      </w:pPr>
      <w:r w:rsidRPr="002A0D4F">
        <w:rPr>
          <w:rFonts w:ascii="Calibri" w:hAnsi="Calibri"/>
          <w:color w:val="000000"/>
          <w:sz w:val="18"/>
          <w:szCs w:val="18"/>
        </w:rPr>
        <w:t>Zpracování: ÚZEI</w:t>
      </w:r>
    </w:p>
    <w:p w14:paraId="07BA92F4" w14:textId="77777777" w:rsidR="00A14B9B" w:rsidRPr="002A0D4F" w:rsidRDefault="00A14B9B" w:rsidP="00D06915">
      <w:pPr>
        <w:pStyle w:val="UZEIZdroj"/>
        <w:rPr>
          <w:rFonts w:cstheme="majorHAnsi"/>
        </w:rPr>
      </w:pPr>
      <w:r w:rsidRPr="002A0D4F">
        <w:rPr>
          <w:rFonts w:cstheme="majorHAnsi"/>
        </w:rPr>
        <w:t>Zkratky: PHA – hl. m. Praha; STC – Středočeský</w:t>
      </w:r>
    </w:p>
    <w:p w14:paraId="00354E0B" w14:textId="77777777" w:rsidR="00D06915" w:rsidRDefault="00D06915">
      <w:pPr>
        <w:spacing w:after="160" w:line="259" w:lineRule="auto"/>
        <w:jc w:val="left"/>
        <w:rPr>
          <w:rFonts w:eastAsia="Times New Roman" w:cs="Arial"/>
          <w:b/>
          <w:noProof/>
          <w:sz w:val="20"/>
          <w:szCs w:val="20"/>
          <w:lang w:val="cs-CZ" w:eastAsia="cs-CZ"/>
        </w:rPr>
      </w:pPr>
      <w:bookmarkStart w:id="811" w:name="_Toc525727654"/>
      <w:bookmarkStart w:id="812" w:name="_Toc525735941"/>
      <w:bookmarkStart w:id="813" w:name="_Toc25919917"/>
      <w:r>
        <w:br w:type="page"/>
      </w:r>
    </w:p>
    <w:p w14:paraId="1BA4450D" w14:textId="1E2B5A56" w:rsidR="00A14B9B" w:rsidRPr="00D06915" w:rsidRDefault="00A14B9B" w:rsidP="00D06915">
      <w:pPr>
        <w:pStyle w:val="UZEIObr"/>
      </w:pPr>
      <w:bookmarkStart w:id="814" w:name="_Toc81815458"/>
      <w:bookmarkStart w:id="815" w:name="_Toc81817663"/>
      <w:r w:rsidRPr="00D06915">
        <w:lastRenderedPageBreak/>
        <w:t>Průměrné mzdy v krajích regionu soudržnosti Jihozápad v zemědělství, průmyslu a NH (v Kč)</w:t>
      </w:r>
      <w:bookmarkEnd w:id="811"/>
      <w:bookmarkEnd w:id="812"/>
      <w:bookmarkEnd w:id="813"/>
      <w:bookmarkEnd w:id="814"/>
      <w:bookmarkEnd w:id="815"/>
    </w:p>
    <w:p w14:paraId="169BFBA9" w14:textId="77777777" w:rsidR="00A14B9B" w:rsidRPr="002A0D4F" w:rsidRDefault="00A14B9B" w:rsidP="00A14B9B">
      <w:pPr>
        <w:rPr>
          <w:lang w:val="cs-CZ"/>
        </w:rPr>
      </w:pPr>
      <w:r w:rsidRPr="002A0D4F">
        <w:rPr>
          <w:noProof/>
          <w:lang w:val="cs-CZ" w:eastAsia="cs-CZ"/>
        </w:rPr>
        <w:drawing>
          <wp:inline distT="0" distB="0" distL="0" distR="0" wp14:anchorId="30327B12" wp14:editId="1BA83A8E">
            <wp:extent cx="5142015" cy="3075710"/>
            <wp:effectExtent l="0" t="0" r="1905" b="10795"/>
            <wp:docPr id="3022929" name="Graf 3022929">
              <a:extLst xmlns:a="http://schemas.openxmlformats.org/drawingml/2006/main">
                <a:ext uri="{FF2B5EF4-FFF2-40B4-BE49-F238E27FC236}">
                  <a16:creationId xmlns:a16="http://schemas.microsoft.com/office/drawing/2014/main" id="{2C5E40EA-F57D-4147-BA72-22C35B805E7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65"/>
              </a:graphicData>
            </a:graphic>
          </wp:inline>
        </w:drawing>
      </w:r>
    </w:p>
    <w:p w14:paraId="791249A6" w14:textId="77777777" w:rsidR="00A14B9B" w:rsidRPr="002A0D4F" w:rsidRDefault="00A14B9B" w:rsidP="00A14B9B">
      <w:pPr>
        <w:rPr>
          <w:lang w:val="cs-CZ"/>
        </w:rPr>
      </w:pPr>
    </w:p>
    <w:p w14:paraId="4DA05B8B" w14:textId="77777777" w:rsidR="00A14B9B" w:rsidRPr="002A0D4F" w:rsidRDefault="00A14B9B" w:rsidP="00A14B9B">
      <w:pPr>
        <w:rPr>
          <w:lang w:val="cs-CZ"/>
        </w:rPr>
      </w:pPr>
      <w:r w:rsidRPr="002A0D4F">
        <w:rPr>
          <w:noProof/>
          <w:lang w:val="cs-CZ" w:eastAsia="cs-CZ"/>
        </w:rPr>
        <w:drawing>
          <wp:inline distT="0" distB="0" distL="0" distR="0" wp14:anchorId="1FDB2B56" wp14:editId="1B69EB46">
            <wp:extent cx="5141522" cy="3095625"/>
            <wp:effectExtent l="0" t="0" r="2540" b="0"/>
            <wp:docPr id="365280251" name="Picture 365280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280251"/>
                    <pic:cNvPicPr/>
                  </pic:nvPicPr>
                  <pic:blipFill>
                    <a:blip r:embed="rId166">
                      <a:extLst>
                        <a:ext uri="{28A0092B-C50C-407E-A947-70E740481C1C}">
                          <a14:useLocalDpi xmlns:a14="http://schemas.microsoft.com/office/drawing/2010/main" val="0"/>
                        </a:ext>
                      </a:extLst>
                    </a:blip>
                    <a:stretch>
                      <a:fillRect/>
                    </a:stretch>
                  </pic:blipFill>
                  <pic:spPr>
                    <a:xfrm>
                      <a:off x="0" y="0"/>
                      <a:ext cx="5156192" cy="3104457"/>
                    </a:xfrm>
                    <a:prstGeom prst="rect">
                      <a:avLst/>
                    </a:prstGeom>
                  </pic:spPr>
                </pic:pic>
              </a:graphicData>
            </a:graphic>
          </wp:inline>
        </w:drawing>
      </w:r>
    </w:p>
    <w:p w14:paraId="1BE4AF40" w14:textId="77777777" w:rsidR="00A14B9B" w:rsidRPr="002A0D4F" w:rsidRDefault="00A14B9B" w:rsidP="00D06915">
      <w:pPr>
        <w:pStyle w:val="UZEIZdroj"/>
      </w:pPr>
      <w:r w:rsidRPr="002A0D4F">
        <w:t>Zdroj: Krajské ročenky, ČSÚ 2013-2020</w:t>
      </w:r>
    </w:p>
    <w:p w14:paraId="2F23F63B" w14:textId="77777777" w:rsidR="00A14B9B" w:rsidRPr="002A0D4F" w:rsidRDefault="00A14B9B" w:rsidP="00D06915">
      <w:pPr>
        <w:pStyle w:val="UZEIZdroj"/>
        <w:rPr>
          <w:rFonts w:ascii="Calibri" w:hAnsi="Calibri"/>
          <w:color w:val="000000" w:themeColor="text1"/>
          <w:sz w:val="18"/>
          <w:szCs w:val="18"/>
        </w:rPr>
      </w:pPr>
      <w:r w:rsidRPr="002A0D4F">
        <w:rPr>
          <w:rFonts w:ascii="Calibri" w:hAnsi="Calibri"/>
          <w:color w:val="000000" w:themeColor="text1"/>
          <w:sz w:val="18"/>
          <w:szCs w:val="18"/>
        </w:rPr>
        <w:t>Zpracování: ÚZEI</w:t>
      </w:r>
    </w:p>
    <w:p w14:paraId="11A9EFF5" w14:textId="77777777" w:rsidR="00A14B9B" w:rsidRPr="002A0D4F" w:rsidRDefault="00A14B9B" w:rsidP="00D06915">
      <w:pPr>
        <w:pStyle w:val="UZEIZdroj"/>
      </w:pPr>
      <w:r w:rsidRPr="002A0D4F">
        <w:t>Zkratky: JHC – Jihočeský; PLK – Plzeňský</w:t>
      </w:r>
    </w:p>
    <w:p w14:paraId="3F673829" w14:textId="77777777" w:rsidR="00A14B9B" w:rsidRPr="002A0D4F" w:rsidRDefault="00A14B9B" w:rsidP="00A14B9B">
      <w:pPr>
        <w:rPr>
          <w:lang w:val="cs-CZ"/>
        </w:rPr>
      </w:pPr>
    </w:p>
    <w:p w14:paraId="75E25289" w14:textId="77777777" w:rsidR="00A14B9B" w:rsidRPr="002A0D4F" w:rsidRDefault="00A14B9B" w:rsidP="00A14B9B">
      <w:pPr>
        <w:rPr>
          <w:lang w:val="cs-CZ"/>
        </w:rPr>
      </w:pPr>
    </w:p>
    <w:p w14:paraId="06854337" w14:textId="77777777" w:rsidR="00A14B9B" w:rsidRPr="002A0D4F" w:rsidRDefault="00A14B9B" w:rsidP="00A14B9B">
      <w:pPr>
        <w:rPr>
          <w:lang w:val="cs-CZ"/>
        </w:rPr>
      </w:pPr>
    </w:p>
    <w:p w14:paraId="2254A619" w14:textId="77777777" w:rsidR="00D06915" w:rsidRDefault="00D06915">
      <w:pPr>
        <w:spacing w:after="160" w:line="259" w:lineRule="auto"/>
        <w:jc w:val="left"/>
        <w:rPr>
          <w:rFonts w:eastAsia="Times New Roman" w:cs="Arial"/>
          <w:b/>
          <w:noProof/>
          <w:sz w:val="20"/>
          <w:szCs w:val="20"/>
          <w:lang w:val="cs-CZ" w:eastAsia="cs-CZ"/>
        </w:rPr>
      </w:pPr>
      <w:bookmarkStart w:id="816" w:name="_Toc525727655"/>
      <w:bookmarkStart w:id="817" w:name="_Toc525735942"/>
      <w:bookmarkStart w:id="818" w:name="_Toc25919918"/>
      <w:r>
        <w:br w:type="page"/>
      </w:r>
    </w:p>
    <w:p w14:paraId="417048C2" w14:textId="76EAA1F8" w:rsidR="00A14B9B" w:rsidRPr="00D06915" w:rsidRDefault="00A14B9B" w:rsidP="00D06915">
      <w:pPr>
        <w:pStyle w:val="UZEIObr"/>
      </w:pPr>
      <w:bookmarkStart w:id="819" w:name="_Toc81815459"/>
      <w:bookmarkStart w:id="820" w:name="_Toc81817664"/>
      <w:r w:rsidRPr="00D06915">
        <w:lastRenderedPageBreak/>
        <w:t>Průměrné mzdy v krajích regionu soudržnosti Severozápad v zemědělství, průmyslu a NH (v Kč)</w:t>
      </w:r>
      <w:bookmarkEnd w:id="816"/>
      <w:bookmarkEnd w:id="817"/>
      <w:bookmarkEnd w:id="818"/>
      <w:bookmarkEnd w:id="819"/>
      <w:bookmarkEnd w:id="820"/>
    </w:p>
    <w:p w14:paraId="0BA401A9" w14:textId="77777777" w:rsidR="00A14B9B" w:rsidRPr="002A0D4F" w:rsidRDefault="00A14B9B" w:rsidP="00A14B9B">
      <w:pPr>
        <w:rPr>
          <w:rFonts w:asciiTheme="majorHAnsi" w:hAnsiTheme="majorHAnsi" w:cstheme="majorHAnsi"/>
          <w:b/>
          <w:lang w:val="cs-CZ"/>
        </w:rPr>
      </w:pPr>
      <w:r w:rsidRPr="002A0D4F">
        <w:rPr>
          <w:noProof/>
          <w:lang w:val="cs-CZ" w:eastAsia="cs-CZ"/>
        </w:rPr>
        <w:drawing>
          <wp:inline distT="0" distB="0" distL="0" distR="0" wp14:anchorId="2785BA44" wp14:editId="50478ED4">
            <wp:extent cx="5181600" cy="2743200"/>
            <wp:effectExtent l="0" t="0" r="0" b="0"/>
            <wp:docPr id="3022930" name="Graf 3022930">
              <a:extLst xmlns:a="http://schemas.openxmlformats.org/drawingml/2006/main">
                <a:ext uri="{FF2B5EF4-FFF2-40B4-BE49-F238E27FC236}">
                  <a16:creationId xmlns:a16="http://schemas.microsoft.com/office/drawing/2014/main" id="{FB2B8156-7FC1-416D-BB42-318E0DB30B5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67"/>
              </a:graphicData>
            </a:graphic>
          </wp:inline>
        </w:drawing>
      </w:r>
    </w:p>
    <w:p w14:paraId="2DE0794D" w14:textId="77777777" w:rsidR="00A14B9B" w:rsidRPr="002A0D4F" w:rsidRDefault="00A14B9B" w:rsidP="00A14B9B">
      <w:pPr>
        <w:rPr>
          <w:lang w:val="cs-CZ"/>
        </w:rPr>
      </w:pPr>
    </w:p>
    <w:p w14:paraId="179A4EB3" w14:textId="77777777" w:rsidR="00A14B9B" w:rsidRPr="002A0D4F" w:rsidRDefault="00A14B9B" w:rsidP="00A14B9B">
      <w:pPr>
        <w:rPr>
          <w:lang w:val="cs-CZ"/>
        </w:rPr>
      </w:pPr>
      <w:r w:rsidRPr="002A0D4F">
        <w:rPr>
          <w:noProof/>
          <w:lang w:val="cs-CZ" w:eastAsia="cs-CZ"/>
        </w:rPr>
        <w:drawing>
          <wp:inline distT="0" distB="0" distL="0" distR="0" wp14:anchorId="643F49D5" wp14:editId="7E1E8950">
            <wp:extent cx="5172075" cy="3025767"/>
            <wp:effectExtent l="0" t="0" r="0" b="3810"/>
            <wp:docPr id="439791127" name="Picture 439791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9791127"/>
                    <pic:cNvPicPr/>
                  </pic:nvPicPr>
                  <pic:blipFill>
                    <a:blip r:embed="rId168">
                      <a:extLst>
                        <a:ext uri="{28A0092B-C50C-407E-A947-70E740481C1C}">
                          <a14:useLocalDpi xmlns:a14="http://schemas.microsoft.com/office/drawing/2010/main" val="0"/>
                        </a:ext>
                      </a:extLst>
                    </a:blip>
                    <a:stretch>
                      <a:fillRect/>
                    </a:stretch>
                  </pic:blipFill>
                  <pic:spPr>
                    <a:xfrm>
                      <a:off x="0" y="0"/>
                      <a:ext cx="5182467" cy="3031846"/>
                    </a:xfrm>
                    <a:prstGeom prst="rect">
                      <a:avLst/>
                    </a:prstGeom>
                  </pic:spPr>
                </pic:pic>
              </a:graphicData>
            </a:graphic>
          </wp:inline>
        </w:drawing>
      </w:r>
    </w:p>
    <w:p w14:paraId="15C9E6B2" w14:textId="77777777" w:rsidR="00A14B9B" w:rsidRPr="002A0D4F" w:rsidRDefault="00A14B9B" w:rsidP="00D06915">
      <w:pPr>
        <w:pStyle w:val="UZEIZdroj"/>
      </w:pPr>
      <w:r w:rsidRPr="002A0D4F">
        <w:t>Zdroj: Krajské ročenky, ČSÚ 2013-2020</w:t>
      </w:r>
    </w:p>
    <w:p w14:paraId="7DA400F2" w14:textId="77777777" w:rsidR="00A14B9B" w:rsidRPr="002A0D4F" w:rsidRDefault="00A14B9B" w:rsidP="00D06915">
      <w:pPr>
        <w:pStyle w:val="UZEIZdroj"/>
        <w:rPr>
          <w:rFonts w:ascii="Calibri" w:hAnsi="Calibri"/>
          <w:color w:val="000000"/>
        </w:rPr>
      </w:pPr>
      <w:r w:rsidRPr="002A0D4F">
        <w:rPr>
          <w:rFonts w:ascii="Calibri" w:hAnsi="Calibri"/>
          <w:color w:val="000000"/>
          <w:sz w:val="18"/>
          <w:szCs w:val="18"/>
        </w:rPr>
        <w:t>Zpracování: ÚZEI</w:t>
      </w:r>
    </w:p>
    <w:p w14:paraId="17C52C4B" w14:textId="77777777" w:rsidR="00A14B9B" w:rsidRPr="002A0D4F" w:rsidRDefault="00A14B9B" w:rsidP="00D06915">
      <w:pPr>
        <w:pStyle w:val="UZEIZdroj"/>
      </w:pPr>
      <w:r w:rsidRPr="002A0D4F">
        <w:t>Zkratky: KVK – Karlovarský, ULK – Ústecký</w:t>
      </w:r>
    </w:p>
    <w:p w14:paraId="10C9C4B2" w14:textId="77777777" w:rsidR="00F22D33" w:rsidRDefault="00F22D33">
      <w:pPr>
        <w:spacing w:after="160" w:line="259" w:lineRule="auto"/>
        <w:jc w:val="left"/>
        <w:rPr>
          <w:rFonts w:eastAsia="Times New Roman" w:cs="Arial"/>
          <w:b/>
          <w:noProof/>
          <w:sz w:val="20"/>
          <w:szCs w:val="20"/>
          <w:lang w:val="cs-CZ" w:eastAsia="cs-CZ"/>
        </w:rPr>
      </w:pPr>
      <w:bookmarkStart w:id="821" w:name="_Toc525727656"/>
      <w:bookmarkStart w:id="822" w:name="_Toc525735943"/>
      <w:bookmarkStart w:id="823" w:name="_Toc25919919"/>
      <w:r>
        <w:br w:type="page"/>
      </w:r>
    </w:p>
    <w:p w14:paraId="0240EDC6" w14:textId="237669E9" w:rsidR="00A14B9B" w:rsidRPr="00F22D33" w:rsidRDefault="00A14B9B" w:rsidP="00F22D33">
      <w:pPr>
        <w:pStyle w:val="UZEIObr"/>
        <w:ind w:left="0" w:firstLine="0"/>
      </w:pPr>
      <w:bookmarkStart w:id="824" w:name="_Toc81815460"/>
      <w:bookmarkStart w:id="825" w:name="_Toc81817665"/>
      <w:r w:rsidRPr="00F22D33">
        <w:lastRenderedPageBreak/>
        <w:t>Průměrné mzdy v krajích regionu soudržnosti Severovýchod v zemědělství, průmyslu a NH (v Kč)</w:t>
      </w:r>
      <w:bookmarkEnd w:id="821"/>
      <w:bookmarkEnd w:id="822"/>
      <w:bookmarkEnd w:id="823"/>
      <w:bookmarkEnd w:id="824"/>
      <w:bookmarkEnd w:id="825"/>
    </w:p>
    <w:p w14:paraId="0FEE8512" w14:textId="77777777" w:rsidR="00A14B9B" w:rsidRPr="002A0D4F" w:rsidRDefault="00A14B9B" w:rsidP="00A14B9B">
      <w:pPr>
        <w:rPr>
          <w:lang w:val="cs-CZ"/>
        </w:rPr>
      </w:pPr>
      <w:r w:rsidRPr="002A0D4F">
        <w:rPr>
          <w:noProof/>
          <w:lang w:val="cs-CZ" w:eastAsia="cs-CZ"/>
        </w:rPr>
        <w:drawing>
          <wp:inline distT="0" distB="0" distL="0" distR="0" wp14:anchorId="08E38D36" wp14:editId="312C8E71">
            <wp:extent cx="4772025" cy="2505075"/>
            <wp:effectExtent l="0" t="0" r="9525" b="9525"/>
            <wp:docPr id="3022931" name="Graf 3022931">
              <a:extLst xmlns:a="http://schemas.openxmlformats.org/drawingml/2006/main">
                <a:ext uri="{FF2B5EF4-FFF2-40B4-BE49-F238E27FC236}">
                  <a16:creationId xmlns:a16="http://schemas.microsoft.com/office/drawing/2014/main" id="{D172631D-C501-40A6-8667-45F57149606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69"/>
              </a:graphicData>
            </a:graphic>
          </wp:inline>
        </w:drawing>
      </w:r>
      <w:r w:rsidRPr="002A0D4F">
        <w:rPr>
          <w:noProof/>
          <w:lang w:val="cs-CZ" w:eastAsia="cs-CZ"/>
        </w:rPr>
        <w:drawing>
          <wp:inline distT="0" distB="0" distL="0" distR="0" wp14:anchorId="370101AE" wp14:editId="7914C0C2">
            <wp:extent cx="4775299" cy="2505075"/>
            <wp:effectExtent l="0" t="0" r="6350" b="0"/>
            <wp:docPr id="1793143891" name="Picture 184582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582050"/>
                    <pic:cNvPicPr/>
                  </pic:nvPicPr>
                  <pic:blipFill>
                    <a:blip r:embed="rId170">
                      <a:extLst>
                        <a:ext uri="{28A0092B-C50C-407E-A947-70E740481C1C}">
                          <a14:useLocalDpi xmlns:a14="http://schemas.microsoft.com/office/drawing/2010/main" val="0"/>
                        </a:ext>
                      </a:extLst>
                    </a:blip>
                    <a:stretch>
                      <a:fillRect/>
                    </a:stretch>
                  </pic:blipFill>
                  <pic:spPr>
                    <a:xfrm>
                      <a:off x="0" y="0"/>
                      <a:ext cx="4784852" cy="2510087"/>
                    </a:xfrm>
                    <a:prstGeom prst="rect">
                      <a:avLst/>
                    </a:prstGeom>
                  </pic:spPr>
                </pic:pic>
              </a:graphicData>
            </a:graphic>
          </wp:inline>
        </w:drawing>
      </w:r>
    </w:p>
    <w:p w14:paraId="4C73C999" w14:textId="77777777" w:rsidR="00A14B9B" w:rsidRPr="002A0D4F" w:rsidRDefault="00A14B9B" w:rsidP="00A14B9B">
      <w:pPr>
        <w:rPr>
          <w:lang w:val="cs-CZ"/>
        </w:rPr>
      </w:pPr>
      <w:r w:rsidRPr="002A0D4F">
        <w:rPr>
          <w:noProof/>
          <w:lang w:val="cs-CZ" w:eastAsia="cs-CZ"/>
        </w:rPr>
        <w:drawing>
          <wp:inline distT="0" distB="0" distL="0" distR="0" wp14:anchorId="6CB69D15" wp14:editId="1EAB29F8">
            <wp:extent cx="4772025" cy="2873156"/>
            <wp:effectExtent l="0" t="0" r="0" b="3810"/>
            <wp:docPr id="419686530" name="Picture 419686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686530"/>
                    <pic:cNvPicPr/>
                  </pic:nvPicPr>
                  <pic:blipFill>
                    <a:blip r:embed="rId171">
                      <a:extLst>
                        <a:ext uri="{28A0092B-C50C-407E-A947-70E740481C1C}">
                          <a14:useLocalDpi xmlns:a14="http://schemas.microsoft.com/office/drawing/2010/main" val="0"/>
                        </a:ext>
                      </a:extLst>
                    </a:blip>
                    <a:stretch>
                      <a:fillRect/>
                    </a:stretch>
                  </pic:blipFill>
                  <pic:spPr>
                    <a:xfrm>
                      <a:off x="0" y="0"/>
                      <a:ext cx="4780322" cy="2878152"/>
                    </a:xfrm>
                    <a:prstGeom prst="rect">
                      <a:avLst/>
                    </a:prstGeom>
                  </pic:spPr>
                </pic:pic>
              </a:graphicData>
            </a:graphic>
          </wp:inline>
        </w:drawing>
      </w:r>
    </w:p>
    <w:p w14:paraId="1109DD0F" w14:textId="77777777" w:rsidR="00A14B9B" w:rsidRPr="002A0D4F" w:rsidRDefault="00A14B9B" w:rsidP="00F22D33">
      <w:pPr>
        <w:pStyle w:val="UZEIZdroj"/>
      </w:pPr>
      <w:r w:rsidRPr="002A0D4F">
        <w:t>Zdroj: Krajské ročenky, ČSÚ 2013-2020</w:t>
      </w:r>
    </w:p>
    <w:p w14:paraId="42724032" w14:textId="77777777" w:rsidR="00A14B9B" w:rsidRPr="002A0D4F" w:rsidRDefault="00A14B9B" w:rsidP="00F22D33">
      <w:pPr>
        <w:pStyle w:val="UZEIZdroj"/>
        <w:rPr>
          <w:rFonts w:ascii="Calibri" w:hAnsi="Calibri"/>
          <w:color w:val="000000"/>
        </w:rPr>
      </w:pPr>
      <w:r w:rsidRPr="002A0D4F">
        <w:rPr>
          <w:rFonts w:ascii="Calibri" w:hAnsi="Calibri"/>
          <w:color w:val="000000"/>
          <w:sz w:val="18"/>
          <w:szCs w:val="18"/>
        </w:rPr>
        <w:t>Zpracování: ÚZEI</w:t>
      </w:r>
    </w:p>
    <w:p w14:paraId="34159D66" w14:textId="77777777" w:rsidR="00A14B9B" w:rsidRPr="002A0D4F" w:rsidRDefault="00A14B9B" w:rsidP="00F22D33">
      <w:pPr>
        <w:pStyle w:val="UZEIZdroj"/>
        <w:rPr>
          <w:rFonts w:cstheme="majorHAnsi"/>
        </w:rPr>
      </w:pPr>
      <w:r w:rsidRPr="002A0D4F">
        <w:rPr>
          <w:rFonts w:cstheme="majorHAnsi"/>
        </w:rPr>
        <w:t>Zkratky: LBK – Liberecký; HKK – Královéhradecký; PAK – Pardubický</w:t>
      </w:r>
    </w:p>
    <w:p w14:paraId="2FCD9B56" w14:textId="34E7F437" w:rsidR="00A14B9B" w:rsidRPr="007E02A1" w:rsidRDefault="00A14B9B" w:rsidP="007E02A1">
      <w:pPr>
        <w:pStyle w:val="UZEIObr"/>
        <w:ind w:left="0" w:firstLine="0"/>
      </w:pPr>
      <w:bookmarkStart w:id="826" w:name="_Toc525727657"/>
      <w:bookmarkStart w:id="827" w:name="_Toc525735944"/>
      <w:bookmarkStart w:id="828" w:name="_Toc25919920"/>
      <w:bookmarkStart w:id="829" w:name="_Toc81815461"/>
      <w:bookmarkStart w:id="830" w:name="_Toc81817666"/>
      <w:r w:rsidRPr="007E02A1">
        <w:lastRenderedPageBreak/>
        <w:t>Průměrné mzdy v krajích regionu soudržnosti Jihovýchod v zemědělství, průmyslu a NH (v Kč)</w:t>
      </w:r>
      <w:bookmarkEnd w:id="826"/>
      <w:bookmarkEnd w:id="827"/>
      <w:bookmarkEnd w:id="828"/>
      <w:bookmarkEnd w:id="829"/>
      <w:bookmarkEnd w:id="830"/>
    </w:p>
    <w:p w14:paraId="7DCD00D7" w14:textId="77777777" w:rsidR="00A14B9B" w:rsidRPr="002A0D4F" w:rsidRDefault="00A14B9B" w:rsidP="00A14B9B">
      <w:pPr>
        <w:rPr>
          <w:lang w:val="cs-CZ"/>
        </w:rPr>
      </w:pPr>
      <w:r w:rsidRPr="002A0D4F">
        <w:rPr>
          <w:noProof/>
          <w:lang w:val="cs-CZ" w:eastAsia="cs-CZ"/>
        </w:rPr>
        <w:drawing>
          <wp:inline distT="0" distB="0" distL="0" distR="0" wp14:anchorId="21886488" wp14:editId="4DD9E408">
            <wp:extent cx="4714240" cy="2495550"/>
            <wp:effectExtent l="0" t="0" r="10160" b="0"/>
            <wp:docPr id="3022932" name="Graf 3022932">
              <a:extLst xmlns:a="http://schemas.openxmlformats.org/drawingml/2006/main">
                <a:ext uri="{FF2B5EF4-FFF2-40B4-BE49-F238E27FC236}">
                  <a16:creationId xmlns:a16="http://schemas.microsoft.com/office/drawing/2014/main" id="{BB371D83-170B-4ECE-B1E6-BEDD65F298C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72"/>
              </a:graphicData>
            </a:graphic>
          </wp:inline>
        </w:drawing>
      </w:r>
      <w:r w:rsidRPr="002A0D4F">
        <w:rPr>
          <w:noProof/>
          <w:lang w:val="cs-CZ" w:eastAsia="cs-CZ"/>
        </w:rPr>
        <w:drawing>
          <wp:inline distT="0" distB="0" distL="0" distR="0" wp14:anchorId="02434A33" wp14:editId="62FDD2F3">
            <wp:extent cx="4714414" cy="2505075"/>
            <wp:effectExtent l="0" t="0" r="0" b="0"/>
            <wp:docPr id="208353918" name="Picture 258296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296667"/>
                    <pic:cNvPicPr/>
                  </pic:nvPicPr>
                  <pic:blipFill>
                    <a:blip r:embed="rId173">
                      <a:extLst>
                        <a:ext uri="{28A0092B-C50C-407E-A947-70E740481C1C}">
                          <a14:useLocalDpi xmlns:a14="http://schemas.microsoft.com/office/drawing/2010/main" val="0"/>
                        </a:ext>
                      </a:extLst>
                    </a:blip>
                    <a:stretch>
                      <a:fillRect/>
                    </a:stretch>
                  </pic:blipFill>
                  <pic:spPr>
                    <a:xfrm>
                      <a:off x="0" y="0"/>
                      <a:ext cx="4731719" cy="2514270"/>
                    </a:xfrm>
                    <a:prstGeom prst="rect">
                      <a:avLst/>
                    </a:prstGeom>
                  </pic:spPr>
                </pic:pic>
              </a:graphicData>
            </a:graphic>
          </wp:inline>
        </w:drawing>
      </w:r>
    </w:p>
    <w:p w14:paraId="3CA626B3" w14:textId="77777777" w:rsidR="00A14B9B" w:rsidRPr="002A0D4F" w:rsidRDefault="00A14B9B" w:rsidP="00A14B9B">
      <w:pPr>
        <w:rPr>
          <w:lang w:val="cs-CZ"/>
        </w:rPr>
      </w:pPr>
      <w:r w:rsidRPr="002A0D4F">
        <w:rPr>
          <w:noProof/>
          <w:lang w:val="cs-CZ" w:eastAsia="cs-CZ"/>
        </w:rPr>
        <w:drawing>
          <wp:inline distT="0" distB="0" distL="0" distR="0" wp14:anchorId="1F4BBD4F" wp14:editId="12D4E035">
            <wp:extent cx="4714875" cy="2797945"/>
            <wp:effectExtent l="0" t="0" r="0" b="2540"/>
            <wp:docPr id="1816759855" name="Picture 1816759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6759855"/>
                    <pic:cNvPicPr/>
                  </pic:nvPicPr>
                  <pic:blipFill>
                    <a:blip r:embed="rId174">
                      <a:extLst>
                        <a:ext uri="{28A0092B-C50C-407E-A947-70E740481C1C}">
                          <a14:useLocalDpi xmlns:a14="http://schemas.microsoft.com/office/drawing/2010/main" val="0"/>
                        </a:ext>
                      </a:extLst>
                    </a:blip>
                    <a:stretch>
                      <a:fillRect/>
                    </a:stretch>
                  </pic:blipFill>
                  <pic:spPr>
                    <a:xfrm>
                      <a:off x="0" y="0"/>
                      <a:ext cx="4727221" cy="2805271"/>
                    </a:xfrm>
                    <a:prstGeom prst="rect">
                      <a:avLst/>
                    </a:prstGeom>
                  </pic:spPr>
                </pic:pic>
              </a:graphicData>
            </a:graphic>
          </wp:inline>
        </w:drawing>
      </w:r>
    </w:p>
    <w:p w14:paraId="4D277EC3" w14:textId="77777777" w:rsidR="00A14B9B" w:rsidRPr="002A0D4F" w:rsidRDefault="00A14B9B" w:rsidP="007E02A1">
      <w:pPr>
        <w:pStyle w:val="UZEIZdroj"/>
      </w:pPr>
      <w:r w:rsidRPr="002A0D4F">
        <w:t>Zdroj: Krajské ročenky, ČSÚ 2013-2020</w:t>
      </w:r>
    </w:p>
    <w:p w14:paraId="7F36E198" w14:textId="77777777" w:rsidR="00A14B9B" w:rsidRPr="002A0D4F" w:rsidRDefault="00A14B9B" w:rsidP="007E02A1">
      <w:pPr>
        <w:pStyle w:val="UZEIZdroj"/>
        <w:rPr>
          <w:rFonts w:ascii="Calibri" w:hAnsi="Calibri"/>
          <w:color w:val="000000"/>
        </w:rPr>
      </w:pPr>
      <w:r w:rsidRPr="002A0D4F">
        <w:rPr>
          <w:rFonts w:ascii="Calibri" w:hAnsi="Calibri"/>
          <w:color w:val="000000"/>
          <w:sz w:val="18"/>
          <w:szCs w:val="18"/>
        </w:rPr>
        <w:t>Zpracování: ÚZEI</w:t>
      </w:r>
    </w:p>
    <w:p w14:paraId="77796D7D" w14:textId="77777777" w:rsidR="00A14B9B" w:rsidRPr="002A0D4F" w:rsidRDefault="00A14B9B" w:rsidP="007E02A1">
      <w:pPr>
        <w:pStyle w:val="UZEIZdroj"/>
        <w:rPr>
          <w:rFonts w:cstheme="majorHAnsi"/>
        </w:rPr>
      </w:pPr>
      <w:r w:rsidRPr="002A0D4F">
        <w:rPr>
          <w:rFonts w:cstheme="majorHAnsi"/>
        </w:rPr>
        <w:t>Zkratky: VYS –Vysočina, JHM – Jihomoravský</w:t>
      </w:r>
    </w:p>
    <w:p w14:paraId="086A5C8F" w14:textId="5B39234A" w:rsidR="00A14B9B" w:rsidRPr="007E02A1" w:rsidRDefault="00A14B9B" w:rsidP="007E02A1">
      <w:pPr>
        <w:pStyle w:val="UZEIObr"/>
        <w:ind w:left="0" w:firstLine="0"/>
      </w:pPr>
      <w:bookmarkStart w:id="831" w:name="_Toc525727658"/>
      <w:bookmarkStart w:id="832" w:name="_Toc525735945"/>
      <w:bookmarkStart w:id="833" w:name="_Toc25919921"/>
      <w:bookmarkStart w:id="834" w:name="_Ref81774638"/>
      <w:bookmarkStart w:id="835" w:name="_Toc81815462"/>
      <w:bookmarkStart w:id="836" w:name="_Toc81817667"/>
      <w:r w:rsidRPr="007E02A1">
        <w:rPr>
          <w:rStyle w:val="UZEIObrChar"/>
          <w:b/>
        </w:rPr>
        <w:lastRenderedPageBreak/>
        <w:t>Průměrné mzdy v krajích regionu soudržnosti Střední Morava a Moravskoslezsko v zemědělství, průmyslu a NH (v Kč</w:t>
      </w:r>
      <w:r w:rsidRPr="007E02A1">
        <w:t>)</w:t>
      </w:r>
      <w:bookmarkEnd w:id="831"/>
      <w:bookmarkEnd w:id="832"/>
      <w:bookmarkEnd w:id="833"/>
      <w:bookmarkEnd w:id="834"/>
      <w:bookmarkEnd w:id="835"/>
      <w:bookmarkEnd w:id="836"/>
    </w:p>
    <w:p w14:paraId="736D8F12" w14:textId="77777777" w:rsidR="00A14B9B" w:rsidRPr="002A0D4F" w:rsidRDefault="00A14B9B" w:rsidP="00A14B9B">
      <w:pPr>
        <w:rPr>
          <w:lang w:val="cs-CZ"/>
        </w:rPr>
      </w:pPr>
      <w:r w:rsidRPr="002A0D4F">
        <w:rPr>
          <w:noProof/>
          <w:lang w:val="cs-CZ" w:eastAsia="cs-CZ"/>
        </w:rPr>
        <w:drawing>
          <wp:inline distT="0" distB="0" distL="0" distR="0" wp14:anchorId="1AE3EFB5" wp14:editId="51BDC03B">
            <wp:extent cx="4524375" cy="2724150"/>
            <wp:effectExtent l="0" t="0" r="9525" b="0"/>
            <wp:docPr id="3022933" name="Graf 3022933">
              <a:extLst xmlns:a="http://schemas.openxmlformats.org/drawingml/2006/main">
                <a:ext uri="{FF2B5EF4-FFF2-40B4-BE49-F238E27FC236}">
                  <a16:creationId xmlns:a16="http://schemas.microsoft.com/office/drawing/2014/main" id="{B4B7E047-8C59-40D3-9EC9-4C0E35A431B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75"/>
              </a:graphicData>
            </a:graphic>
          </wp:inline>
        </w:drawing>
      </w:r>
      <w:r w:rsidRPr="002A0D4F">
        <w:rPr>
          <w:noProof/>
          <w:lang w:val="cs-CZ" w:eastAsia="cs-CZ"/>
        </w:rPr>
        <w:drawing>
          <wp:inline distT="0" distB="0" distL="0" distR="0" wp14:anchorId="1931A11F" wp14:editId="6616A599">
            <wp:extent cx="4524375" cy="2399668"/>
            <wp:effectExtent l="0" t="0" r="0" b="635"/>
            <wp:docPr id="900600332" name="Picture 4316509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1650992"/>
                    <pic:cNvPicPr/>
                  </pic:nvPicPr>
                  <pic:blipFill>
                    <a:blip r:embed="rId176">
                      <a:extLst>
                        <a:ext uri="{28A0092B-C50C-407E-A947-70E740481C1C}">
                          <a14:useLocalDpi xmlns:a14="http://schemas.microsoft.com/office/drawing/2010/main" val="0"/>
                        </a:ext>
                      </a:extLst>
                    </a:blip>
                    <a:stretch>
                      <a:fillRect/>
                    </a:stretch>
                  </pic:blipFill>
                  <pic:spPr>
                    <a:xfrm>
                      <a:off x="0" y="0"/>
                      <a:ext cx="4538885" cy="2407364"/>
                    </a:xfrm>
                    <a:prstGeom prst="rect">
                      <a:avLst/>
                    </a:prstGeom>
                  </pic:spPr>
                </pic:pic>
              </a:graphicData>
            </a:graphic>
          </wp:inline>
        </w:drawing>
      </w:r>
    </w:p>
    <w:p w14:paraId="4D169D6D" w14:textId="77777777" w:rsidR="00A14B9B" w:rsidRPr="002A0D4F" w:rsidRDefault="00A14B9B" w:rsidP="00A14B9B">
      <w:pPr>
        <w:rPr>
          <w:lang w:val="cs-CZ"/>
        </w:rPr>
      </w:pPr>
      <w:r w:rsidRPr="002A0D4F">
        <w:rPr>
          <w:noProof/>
          <w:lang w:val="cs-CZ" w:eastAsia="cs-CZ"/>
        </w:rPr>
        <w:drawing>
          <wp:inline distT="0" distB="0" distL="0" distR="0" wp14:anchorId="1287D53A" wp14:editId="3BEC8D58">
            <wp:extent cx="4524375" cy="2724051"/>
            <wp:effectExtent l="0" t="0" r="0" b="635"/>
            <wp:docPr id="2103050417" name="Picture 2103050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3050417"/>
                    <pic:cNvPicPr/>
                  </pic:nvPicPr>
                  <pic:blipFill>
                    <a:blip r:embed="rId177">
                      <a:extLst>
                        <a:ext uri="{28A0092B-C50C-407E-A947-70E740481C1C}">
                          <a14:useLocalDpi xmlns:a14="http://schemas.microsoft.com/office/drawing/2010/main" val="0"/>
                        </a:ext>
                      </a:extLst>
                    </a:blip>
                    <a:stretch>
                      <a:fillRect/>
                    </a:stretch>
                  </pic:blipFill>
                  <pic:spPr>
                    <a:xfrm>
                      <a:off x="0" y="0"/>
                      <a:ext cx="4532038" cy="2728665"/>
                    </a:xfrm>
                    <a:prstGeom prst="rect">
                      <a:avLst/>
                    </a:prstGeom>
                  </pic:spPr>
                </pic:pic>
              </a:graphicData>
            </a:graphic>
          </wp:inline>
        </w:drawing>
      </w:r>
    </w:p>
    <w:p w14:paraId="77A22A0C" w14:textId="77777777" w:rsidR="00A14B9B" w:rsidRPr="002A0D4F" w:rsidRDefault="00A14B9B" w:rsidP="007E02A1">
      <w:pPr>
        <w:pStyle w:val="UZEIZdroj"/>
      </w:pPr>
      <w:r w:rsidRPr="002A0D4F">
        <w:t>Zdroj: Krajské ročenky, ČSÚ 2013-2020</w:t>
      </w:r>
    </w:p>
    <w:p w14:paraId="23340B31" w14:textId="77777777" w:rsidR="00A14B9B" w:rsidRPr="002A0D4F" w:rsidRDefault="00A14B9B" w:rsidP="007E02A1">
      <w:pPr>
        <w:pStyle w:val="UZEIZdroj"/>
        <w:rPr>
          <w:rFonts w:ascii="Calibri" w:hAnsi="Calibri"/>
          <w:color w:val="000000"/>
        </w:rPr>
      </w:pPr>
      <w:r w:rsidRPr="002A0D4F">
        <w:rPr>
          <w:rFonts w:ascii="Calibri" w:hAnsi="Calibri"/>
          <w:color w:val="000000"/>
          <w:sz w:val="18"/>
          <w:szCs w:val="18"/>
        </w:rPr>
        <w:t>Zpracování: ÚZEI</w:t>
      </w:r>
    </w:p>
    <w:p w14:paraId="1E9E21F5" w14:textId="77777777" w:rsidR="00A14B9B" w:rsidRPr="002A0D4F" w:rsidRDefault="00A14B9B" w:rsidP="007E02A1">
      <w:pPr>
        <w:pStyle w:val="UZEIZdroj"/>
        <w:rPr>
          <w:rFonts w:cstheme="majorHAnsi"/>
        </w:rPr>
      </w:pPr>
      <w:r w:rsidRPr="002A0D4F">
        <w:rPr>
          <w:rFonts w:cstheme="majorHAnsi"/>
        </w:rPr>
        <w:t>Zkratky: OLK – Olomoucký; ZLK – Zlínský; MSK – Moravskoslezský</w:t>
      </w:r>
    </w:p>
    <w:p w14:paraId="1CA9E71D" w14:textId="77777777" w:rsidR="007E02A1" w:rsidRPr="007E02A1" w:rsidRDefault="00A14B9B" w:rsidP="007E02A1">
      <w:pPr>
        <w:pStyle w:val="UZEINormaln"/>
        <w:rPr>
          <w:rFonts w:eastAsiaTheme="majorEastAsia"/>
          <w:b/>
          <w:bCs/>
        </w:rPr>
      </w:pPr>
      <w:r w:rsidRPr="007E02A1">
        <w:rPr>
          <w:rFonts w:eastAsiaTheme="majorEastAsia"/>
          <w:b/>
          <w:bCs/>
        </w:rPr>
        <w:lastRenderedPageBreak/>
        <w:t>Mzdová úroveň v lesním hospodářství</w:t>
      </w:r>
    </w:p>
    <w:p w14:paraId="4602E710" w14:textId="6C6977E6" w:rsidR="00A14B9B" w:rsidRPr="007E02A1" w:rsidRDefault="00A14B9B" w:rsidP="007E02A1">
      <w:pPr>
        <w:pStyle w:val="UZEINormaln"/>
        <w:rPr>
          <w:rFonts w:eastAsiaTheme="majorEastAsia"/>
        </w:rPr>
      </w:pPr>
      <w:r w:rsidRPr="002A0D4F">
        <w:t>Zpráva o stavu lesa (</w:t>
      </w:r>
      <w:proofErr w:type="spellStart"/>
      <w:r w:rsidRPr="002A0D4F">
        <w:t>MZe</w:t>
      </w:r>
      <w:proofErr w:type="spellEnd"/>
      <w:r w:rsidRPr="002A0D4F">
        <w:t xml:space="preserve">, </w:t>
      </w:r>
      <w:proofErr w:type="gramStart"/>
      <w:r w:rsidRPr="002A0D4F">
        <w:t>2019b</w:t>
      </w:r>
      <w:proofErr w:type="gramEnd"/>
      <w:r w:rsidRPr="002A0D4F">
        <w:t xml:space="preserve">) uvádí, že průměrná́ mzda zaměstnanců ve fyzických osobách v lesnictví́ a souvisejících činnostech vzrostla meziročně 2017-2018 o 8,1 %. Tempo růstu </w:t>
      </w:r>
      <w:proofErr w:type="spellStart"/>
      <w:r w:rsidRPr="002A0D4F">
        <w:t>průměrných</w:t>
      </w:r>
      <w:proofErr w:type="spellEnd"/>
      <w:r w:rsidRPr="002A0D4F">
        <w:t xml:space="preserve"> mezd v </w:t>
      </w:r>
      <w:proofErr w:type="spellStart"/>
      <w:r w:rsidRPr="002A0D4F">
        <w:t>lesnictvi</w:t>
      </w:r>
      <w:proofErr w:type="spellEnd"/>
      <w:r w:rsidRPr="002A0D4F">
        <w:t xml:space="preserve">́ tak </w:t>
      </w:r>
      <w:proofErr w:type="spellStart"/>
      <w:r w:rsidRPr="002A0D4F">
        <w:t>nepatrne</w:t>
      </w:r>
      <w:proofErr w:type="spellEnd"/>
      <w:r w:rsidRPr="002A0D4F">
        <w:t xml:space="preserve">̌ </w:t>
      </w:r>
      <w:proofErr w:type="spellStart"/>
      <w:r w:rsidRPr="002A0D4F">
        <w:t>předstihlo</w:t>
      </w:r>
      <w:proofErr w:type="spellEnd"/>
      <w:r w:rsidRPr="002A0D4F">
        <w:t xml:space="preserve"> </w:t>
      </w:r>
      <w:proofErr w:type="spellStart"/>
      <w:r w:rsidRPr="002A0D4F">
        <w:t>růst</w:t>
      </w:r>
      <w:proofErr w:type="spellEnd"/>
      <w:r w:rsidRPr="002A0D4F">
        <w:t xml:space="preserve"> mezd v </w:t>
      </w:r>
      <w:proofErr w:type="spellStart"/>
      <w:r w:rsidRPr="002A0D4F">
        <w:t>průmyslu</w:t>
      </w:r>
      <w:proofErr w:type="spellEnd"/>
      <w:r w:rsidRPr="002A0D4F">
        <w:t xml:space="preserve"> (o 0,6 %) i růst mezd za celé </w:t>
      </w:r>
      <w:proofErr w:type="spellStart"/>
      <w:r w:rsidRPr="002A0D4F">
        <w:t>národni</w:t>
      </w:r>
      <w:proofErr w:type="spellEnd"/>
      <w:r w:rsidRPr="002A0D4F">
        <w:t xml:space="preserve">́ </w:t>
      </w:r>
      <w:proofErr w:type="spellStart"/>
      <w:r w:rsidRPr="002A0D4F">
        <w:t>hospodářstvi</w:t>
      </w:r>
      <w:proofErr w:type="spellEnd"/>
      <w:r w:rsidRPr="002A0D4F">
        <w:t xml:space="preserve">́ (o 0,2 %). </w:t>
      </w:r>
      <w:proofErr w:type="spellStart"/>
      <w:r w:rsidRPr="002A0D4F">
        <w:t>Přesto</w:t>
      </w:r>
      <w:proofErr w:type="spellEnd"/>
      <w:r w:rsidRPr="002A0D4F">
        <w:t xml:space="preserve"> </w:t>
      </w:r>
      <w:proofErr w:type="spellStart"/>
      <w:r w:rsidRPr="002A0D4F">
        <w:t>průměrna</w:t>
      </w:r>
      <w:proofErr w:type="spellEnd"/>
      <w:r w:rsidRPr="002A0D4F">
        <w:t xml:space="preserve">́ mzda </w:t>
      </w:r>
      <w:proofErr w:type="spellStart"/>
      <w:r w:rsidRPr="002A0D4F">
        <w:t>fyzických</w:t>
      </w:r>
      <w:proofErr w:type="spellEnd"/>
      <w:r w:rsidRPr="002A0D4F">
        <w:t xml:space="preserve"> osob v </w:t>
      </w:r>
      <w:proofErr w:type="spellStart"/>
      <w:r w:rsidRPr="002A0D4F">
        <w:t>lesnictvi</w:t>
      </w:r>
      <w:proofErr w:type="spellEnd"/>
      <w:r w:rsidRPr="002A0D4F">
        <w:t xml:space="preserve">́ a v </w:t>
      </w:r>
      <w:proofErr w:type="spellStart"/>
      <w:r w:rsidRPr="002A0D4F">
        <w:t>souvisejících</w:t>
      </w:r>
      <w:proofErr w:type="spellEnd"/>
      <w:r w:rsidRPr="002A0D4F">
        <w:t xml:space="preserve"> </w:t>
      </w:r>
      <w:proofErr w:type="spellStart"/>
      <w:r w:rsidRPr="002A0D4F">
        <w:t>činnostech</w:t>
      </w:r>
      <w:proofErr w:type="spellEnd"/>
      <w:r w:rsidRPr="002A0D4F">
        <w:t xml:space="preserve"> za podnikatelskou i nepodnikatelskou </w:t>
      </w:r>
      <w:proofErr w:type="spellStart"/>
      <w:r w:rsidRPr="002A0D4F">
        <w:t>sféru</w:t>
      </w:r>
      <w:proofErr w:type="spellEnd"/>
      <w:r w:rsidRPr="002A0D4F">
        <w:t xml:space="preserve"> </w:t>
      </w:r>
      <w:proofErr w:type="spellStart"/>
      <w:r w:rsidRPr="002A0D4F">
        <w:t>zaostáva</w:t>
      </w:r>
      <w:proofErr w:type="spellEnd"/>
      <w:r w:rsidRPr="002A0D4F">
        <w:t xml:space="preserve">́ </w:t>
      </w:r>
      <w:proofErr w:type="spellStart"/>
      <w:r w:rsidRPr="002A0D4F">
        <w:t>absolutne</w:t>
      </w:r>
      <w:proofErr w:type="spellEnd"/>
      <w:r w:rsidRPr="002A0D4F">
        <w:t xml:space="preserve">̌ </w:t>
      </w:r>
      <w:r w:rsidRPr="002A0D4F">
        <w:br/>
        <w:t xml:space="preserve">o 2 858 </w:t>
      </w:r>
      <w:proofErr w:type="spellStart"/>
      <w:r w:rsidRPr="002A0D4F">
        <w:t>Kc</w:t>
      </w:r>
      <w:proofErr w:type="spellEnd"/>
      <w:r w:rsidRPr="002A0D4F">
        <w:t xml:space="preserve">̌ ve </w:t>
      </w:r>
      <w:proofErr w:type="spellStart"/>
      <w:r w:rsidRPr="002A0D4F">
        <w:t>srovnáni</w:t>
      </w:r>
      <w:proofErr w:type="spellEnd"/>
      <w:r w:rsidRPr="002A0D4F">
        <w:t xml:space="preserve">́ s </w:t>
      </w:r>
      <w:proofErr w:type="spellStart"/>
      <w:r w:rsidRPr="002A0D4F">
        <w:t>průmyslem</w:t>
      </w:r>
      <w:proofErr w:type="spellEnd"/>
      <w:r w:rsidRPr="002A0D4F">
        <w:t xml:space="preserve"> a o 1 910 </w:t>
      </w:r>
      <w:proofErr w:type="spellStart"/>
      <w:r w:rsidRPr="002A0D4F">
        <w:t>Kc</w:t>
      </w:r>
      <w:proofErr w:type="spellEnd"/>
      <w:r w:rsidRPr="002A0D4F">
        <w:t xml:space="preserve">̌ ve </w:t>
      </w:r>
      <w:proofErr w:type="spellStart"/>
      <w:r w:rsidRPr="002A0D4F">
        <w:t>srovnáni</w:t>
      </w:r>
      <w:proofErr w:type="spellEnd"/>
      <w:r w:rsidRPr="002A0D4F">
        <w:t xml:space="preserve">́ s </w:t>
      </w:r>
      <w:proofErr w:type="spellStart"/>
      <w:r w:rsidRPr="002A0D4F">
        <w:t>průměrnou</w:t>
      </w:r>
      <w:proofErr w:type="spellEnd"/>
      <w:r w:rsidRPr="002A0D4F">
        <w:t xml:space="preserve"> mzdou v </w:t>
      </w:r>
      <w:proofErr w:type="spellStart"/>
      <w:r w:rsidRPr="002A0D4F">
        <w:t>národním</w:t>
      </w:r>
      <w:proofErr w:type="spellEnd"/>
      <w:r w:rsidRPr="002A0D4F">
        <w:t xml:space="preserve"> </w:t>
      </w:r>
      <w:proofErr w:type="spellStart"/>
      <w:r w:rsidRPr="002A0D4F">
        <w:t>hospodářstvi</w:t>
      </w:r>
      <w:proofErr w:type="spellEnd"/>
      <w:r w:rsidRPr="002A0D4F">
        <w:t xml:space="preserve">́. V </w:t>
      </w:r>
      <w:proofErr w:type="spellStart"/>
      <w:r w:rsidRPr="002A0D4F">
        <w:t>rámci</w:t>
      </w:r>
      <w:proofErr w:type="spellEnd"/>
      <w:r w:rsidRPr="002A0D4F">
        <w:t xml:space="preserve"> </w:t>
      </w:r>
      <w:proofErr w:type="spellStart"/>
      <w:r w:rsidRPr="002A0D4F">
        <w:t>odvětvi</w:t>
      </w:r>
      <w:proofErr w:type="spellEnd"/>
      <w:r w:rsidRPr="002A0D4F">
        <w:t xml:space="preserve">́ </w:t>
      </w:r>
      <w:proofErr w:type="spellStart"/>
      <w:r w:rsidRPr="002A0D4F">
        <w:t>lesního</w:t>
      </w:r>
      <w:proofErr w:type="spellEnd"/>
      <w:r w:rsidRPr="002A0D4F">
        <w:t xml:space="preserve"> </w:t>
      </w:r>
      <w:proofErr w:type="spellStart"/>
      <w:r w:rsidRPr="002A0D4F">
        <w:t>hospodářstvi</w:t>
      </w:r>
      <w:proofErr w:type="spellEnd"/>
      <w:r w:rsidRPr="002A0D4F">
        <w:t>́ (</w:t>
      </w:r>
      <w:proofErr w:type="spellStart"/>
      <w:r w:rsidRPr="002A0D4F">
        <w:t>lesnictvi</w:t>
      </w:r>
      <w:proofErr w:type="spellEnd"/>
      <w:r w:rsidRPr="002A0D4F">
        <w:t xml:space="preserve">́) je </w:t>
      </w:r>
      <w:proofErr w:type="spellStart"/>
      <w:r w:rsidRPr="002A0D4F">
        <w:t>nejvyšši</w:t>
      </w:r>
      <w:proofErr w:type="spellEnd"/>
      <w:r w:rsidRPr="002A0D4F">
        <w:t xml:space="preserve">́ </w:t>
      </w:r>
      <w:proofErr w:type="spellStart"/>
      <w:r w:rsidRPr="002A0D4F">
        <w:t>průměrna</w:t>
      </w:r>
      <w:proofErr w:type="spellEnd"/>
      <w:r w:rsidRPr="002A0D4F">
        <w:t xml:space="preserve">́ mzda ve </w:t>
      </w:r>
      <w:proofErr w:type="spellStart"/>
      <w:r w:rsidRPr="002A0D4F">
        <w:t>státním</w:t>
      </w:r>
      <w:proofErr w:type="spellEnd"/>
      <w:r w:rsidRPr="002A0D4F">
        <w:t xml:space="preserve"> sektoru, </w:t>
      </w:r>
      <w:proofErr w:type="spellStart"/>
      <w:r w:rsidRPr="002A0D4F">
        <w:t>ktera</w:t>
      </w:r>
      <w:proofErr w:type="spellEnd"/>
      <w:r w:rsidRPr="002A0D4F">
        <w:t xml:space="preserve">́ </w:t>
      </w:r>
      <w:proofErr w:type="spellStart"/>
      <w:r w:rsidRPr="002A0D4F">
        <w:t>přesahuje</w:t>
      </w:r>
      <w:proofErr w:type="spellEnd"/>
      <w:r w:rsidRPr="002A0D4F">
        <w:t xml:space="preserve"> o 6 754 </w:t>
      </w:r>
      <w:proofErr w:type="spellStart"/>
      <w:r w:rsidRPr="002A0D4F">
        <w:t>Kc</w:t>
      </w:r>
      <w:proofErr w:type="spellEnd"/>
      <w:r w:rsidRPr="002A0D4F">
        <w:t xml:space="preserve">̌ </w:t>
      </w:r>
      <w:proofErr w:type="spellStart"/>
      <w:r w:rsidRPr="002A0D4F">
        <w:t>průměrnou</w:t>
      </w:r>
      <w:proofErr w:type="spellEnd"/>
      <w:r w:rsidRPr="002A0D4F">
        <w:t xml:space="preserve"> mzdu v </w:t>
      </w:r>
      <w:proofErr w:type="spellStart"/>
      <w:r w:rsidRPr="002A0D4F">
        <w:t>soukromém</w:t>
      </w:r>
      <w:proofErr w:type="spellEnd"/>
      <w:r w:rsidRPr="002A0D4F">
        <w:t xml:space="preserve"> sektoru </w:t>
      </w:r>
      <w:r w:rsidRPr="002A0D4F">
        <w:br/>
        <w:t xml:space="preserve">a o 6 676 </w:t>
      </w:r>
      <w:proofErr w:type="spellStart"/>
      <w:r w:rsidRPr="002A0D4F">
        <w:t>Kc</w:t>
      </w:r>
      <w:proofErr w:type="spellEnd"/>
      <w:r w:rsidRPr="002A0D4F">
        <w:t xml:space="preserve">̌ v sektoru </w:t>
      </w:r>
      <w:proofErr w:type="spellStart"/>
      <w:r w:rsidRPr="002A0D4F">
        <w:t>obecních</w:t>
      </w:r>
      <w:proofErr w:type="spellEnd"/>
      <w:r w:rsidRPr="002A0D4F">
        <w:t xml:space="preserve"> lesů. </w:t>
      </w:r>
      <w:proofErr w:type="spellStart"/>
      <w:r w:rsidRPr="002A0D4F">
        <w:t>Důvodem</w:t>
      </w:r>
      <w:proofErr w:type="spellEnd"/>
      <w:r w:rsidRPr="002A0D4F">
        <w:t xml:space="preserve"> je </w:t>
      </w:r>
      <w:proofErr w:type="spellStart"/>
      <w:r w:rsidRPr="002A0D4F">
        <w:t>vysoky</w:t>
      </w:r>
      <w:proofErr w:type="spellEnd"/>
      <w:r w:rsidRPr="002A0D4F">
        <w:t xml:space="preserve">́ </w:t>
      </w:r>
      <w:proofErr w:type="spellStart"/>
      <w:r w:rsidRPr="002A0D4F">
        <w:t>podíl</w:t>
      </w:r>
      <w:proofErr w:type="spellEnd"/>
      <w:r w:rsidRPr="002A0D4F">
        <w:t xml:space="preserve"> THP u </w:t>
      </w:r>
      <w:proofErr w:type="spellStart"/>
      <w:r w:rsidRPr="002A0D4F">
        <w:t>státních</w:t>
      </w:r>
      <w:proofErr w:type="spellEnd"/>
      <w:r w:rsidRPr="002A0D4F">
        <w:t xml:space="preserve"> lesů (tj. </w:t>
      </w:r>
      <w:proofErr w:type="spellStart"/>
      <w:r w:rsidRPr="002A0D4F">
        <w:t>revírníku</w:t>
      </w:r>
      <w:proofErr w:type="spellEnd"/>
      <w:r w:rsidRPr="002A0D4F">
        <w:t xml:space="preserve">̊, </w:t>
      </w:r>
      <w:proofErr w:type="spellStart"/>
      <w:r w:rsidRPr="002A0D4F">
        <w:t>správcu</w:t>
      </w:r>
      <w:proofErr w:type="spellEnd"/>
      <w:r w:rsidRPr="002A0D4F">
        <w:t xml:space="preserve">̊ a </w:t>
      </w:r>
      <w:proofErr w:type="spellStart"/>
      <w:r w:rsidRPr="002A0D4F">
        <w:t>řídících</w:t>
      </w:r>
      <w:proofErr w:type="spellEnd"/>
      <w:r w:rsidRPr="002A0D4F">
        <w:t xml:space="preserve"> </w:t>
      </w:r>
      <w:proofErr w:type="spellStart"/>
      <w:r w:rsidRPr="002A0D4F">
        <w:t>pracovníku</w:t>
      </w:r>
      <w:proofErr w:type="spellEnd"/>
      <w:r w:rsidRPr="002A0D4F">
        <w:t xml:space="preserve">̊) a </w:t>
      </w:r>
      <w:proofErr w:type="spellStart"/>
      <w:r w:rsidRPr="002A0D4F">
        <w:t>nízky</w:t>
      </w:r>
      <w:proofErr w:type="spellEnd"/>
      <w:r w:rsidRPr="002A0D4F">
        <w:t xml:space="preserve">́ </w:t>
      </w:r>
      <w:proofErr w:type="spellStart"/>
      <w:r w:rsidRPr="002A0D4F">
        <w:t>podíl</w:t>
      </w:r>
      <w:proofErr w:type="spellEnd"/>
      <w:r w:rsidRPr="002A0D4F">
        <w:t xml:space="preserve"> </w:t>
      </w:r>
      <w:proofErr w:type="spellStart"/>
      <w:r w:rsidRPr="002A0D4F">
        <w:t>dělníku</w:t>
      </w:r>
      <w:proofErr w:type="spellEnd"/>
      <w:r w:rsidRPr="002A0D4F">
        <w:t xml:space="preserve">̊ z </w:t>
      </w:r>
      <w:proofErr w:type="spellStart"/>
      <w:r w:rsidRPr="002A0D4F">
        <w:t>celkového</w:t>
      </w:r>
      <w:proofErr w:type="spellEnd"/>
      <w:r w:rsidRPr="002A0D4F">
        <w:t xml:space="preserve"> </w:t>
      </w:r>
      <w:proofErr w:type="spellStart"/>
      <w:r w:rsidRPr="002A0D4F">
        <w:t>počtu</w:t>
      </w:r>
      <w:proofErr w:type="spellEnd"/>
      <w:r w:rsidRPr="002A0D4F">
        <w:t xml:space="preserve"> </w:t>
      </w:r>
      <w:proofErr w:type="spellStart"/>
      <w:r w:rsidRPr="002A0D4F">
        <w:t>zaměstnancu</w:t>
      </w:r>
      <w:proofErr w:type="spellEnd"/>
      <w:r w:rsidRPr="002A0D4F">
        <w:t xml:space="preserve">̊. </w:t>
      </w:r>
    </w:p>
    <w:p w14:paraId="78671C43" w14:textId="24693718" w:rsidR="00A14B9B" w:rsidRPr="007E02A1" w:rsidRDefault="007E02A1" w:rsidP="007E02A1">
      <w:pPr>
        <w:pStyle w:val="UZEITaB"/>
        <w:rPr>
          <w:rFonts w:eastAsiaTheme="minorEastAsia"/>
        </w:rPr>
      </w:pPr>
      <w:bookmarkStart w:id="837" w:name="_Toc25920040"/>
      <w:r>
        <w:rPr>
          <w:rFonts w:eastAsiaTheme="minorEastAsia"/>
        </w:rPr>
        <w:t xml:space="preserve"> </w:t>
      </w:r>
      <w:r w:rsidRPr="007E02A1">
        <w:rPr>
          <w:rFonts w:eastAsiaTheme="minorEastAsia"/>
        </w:rPr>
        <w:t xml:space="preserve"> </w:t>
      </w:r>
      <w:bookmarkStart w:id="838" w:name="_Toc81815363"/>
      <w:bookmarkStart w:id="839" w:name="_Toc81817041"/>
      <w:bookmarkStart w:id="840" w:name="_Toc81817554"/>
      <w:r w:rsidR="00A14B9B" w:rsidRPr="007E02A1">
        <w:rPr>
          <w:rFonts w:eastAsiaTheme="minorEastAsia"/>
        </w:rPr>
        <w:t>Průměrná mzda v lesním hospodářství</w:t>
      </w:r>
      <w:bookmarkEnd w:id="837"/>
      <w:bookmarkEnd w:id="838"/>
      <w:bookmarkEnd w:id="839"/>
      <w:bookmarkEnd w:id="840"/>
    </w:p>
    <w:p w14:paraId="26B4332C" w14:textId="77777777" w:rsidR="00A14B9B" w:rsidRPr="002A0D4F" w:rsidRDefault="00A14B9B" w:rsidP="00A14B9B">
      <w:pPr>
        <w:jc w:val="left"/>
        <w:rPr>
          <w:b/>
          <w:lang w:val="cs-CZ"/>
        </w:rPr>
      </w:pPr>
      <w:r w:rsidRPr="002A0D4F">
        <w:rPr>
          <w:noProof/>
          <w:lang w:val="cs-CZ" w:eastAsia="cs-CZ"/>
        </w:rPr>
        <w:drawing>
          <wp:inline distT="0" distB="0" distL="0" distR="0" wp14:anchorId="5ECE9BB8" wp14:editId="499B3928">
            <wp:extent cx="5223209" cy="1419225"/>
            <wp:effectExtent l="0" t="0" r="0" b="0"/>
            <wp:docPr id="1641397007" name="Obrázek 1737972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737972096"/>
                    <pic:cNvPicPr/>
                  </pic:nvPicPr>
                  <pic:blipFill>
                    <a:blip r:embed="rId178">
                      <a:extLst>
                        <a:ext uri="{28A0092B-C50C-407E-A947-70E740481C1C}">
                          <a14:useLocalDpi xmlns:a14="http://schemas.microsoft.com/office/drawing/2010/main" val="0"/>
                        </a:ext>
                      </a:extLst>
                    </a:blip>
                    <a:stretch>
                      <a:fillRect/>
                    </a:stretch>
                  </pic:blipFill>
                  <pic:spPr>
                    <a:xfrm>
                      <a:off x="0" y="0"/>
                      <a:ext cx="5233432" cy="1422003"/>
                    </a:xfrm>
                    <a:prstGeom prst="rect">
                      <a:avLst/>
                    </a:prstGeom>
                  </pic:spPr>
                </pic:pic>
              </a:graphicData>
            </a:graphic>
          </wp:inline>
        </w:drawing>
      </w:r>
    </w:p>
    <w:p w14:paraId="6A1BEA23" w14:textId="77777777" w:rsidR="00A14B9B" w:rsidRPr="002A0D4F" w:rsidRDefault="00A14B9B" w:rsidP="007E02A1">
      <w:pPr>
        <w:pStyle w:val="UZEIZdroj"/>
        <w:rPr>
          <w:b/>
        </w:rPr>
      </w:pPr>
      <w:r w:rsidRPr="002A0D4F">
        <w:t>Zdroj: Zpráva o stavu lesa a lesního hospodářství České republiky v roce 2018 (vládní verze)</w:t>
      </w:r>
    </w:p>
    <w:p w14:paraId="23029EF9" w14:textId="77777777" w:rsidR="00A14B9B" w:rsidRPr="007E02A1" w:rsidRDefault="00A14B9B" w:rsidP="007E02A1">
      <w:pPr>
        <w:pStyle w:val="UZEINormaln"/>
        <w:rPr>
          <w:rFonts w:eastAsiaTheme="majorEastAsia"/>
          <w:b/>
          <w:bCs/>
        </w:rPr>
      </w:pPr>
      <w:r w:rsidRPr="007E02A1">
        <w:rPr>
          <w:rFonts w:eastAsiaTheme="majorEastAsia"/>
          <w:b/>
          <w:bCs/>
        </w:rPr>
        <w:t xml:space="preserve">Příjmová úroveň venkovských domácností </w:t>
      </w:r>
    </w:p>
    <w:p w14:paraId="369987FB" w14:textId="4E094253" w:rsidR="00A14B9B" w:rsidRPr="000E6048" w:rsidRDefault="000E6048" w:rsidP="000E6048">
      <w:pPr>
        <w:pStyle w:val="UZEITaB"/>
        <w:ind w:left="0" w:firstLine="0"/>
        <w:rPr>
          <w:rFonts w:eastAsiaTheme="minorEastAsia"/>
        </w:rPr>
      </w:pPr>
      <w:bookmarkStart w:id="841" w:name="_Toc25920041"/>
      <w:r w:rsidRPr="000E6048">
        <w:rPr>
          <w:rFonts w:eastAsiaTheme="minorEastAsia"/>
        </w:rPr>
        <w:t xml:space="preserve"> </w:t>
      </w:r>
      <w:bookmarkStart w:id="842" w:name="_Toc81815364"/>
      <w:bookmarkStart w:id="843" w:name="_Toc81817042"/>
      <w:bookmarkStart w:id="844" w:name="_Toc81817555"/>
      <w:r w:rsidR="00A14B9B" w:rsidRPr="000E6048">
        <w:rPr>
          <w:rFonts w:eastAsiaTheme="minorEastAsia"/>
        </w:rPr>
        <w:t>Přehled příjmů domácností v roce 2016 podle velikosti obce (počtu obyvatel obce) (průměry na osobu v Kč za rok)</w:t>
      </w:r>
      <w:bookmarkEnd w:id="841"/>
      <w:bookmarkEnd w:id="842"/>
      <w:bookmarkEnd w:id="843"/>
      <w:bookmarkEnd w:id="844"/>
    </w:p>
    <w:tbl>
      <w:tblPr>
        <w:tblW w:w="9992" w:type="dxa"/>
        <w:tblCellMar>
          <w:left w:w="70" w:type="dxa"/>
          <w:right w:w="70" w:type="dxa"/>
        </w:tblCellMar>
        <w:tblLook w:val="04A0" w:firstRow="1" w:lastRow="0" w:firstColumn="1" w:lastColumn="0" w:noHBand="0" w:noVBand="1"/>
      </w:tblPr>
      <w:tblGrid>
        <w:gridCol w:w="2954"/>
        <w:gridCol w:w="992"/>
        <w:gridCol w:w="993"/>
        <w:gridCol w:w="992"/>
        <w:gridCol w:w="1134"/>
        <w:gridCol w:w="1044"/>
        <w:gridCol w:w="960"/>
        <w:gridCol w:w="923"/>
      </w:tblGrid>
      <w:tr w:rsidR="00A14B9B" w:rsidRPr="002A0D4F" w14:paraId="540F5108" w14:textId="77777777" w:rsidTr="00DB1D1D">
        <w:trPr>
          <w:trHeight w:val="315"/>
        </w:trPr>
        <w:tc>
          <w:tcPr>
            <w:tcW w:w="2954" w:type="dxa"/>
            <w:tcBorders>
              <w:top w:val="double" w:sz="6" w:space="0" w:color="auto"/>
              <w:left w:val="double" w:sz="6" w:space="0" w:color="auto"/>
              <w:bottom w:val="single" w:sz="4" w:space="0" w:color="auto"/>
              <w:right w:val="single" w:sz="4" w:space="0" w:color="auto"/>
            </w:tcBorders>
            <w:shd w:val="clear" w:color="auto" w:fill="auto"/>
            <w:noWrap/>
            <w:vAlign w:val="bottom"/>
            <w:hideMark/>
          </w:tcPr>
          <w:p w14:paraId="3B0273A3" w14:textId="77777777" w:rsidR="00A14B9B" w:rsidRPr="002A0D4F" w:rsidRDefault="00A14B9B" w:rsidP="00DB1D1D">
            <w:pPr>
              <w:rPr>
                <w:rFonts w:asciiTheme="majorHAnsi" w:eastAsiaTheme="majorEastAsia" w:hAnsiTheme="majorHAnsi" w:cstheme="majorBidi"/>
                <w:sz w:val="18"/>
                <w:szCs w:val="18"/>
                <w:lang w:val="cs-CZ"/>
              </w:rPr>
            </w:pPr>
            <w:r w:rsidRPr="002A0D4F">
              <w:rPr>
                <w:rFonts w:asciiTheme="majorHAnsi" w:eastAsiaTheme="majorEastAsia" w:hAnsiTheme="majorHAnsi" w:cstheme="majorBidi"/>
                <w:sz w:val="18"/>
                <w:szCs w:val="18"/>
                <w:lang w:val="cs-CZ"/>
              </w:rPr>
              <w:t> </w:t>
            </w:r>
          </w:p>
        </w:tc>
        <w:tc>
          <w:tcPr>
            <w:tcW w:w="992" w:type="dxa"/>
            <w:tcBorders>
              <w:top w:val="double" w:sz="6" w:space="0" w:color="auto"/>
              <w:left w:val="single" w:sz="4" w:space="0" w:color="auto"/>
              <w:bottom w:val="single" w:sz="4" w:space="0" w:color="auto"/>
              <w:right w:val="single" w:sz="4" w:space="0" w:color="auto"/>
            </w:tcBorders>
            <w:shd w:val="clear" w:color="auto" w:fill="auto"/>
            <w:noWrap/>
            <w:vAlign w:val="center"/>
            <w:hideMark/>
          </w:tcPr>
          <w:p w14:paraId="681B0AAE" w14:textId="77777777" w:rsidR="00A14B9B" w:rsidRPr="002A0D4F" w:rsidRDefault="00A14B9B" w:rsidP="00DB1D1D">
            <w:pPr>
              <w:jc w:val="center"/>
              <w:rPr>
                <w:rFonts w:asciiTheme="majorHAnsi" w:eastAsiaTheme="majorEastAsia" w:hAnsiTheme="majorHAnsi" w:cstheme="majorBidi"/>
                <w:b/>
                <w:bCs/>
                <w:sz w:val="18"/>
                <w:szCs w:val="18"/>
                <w:lang w:val="cs-CZ"/>
              </w:rPr>
            </w:pPr>
            <w:r w:rsidRPr="002A0D4F">
              <w:rPr>
                <w:rFonts w:asciiTheme="majorHAnsi" w:eastAsiaTheme="majorEastAsia" w:hAnsiTheme="majorHAnsi" w:cstheme="majorBidi"/>
                <w:b/>
                <w:bCs/>
                <w:sz w:val="18"/>
                <w:szCs w:val="18"/>
                <w:lang w:val="cs-CZ"/>
              </w:rPr>
              <w:t>Celkem</w:t>
            </w:r>
          </w:p>
        </w:tc>
        <w:tc>
          <w:tcPr>
            <w:tcW w:w="993" w:type="dxa"/>
            <w:tcBorders>
              <w:top w:val="double" w:sz="6" w:space="0" w:color="auto"/>
              <w:left w:val="nil"/>
              <w:bottom w:val="single" w:sz="4" w:space="0" w:color="auto"/>
              <w:right w:val="single" w:sz="4" w:space="0" w:color="auto"/>
            </w:tcBorders>
            <w:shd w:val="clear" w:color="auto" w:fill="auto"/>
            <w:noWrap/>
            <w:vAlign w:val="center"/>
            <w:hideMark/>
          </w:tcPr>
          <w:p w14:paraId="7075A693" w14:textId="77777777" w:rsidR="00A14B9B" w:rsidRPr="002A0D4F" w:rsidRDefault="00A14B9B" w:rsidP="00DB1D1D">
            <w:pPr>
              <w:jc w:val="center"/>
              <w:rPr>
                <w:rFonts w:asciiTheme="majorHAnsi" w:eastAsiaTheme="majorEastAsia" w:hAnsiTheme="majorHAnsi" w:cstheme="majorBidi"/>
                <w:b/>
                <w:bCs/>
                <w:sz w:val="18"/>
                <w:szCs w:val="18"/>
                <w:lang w:val="cs-CZ"/>
              </w:rPr>
            </w:pPr>
            <w:r w:rsidRPr="002A0D4F">
              <w:rPr>
                <w:rFonts w:asciiTheme="majorHAnsi" w:eastAsiaTheme="majorEastAsia" w:hAnsiTheme="majorHAnsi" w:cstheme="majorBidi"/>
                <w:b/>
                <w:bCs/>
                <w:sz w:val="18"/>
                <w:szCs w:val="18"/>
                <w:lang w:val="cs-CZ"/>
              </w:rPr>
              <w:t>do 1999</w:t>
            </w:r>
          </w:p>
        </w:tc>
        <w:tc>
          <w:tcPr>
            <w:tcW w:w="992" w:type="dxa"/>
            <w:tcBorders>
              <w:top w:val="double" w:sz="6" w:space="0" w:color="auto"/>
              <w:left w:val="nil"/>
              <w:bottom w:val="single" w:sz="4" w:space="0" w:color="auto"/>
              <w:right w:val="single" w:sz="4" w:space="0" w:color="auto"/>
            </w:tcBorders>
            <w:shd w:val="clear" w:color="auto" w:fill="auto"/>
            <w:noWrap/>
            <w:vAlign w:val="center"/>
            <w:hideMark/>
          </w:tcPr>
          <w:p w14:paraId="6C844EC9" w14:textId="77777777" w:rsidR="00A14B9B" w:rsidRPr="002A0D4F" w:rsidRDefault="00A14B9B" w:rsidP="00DB1D1D">
            <w:pPr>
              <w:jc w:val="center"/>
              <w:rPr>
                <w:rFonts w:asciiTheme="majorHAnsi" w:eastAsiaTheme="majorEastAsia" w:hAnsiTheme="majorHAnsi" w:cstheme="majorBidi"/>
                <w:b/>
                <w:bCs/>
                <w:sz w:val="18"/>
                <w:szCs w:val="18"/>
                <w:lang w:val="cs-CZ"/>
              </w:rPr>
            </w:pPr>
            <w:r w:rsidRPr="002A0D4F">
              <w:rPr>
                <w:rFonts w:asciiTheme="majorHAnsi" w:eastAsiaTheme="majorEastAsia" w:hAnsiTheme="majorHAnsi" w:cstheme="majorBidi"/>
                <w:b/>
                <w:bCs/>
                <w:sz w:val="18"/>
                <w:szCs w:val="18"/>
                <w:lang w:val="cs-CZ"/>
              </w:rPr>
              <w:t>2000-9999</w:t>
            </w:r>
          </w:p>
        </w:tc>
        <w:tc>
          <w:tcPr>
            <w:tcW w:w="1134" w:type="dxa"/>
            <w:tcBorders>
              <w:top w:val="double" w:sz="6" w:space="0" w:color="auto"/>
              <w:left w:val="nil"/>
              <w:bottom w:val="single" w:sz="4" w:space="0" w:color="auto"/>
              <w:right w:val="single" w:sz="4" w:space="0" w:color="auto"/>
            </w:tcBorders>
            <w:shd w:val="clear" w:color="auto" w:fill="auto"/>
            <w:noWrap/>
            <w:vAlign w:val="center"/>
            <w:hideMark/>
          </w:tcPr>
          <w:p w14:paraId="2ACF58C0" w14:textId="77777777" w:rsidR="00A14B9B" w:rsidRPr="002A0D4F" w:rsidRDefault="00A14B9B" w:rsidP="00DB1D1D">
            <w:pPr>
              <w:jc w:val="center"/>
              <w:rPr>
                <w:rFonts w:asciiTheme="majorHAnsi" w:eastAsiaTheme="majorEastAsia" w:hAnsiTheme="majorHAnsi" w:cstheme="majorBidi"/>
                <w:b/>
                <w:bCs/>
                <w:sz w:val="18"/>
                <w:szCs w:val="18"/>
                <w:lang w:val="cs-CZ"/>
              </w:rPr>
            </w:pPr>
            <w:r w:rsidRPr="002A0D4F">
              <w:rPr>
                <w:rFonts w:asciiTheme="majorHAnsi" w:eastAsiaTheme="majorEastAsia" w:hAnsiTheme="majorHAnsi" w:cstheme="majorBidi"/>
                <w:b/>
                <w:bCs/>
                <w:sz w:val="18"/>
                <w:szCs w:val="18"/>
                <w:lang w:val="cs-CZ"/>
              </w:rPr>
              <w:t>do 49 999</w:t>
            </w:r>
          </w:p>
        </w:tc>
        <w:tc>
          <w:tcPr>
            <w:tcW w:w="1044" w:type="dxa"/>
            <w:tcBorders>
              <w:top w:val="double" w:sz="6" w:space="0" w:color="auto"/>
              <w:left w:val="nil"/>
              <w:bottom w:val="single" w:sz="4" w:space="0" w:color="auto"/>
              <w:right w:val="single" w:sz="4" w:space="0" w:color="auto"/>
            </w:tcBorders>
            <w:shd w:val="clear" w:color="auto" w:fill="auto"/>
            <w:noWrap/>
            <w:vAlign w:val="center"/>
            <w:hideMark/>
          </w:tcPr>
          <w:p w14:paraId="6F8C8E98" w14:textId="77777777" w:rsidR="00A14B9B" w:rsidRPr="002A0D4F" w:rsidRDefault="00A14B9B" w:rsidP="00DB1D1D">
            <w:pPr>
              <w:jc w:val="center"/>
              <w:rPr>
                <w:rFonts w:asciiTheme="majorHAnsi" w:eastAsiaTheme="majorEastAsia" w:hAnsiTheme="majorHAnsi" w:cstheme="majorBidi"/>
                <w:b/>
                <w:bCs/>
                <w:sz w:val="18"/>
                <w:szCs w:val="18"/>
                <w:lang w:val="cs-CZ"/>
              </w:rPr>
            </w:pPr>
            <w:r w:rsidRPr="002A0D4F">
              <w:rPr>
                <w:rFonts w:asciiTheme="majorHAnsi" w:eastAsiaTheme="majorEastAsia" w:hAnsiTheme="majorHAnsi" w:cstheme="majorBidi"/>
                <w:b/>
                <w:bCs/>
                <w:sz w:val="18"/>
                <w:szCs w:val="18"/>
                <w:lang w:val="cs-CZ"/>
              </w:rPr>
              <w:t>50 000 a více</w:t>
            </w:r>
          </w:p>
        </w:tc>
        <w:tc>
          <w:tcPr>
            <w:tcW w:w="960" w:type="dxa"/>
            <w:tcBorders>
              <w:top w:val="double" w:sz="6" w:space="0" w:color="auto"/>
              <w:left w:val="nil"/>
              <w:bottom w:val="single" w:sz="4" w:space="0" w:color="auto"/>
              <w:right w:val="single" w:sz="4" w:space="0" w:color="auto"/>
            </w:tcBorders>
            <w:shd w:val="clear" w:color="auto" w:fill="auto"/>
            <w:noWrap/>
            <w:vAlign w:val="center"/>
            <w:hideMark/>
          </w:tcPr>
          <w:p w14:paraId="7E475D0B" w14:textId="77777777" w:rsidR="00A14B9B" w:rsidRPr="002A0D4F" w:rsidRDefault="00A14B9B" w:rsidP="00DB1D1D">
            <w:pPr>
              <w:jc w:val="center"/>
              <w:rPr>
                <w:rFonts w:asciiTheme="majorHAnsi" w:eastAsiaTheme="majorEastAsia" w:hAnsiTheme="majorHAnsi" w:cstheme="majorBidi"/>
                <w:b/>
                <w:bCs/>
                <w:sz w:val="18"/>
                <w:szCs w:val="18"/>
                <w:lang w:val="cs-CZ"/>
              </w:rPr>
            </w:pPr>
            <w:r w:rsidRPr="002A0D4F">
              <w:rPr>
                <w:rFonts w:asciiTheme="majorHAnsi" w:eastAsiaTheme="majorEastAsia" w:hAnsiTheme="majorHAnsi" w:cstheme="majorBidi"/>
                <w:b/>
                <w:bCs/>
                <w:sz w:val="18"/>
                <w:szCs w:val="18"/>
                <w:lang w:val="cs-CZ"/>
              </w:rPr>
              <w:t>rozdíl</w:t>
            </w:r>
            <w:r w:rsidRPr="002A0D4F">
              <w:rPr>
                <w:rFonts w:asciiTheme="majorHAnsi" w:eastAsiaTheme="majorEastAsia" w:hAnsiTheme="majorHAnsi" w:cstheme="majorBidi"/>
                <w:b/>
                <w:bCs/>
                <w:sz w:val="18"/>
                <w:szCs w:val="18"/>
                <w:vertAlign w:val="superscript"/>
                <w:lang w:val="cs-CZ"/>
              </w:rPr>
              <w:t>1)</w:t>
            </w:r>
          </w:p>
        </w:tc>
        <w:tc>
          <w:tcPr>
            <w:tcW w:w="923" w:type="dxa"/>
            <w:tcBorders>
              <w:top w:val="double" w:sz="6" w:space="0" w:color="auto"/>
              <w:left w:val="nil"/>
              <w:bottom w:val="single" w:sz="4" w:space="0" w:color="auto"/>
              <w:right w:val="double" w:sz="6" w:space="0" w:color="auto"/>
            </w:tcBorders>
            <w:shd w:val="clear" w:color="auto" w:fill="auto"/>
            <w:noWrap/>
            <w:vAlign w:val="center"/>
            <w:hideMark/>
          </w:tcPr>
          <w:p w14:paraId="12C96AB5" w14:textId="77777777" w:rsidR="00A14B9B" w:rsidRPr="002A0D4F" w:rsidRDefault="00A14B9B" w:rsidP="00DB1D1D">
            <w:pPr>
              <w:jc w:val="center"/>
              <w:rPr>
                <w:rFonts w:asciiTheme="majorHAnsi" w:eastAsiaTheme="majorEastAsia" w:hAnsiTheme="majorHAnsi" w:cstheme="majorBidi"/>
                <w:b/>
                <w:bCs/>
                <w:sz w:val="18"/>
                <w:szCs w:val="18"/>
                <w:lang w:val="cs-CZ"/>
              </w:rPr>
            </w:pPr>
            <w:proofErr w:type="gramStart"/>
            <w:r w:rsidRPr="002A0D4F">
              <w:rPr>
                <w:rFonts w:asciiTheme="majorHAnsi" w:eastAsiaTheme="majorEastAsia" w:hAnsiTheme="majorHAnsi" w:cstheme="majorBidi"/>
                <w:b/>
                <w:bCs/>
                <w:sz w:val="18"/>
                <w:szCs w:val="18"/>
                <w:lang w:val="cs-CZ"/>
              </w:rPr>
              <w:t>Ind.(</w:t>
            </w:r>
            <w:proofErr w:type="gramEnd"/>
            <w:r w:rsidRPr="002A0D4F">
              <w:rPr>
                <w:rFonts w:asciiTheme="majorHAnsi" w:eastAsiaTheme="majorEastAsia" w:hAnsiTheme="majorHAnsi" w:cstheme="majorBidi"/>
                <w:b/>
                <w:bCs/>
                <w:sz w:val="18"/>
                <w:szCs w:val="18"/>
                <w:lang w:val="cs-CZ"/>
              </w:rPr>
              <w:t>%)</w:t>
            </w:r>
            <w:r w:rsidRPr="002A0D4F">
              <w:rPr>
                <w:rFonts w:asciiTheme="majorHAnsi" w:eastAsiaTheme="majorEastAsia" w:hAnsiTheme="majorHAnsi" w:cstheme="majorBidi"/>
                <w:b/>
                <w:bCs/>
                <w:sz w:val="18"/>
                <w:szCs w:val="18"/>
                <w:vertAlign w:val="superscript"/>
                <w:lang w:val="cs-CZ"/>
              </w:rPr>
              <w:t>1)</w:t>
            </w:r>
          </w:p>
        </w:tc>
      </w:tr>
      <w:tr w:rsidR="00A14B9B" w:rsidRPr="002A0D4F" w14:paraId="34EA3FDD" w14:textId="77777777" w:rsidTr="00DB1D1D">
        <w:trPr>
          <w:trHeight w:val="300"/>
        </w:trPr>
        <w:tc>
          <w:tcPr>
            <w:tcW w:w="2954" w:type="dxa"/>
            <w:tcBorders>
              <w:top w:val="nil"/>
              <w:left w:val="double" w:sz="6" w:space="0" w:color="auto"/>
              <w:bottom w:val="single" w:sz="4" w:space="0" w:color="auto"/>
              <w:right w:val="single" w:sz="4" w:space="0" w:color="auto"/>
            </w:tcBorders>
            <w:shd w:val="clear" w:color="auto" w:fill="auto"/>
            <w:noWrap/>
            <w:vAlign w:val="bottom"/>
            <w:hideMark/>
          </w:tcPr>
          <w:p w14:paraId="6AA49158" w14:textId="77777777" w:rsidR="00A14B9B" w:rsidRPr="002A0D4F" w:rsidRDefault="00A14B9B" w:rsidP="00DB1D1D">
            <w:pPr>
              <w:rPr>
                <w:rFonts w:asciiTheme="majorHAnsi" w:eastAsiaTheme="majorEastAsia" w:hAnsiTheme="majorHAnsi" w:cstheme="majorBidi"/>
                <w:b/>
                <w:bCs/>
                <w:sz w:val="18"/>
                <w:szCs w:val="18"/>
                <w:lang w:val="cs-CZ"/>
              </w:rPr>
            </w:pPr>
            <w:r w:rsidRPr="002A0D4F">
              <w:rPr>
                <w:rFonts w:asciiTheme="majorHAnsi" w:eastAsiaTheme="majorEastAsia" w:hAnsiTheme="majorHAnsi" w:cstheme="majorBidi"/>
                <w:b/>
                <w:bCs/>
                <w:sz w:val="18"/>
                <w:szCs w:val="18"/>
                <w:lang w:val="cs-CZ"/>
              </w:rPr>
              <w:t>Průměrný počet členů domácnosti</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14:paraId="4668DD52" w14:textId="77777777" w:rsidR="00A14B9B" w:rsidRPr="002A0D4F" w:rsidRDefault="00A14B9B" w:rsidP="00DB1D1D">
            <w:pPr>
              <w:jc w:val="right"/>
              <w:rPr>
                <w:rFonts w:asciiTheme="majorHAnsi" w:eastAsiaTheme="majorEastAsia" w:hAnsiTheme="majorHAnsi" w:cstheme="majorBidi"/>
                <w:sz w:val="18"/>
                <w:szCs w:val="18"/>
                <w:lang w:val="cs-CZ"/>
              </w:rPr>
            </w:pPr>
            <w:r w:rsidRPr="002A0D4F">
              <w:rPr>
                <w:rFonts w:asciiTheme="majorHAnsi" w:eastAsiaTheme="majorEastAsia" w:hAnsiTheme="majorHAnsi" w:cstheme="majorBidi"/>
                <w:sz w:val="18"/>
                <w:szCs w:val="18"/>
                <w:lang w:val="cs-CZ"/>
              </w:rPr>
              <w:t xml:space="preserve">2,20  </w:t>
            </w:r>
          </w:p>
        </w:tc>
        <w:tc>
          <w:tcPr>
            <w:tcW w:w="993" w:type="dxa"/>
            <w:tcBorders>
              <w:top w:val="nil"/>
              <w:left w:val="nil"/>
              <w:bottom w:val="single" w:sz="4" w:space="0" w:color="auto"/>
              <w:right w:val="single" w:sz="4" w:space="0" w:color="auto"/>
            </w:tcBorders>
            <w:shd w:val="clear" w:color="auto" w:fill="auto"/>
            <w:noWrap/>
            <w:vAlign w:val="bottom"/>
            <w:hideMark/>
          </w:tcPr>
          <w:p w14:paraId="3FFF7266" w14:textId="77777777" w:rsidR="00A14B9B" w:rsidRPr="002A0D4F" w:rsidRDefault="00A14B9B" w:rsidP="00DB1D1D">
            <w:pPr>
              <w:jc w:val="right"/>
              <w:rPr>
                <w:rFonts w:asciiTheme="majorHAnsi" w:eastAsiaTheme="majorEastAsia" w:hAnsiTheme="majorHAnsi" w:cstheme="majorBidi"/>
                <w:sz w:val="18"/>
                <w:szCs w:val="18"/>
                <w:lang w:val="cs-CZ"/>
              </w:rPr>
            </w:pPr>
            <w:r w:rsidRPr="002A0D4F">
              <w:rPr>
                <w:rFonts w:asciiTheme="majorHAnsi" w:eastAsiaTheme="majorEastAsia" w:hAnsiTheme="majorHAnsi" w:cstheme="majorBidi"/>
                <w:sz w:val="18"/>
                <w:szCs w:val="18"/>
                <w:lang w:val="cs-CZ"/>
              </w:rPr>
              <w:t xml:space="preserve">2,47  </w:t>
            </w:r>
          </w:p>
        </w:tc>
        <w:tc>
          <w:tcPr>
            <w:tcW w:w="992" w:type="dxa"/>
            <w:tcBorders>
              <w:top w:val="nil"/>
              <w:left w:val="nil"/>
              <w:bottom w:val="single" w:sz="4" w:space="0" w:color="auto"/>
              <w:right w:val="single" w:sz="4" w:space="0" w:color="auto"/>
            </w:tcBorders>
            <w:shd w:val="clear" w:color="auto" w:fill="auto"/>
            <w:noWrap/>
            <w:vAlign w:val="bottom"/>
            <w:hideMark/>
          </w:tcPr>
          <w:p w14:paraId="45D48434" w14:textId="77777777" w:rsidR="00A14B9B" w:rsidRPr="002A0D4F" w:rsidRDefault="00A14B9B" w:rsidP="00DB1D1D">
            <w:pPr>
              <w:jc w:val="right"/>
              <w:rPr>
                <w:rFonts w:asciiTheme="majorHAnsi" w:eastAsiaTheme="majorEastAsia" w:hAnsiTheme="majorHAnsi" w:cstheme="majorBidi"/>
                <w:sz w:val="18"/>
                <w:szCs w:val="18"/>
                <w:lang w:val="cs-CZ"/>
              </w:rPr>
            </w:pPr>
            <w:r w:rsidRPr="002A0D4F">
              <w:rPr>
                <w:rFonts w:asciiTheme="majorHAnsi" w:eastAsiaTheme="majorEastAsia" w:hAnsiTheme="majorHAnsi" w:cstheme="majorBidi"/>
                <w:sz w:val="18"/>
                <w:szCs w:val="18"/>
                <w:lang w:val="cs-CZ"/>
              </w:rPr>
              <w:t xml:space="preserve">2,27  </w:t>
            </w:r>
          </w:p>
        </w:tc>
        <w:tc>
          <w:tcPr>
            <w:tcW w:w="1134" w:type="dxa"/>
            <w:tcBorders>
              <w:top w:val="nil"/>
              <w:left w:val="nil"/>
              <w:bottom w:val="single" w:sz="4" w:space="0" w:color="auto"/>
              <w:right w:val="single" w:sz="4" w:space="0" w:color="auto"/>
            </w:tcBorders>
            <w:shd w:val="clear" w:color="auto" w:fill="auto"/>
            <w:noWrap/>
            <w:vAlign w:val="bottom"/>
            <w:hideMark/>
          </w:tcPr>
          <w:p w14:paraId="04E08DDE" w14:textId="77777777" w:rsidR="00A14B9B" w:rsidRPr="002A0D4F" w:rsidRDefault="00A14B9B" w:rsidP="00DB1D1D">
            <w:pPr>
              <w:jc w:val="right"/>
              <w:rPr>
                <w:rFonts w:asciiTheme="majorHAnsi" w:eastAsiaTheme="majorEastAsia" w:hAnsiTheme="majorHAnsi" w:cstheme="majorBidi"/>
                <w:sz w:val="18"/>
                <w:szCs w:val="18"/>
                <w:lang w:val="cs-CZ"/>
              </w:rPr>
            </w:pPr>
            <w:r w:rsidRPr="002A0D4F">
              <w:rPr>
                <w:rFonts w:asciiTheme="majorHAnsi" w:eastAsiaTheme="majorEastAsia" w:hAnsiTheme="majorHAnsi" w:cstheme="majorBidi"/>
                <w:sz w:val="18"/>
                <w:szCs w:val="18"/>
                <w:lang w:val="cs-CZ"/>
              </w:rPr>
              <w:t xml:space="preserve">2,04  </w:t>
            </w:r>
          </w:p>
        </w:tc>
        <w:tc>
          <w:tcPr>
            <w:tcW w:w="1044" w:type="dxa"/>
            <w:tcBorders>
              <w:top w:val="nil"/>
              <w:left w:val="nil"/>
              <w:bottom w:val="single" w:sz="4" w:space="0" w:color="auto"/>
              <w:right w:val="single" w:sz="4" w:space="0" w:color="auto"/>
            </w:tcBorders>
            <w:shd w:val="clear" w:color="auto" w:fill="auto"/>
            <w:noWrap/>
            <w:vAlign w:val="bottom"/>
            <w:hideMark/>
          </w:tcPr>
          <w:p w14:paraId="35AF425C" w14:textId="77777777" w:rsidR="00A14B9B" w:rsidRPr="002A0D4F" w:rsidRDefault="00A14B9B" w:rsidP="00DB1D1D">
            <w:pPr>
              <w:jc w:val="right"/>
              <w:rPr>
                <w:rFonts w:asciiTheme="majorHAnsi" w:eastAsiaTheme="majorEastAsia" w:hAnsiTheme="majorHAnsi" w:cstheme="majorBidi"/>
                <w:sz w:val="18"/>
                <w:szCs w:val="18"/>
                <w:lang w:val="cs-CZ"/>
              </w:rPr>
            </w:pPr>
            <w:r w:rsidRPr="002A0D4F">
              <w:rPr>
                <w:rFonts w:asciiTheme="majorHAnsi" w:eastAsiaTheme="majorEastAsia" w:hAnsiTheme="majorHAnsi" w:cstheme="majorBidi"/>
                <w:sz w:val="18"/>
                <w:szCs w:val="18"/>
                <w:lang w:val="cs-CZ"/>
              </w:rPr>
              <w:t xml:space="preserve">2,08  </w:t>
            </w:r>
          </w:p>
        </w:tc>
        <w:tc>
          <w:tcPr>
            <w:tcW w:w="960" w:type="dxa"/>
            <w:tcBorders>
              <w:top w:val="nil"/>
              <w:left w:val="nil"/>
              <w:bottom w:val="single" w:sz="4" w:space="0" w:color="auto"/>
              <w:right w:val="single" w:sz="4" w:space="0" w:color="auto"/>
            </w:tcBorders>
            <w:shd w:val="clear" w:color="auto" w:fill="auto"/>
            <w:noWrap/>
            <w:vAlign w:val="bottom"/>
            <w:hideMark/>
          </w:tcPr>
          <w:p w14:paraId="1F918C8E" w14:textId="77777777" w:rsidR="00A14B9B" w:rsidRPr="002A0D4F" w:rsidRDefault="00A14B9B" w:rsidP="00DB1D1D">
            <w:pPr>
              <w:jc w:val="right"/>
              <w:rPr>
                <w:rFonts w:asciiTheme="majorHAnsi" w:eastAsiaTheme="majorEastAsia" w:hAnsiTheme="majorHAnsi" w:cstheme="majorBidi"/>
                <w:sz w:val="18"/>
                <w:szCs w:val="18"/>
                <w:lang w:val="cs-CZ"/>
              </w:rPr>
            </w:pPr>
            <w:r w:rsidRPr="002A0D4F">
              <w:rPr>
                <w:rFonts w:asciiTheme="majorHAnsi" w:eastAsiaTheme="majorEastAsia" w:hAnsiTheme="majorHAnsi" w:cstheme="majorBidi"/>
                <w:sz w:val="18"/>
                <w:szCs w:val="18"/>
                <w:lang w:val="cs-CZ"/>
              </w:rPr>
              <w:t>0,39</w:t>
            </w:r>
          </w:p>
        </w:tc>
        <w:tc>
          <w:tcPr>
            <w:tcW w:w="923" w:type="dxa"/>
            <w:tcBorders>
              <w:top w:val="nil"/>
              <w:left w:val="nil"/>
              <w:bottom w:val="single" w:sz="4" w:space="0" w:color="auto"/>
              <w:right w:val="double" w:sz="6" w:space="0" w:color="auto"/>
            </w:tcBorders>
            <w:shd w:val="clear" w:color="auto" w:fill="auto"/>
            <w:noWrap/>
            <w:vAlign w:val="bottom"/>
            <w:hideMark/>
          </w:tcPr>
          <w:p w14:paraId="2DC9E1DA" w14:textId="77777777" w:rsidR="00A14B9B" w:rsidRPr="002A0D4F" w:rsidRDefault="00A14B9B" w:rsidP="00DB1D1D">
            <w:pPr>
              <w:jc w:val="right"/>
              <w:rPr>
                <w:rFonts w:asciiTheme="majorHAnsi" w:eastAsiaTheme="majorEastAsia" w:hAnsiTheme="majorHAnsi" w:cstheme="majorBidi"/>
                <w:sz w:val="18"/>
                <w:szCs w:val="18"/>
                <w:lang w:val="cs-CZ"/>
              </w:rPr>
            </w:pPr>
            <w:r w:rsidRPr="002A0D4F">
              <w:rPr>
                <w:rFonts w:asciiTheme="majorHAnsi" w:eastAsiaTheme="majorEastAsia" w:hAnsiTheme="majorHAnsi" w:cstheme="majorBidi"/>
                <w:sz w:val="18"/>
                <w:szCs w:val="18"/>
                <w:lang w:val="cs-CZ"/>
              </w:rPr>
              <w:t>118,8</w:t>
            </w:r>
          </w:p>
        </w:tc>
      </w:tr>
      <w:tr w:rsidR="00A14B9B" w:rsidRPr="002A0D4F" w14:paraId="6D3F118F" w14:textId="77777777" w:rsidTr="00DB1D1D">
        <w:trPr>
          <w:trHeight w:val="300"/>
        </w:trPr>
        <w:tc>
          <w:tcPr>
            <w:tcW w:w="2954" w:type="dxa"/>
            <w:tcBorders>
              <w:top w:val="nil"/>
              <w:left w:val="double" w:sz="6" w:space="0" w:color="auto"/>
              <w:bottom w:val="single" w:sz="4" w:space="0" w:color="auto"/>
              <w:right w:val="single" w:sz="4" w:space="0" w:color="auto"/>
            </w:tcBorders>
            <w:shd w:val="clear" w:color="auto" w:fill="auto"/>
            <w:noWrap/>
            <w:vAlign w:val="bottom"/>
            <w:hideMark/>
          </w:tcPr>
          <w:p w14:paraId="19A0C8B2" w14:textId="77777777" w:rsidR="00A14B9B" w:rsidRPr="002A0D4F" w:rsidRDefault="00A14B9B" w:rsidP="00DB1D1D">
            <w:pPr>
              <w:rPr>
                <w:rFonts w:asciiTheme="majorHAnsi" w:eastAsiaTheme="majorEastAsia" w:hAnsiTheme="majorHAnsi" w:cstheme="majorBidi"/>
                <w:b/>
                <w:bCs/>
                <w:sz w:val="18"/>
                <w:szCs w:val="18"/>
                <w:lang w:val="cs-CZ"/>
              </w:rPr>
            </w:pPr>
            <w:r w:rsidRPr="002A0D4F">
              <w:rPr>
                <w:rFonts w:asciiTheme="majorHAnsi" w:eastAsiaTheme="majorEastAsia" w:hAnsiTheme="majorHAnsi" w:cstheme="majorBidi"/>
                <w:b/>
                <w:bCs/>
                <w:sz w:val="18"/>
                <w:szCs w:val="18"/>
                <w:lang w:val="cs-CZ"/>
              </w:rPr>
              <w:t xml:space="preserve">  z toho pracujících</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14:paraId="48400C1C" w14:textId="77777777" w:rsidR="00A14B9B" w:rsidRPr="002A0D4F" w:rsidRDefault="00A14B9B" w:rsidP="00DB1D1D">
            <w:pPr>
              <w:jc w:val="right"/>
              <w:rPr>
                <w:rFonts w:asciiTheme="majorHAnsi" w:eastAsiaTheme="majorEastAsia" w:hAnsiTheme="majorHAnsi" w:cstheme="majorBidi"/>
                <w:sz w:val="18"/>
                <w:szCs w:val="18"/>
                <w:lang w:val="cs-CZ"/>
              </w:rPr>
            </w:pPr>
            <w:r w:rsidRPr="002A0D4F">
              <w:rPr>
                <w:rFonts w:asciiTheme="majorHAnsi" w:eastAsiaTheme="majorEastAsia" w:hAnsiTheme="majorHAnsi" w:cstheme="majorBidi"/>
                <w:sz w:val="18"/>
                <w:szCs w:val="18"/>
                <w:lang w:val="cs-CZ"/>
              </w:rPr>
              <w:t xml:space="preserve">0,99  </w:t>
            </w:r>
          </w:p>
        </w:tc>
        <w:tc>
          <w:tcPr>
            <w:tcW w:w="993" w:type="dxa"/>
            <w:tcBorders>
              <w:top w:val="nil"/>
              <w:left w:val="nil"/>
              <w:bottom w:val="single" w:sz="4" w:space="0" w:color="auto"/>
              <w:right w:val="single" w:sz="4" w:space="0" w:color="auto"/>
            </w:tcBorders>
            <w:shd w:val="clear" w:color="auto" w:fill="auto"/>
            <w:noWrap/>
            <w:vAlign w:val="bottom"/>
            <w:hideMark/>
          </w:tcPr>
          <w:p w14:paraId="5C1D77E5" w14:textId="77777777" w:rsidR="00A14B9B" w:rsidRPr="002A0D4F" w:rsidRDefault="00A14B9B" w:rsidP="00DB1D1D">
            <w:pPr>
              <w:jc w:val="right"/>
              <w:rPr>
                <w:rFonts w:asciiTheme="majorHAnsi" w:eastAsiaTheme="majorEastAsia" w:hAnsiTheme="majorHAnsi" w:cstheme="majorBidi"/>
                <w:sz w:val="18"/>
                <w:szCs w:val="18"/>
                <w:lang w:val="cs-CZ"/>
              </w:rPr>
            </w:pPr>
            <w:r w:rsidRPr="002A0D4F">
              <w:rPr>
                <w:rFonts w:asciiTheme="majorHAnsi" w:eastAsiaTheme="majorEastAsia" w:hAnsiTheme="majorHAnsi" w:cstheme="majorBidi"/>
                <w:sz w:val="18"/>
                <w:szCs w:val="18"/>
                <w:lang w:val="cs-CZ"/>
              </w:rPr>
              <w:t xml:space="preserve">1,08  </w:t>
            </w:r>
          </w:p>
        </w:tc>
        <w:tc>
          <w:tcPr>
            <w:tcW w:w="992" w:type="dxa"/>
            <w:tcBorders>
              <w:top w:val="nil"/>
              <w:left w:val="nil"/>
              <w:bottom w:val="single" w:sz="4" w:space="0" w:color="auto"/>
              <w:right w:val="single" w:sz="4" w:space="0" w:color="auto"/>
            </w:tcBorders>
            <w:shd w:val="clear" w:color="auto" w:fill="auto"/>
            <w:noWrap/>
            <w:vAlign w:val="bottom"/>
            <w:hideMark/>
          </w:tcPr>
          <w:p w14:paraId="718D7158" w14:textId="77777777" w:rsidR="00A14B9B" w:rsidRPr="002A0D4F" w:rsidRDefault="00A14B9B" w:rsidP="00DB1D1D">
            <w:pPr>
              <w:jc w:val="right"/>
              <w:rPr>
                <w:rFonts w:asciiTheme="majorHAnsi" w:eastAsiaTheme="majorEastAsia" w:hAnsiTheme="majorHAnsi" w:cstheme="majorBidi"/>
                <w:sz w:val="18"/>
                <w:szCs w:val="18"/>
                <w:lang w:val="cs-CZ"/>
              </w:rPr>
            </w:pPr>
            <w:r w:rsidRPr="002A0D4F">
              <w:rPr>
                <w:rFonts w:asciiTheme="majorHAnsi" w:eastAsiaTheme="majorEastAsia" w:hAnsiTheme="majorHAnsi" w:cstheme="majorBidi"/>
                <w:sz w:val="18"/>
                <w:szCs w:val="18"/>
                <w:lang w:val="cs-CZ"/>
              </w:rPr>
              <w:t xml:space="preserve">1,03  </w:t>
            </w:r>
          </w:p>
        </w:tc>
        <w:tc>
          <w:tcPr>
            <w:tcW w:w="1134" w:type="dxa"/>
            <w:tcBorders>
              <w:top w:val="nil"/>
              <w:left w:val="nil"/>
              <w:bottom w:val="single" w:sz="4" w:space="0" w:color="auto"/>
              <w:right w:val="single" w:sz="4" w:space="0" w:color="auto"/>
            </w:tcBorders>
            <w:shd w:val="clear" w:color="auto" w:fill="auto"/>
            <w:noWrap/>
            <w:vAlign w:val="bottom"/>
            <w:hideMark/>
          </w:tcPr>
          <w:p w14:paraId="5A421F0C" w14:textId="77777777" w:rsidR="00A14B9B" w:rsidRPr="002A0D4F" w:rsidRDefault="00A14B9B" w:rsidP="00DB1D1D">
            <w:pPr>
              <w:jc w:val="right"/>
              <w:rPr>
                <w:rFonts w:asciiTheme="majorHAnsi" w:eastAsiaTheme="majorEastAsia" w:hAnsiTheme="majorHAnsi" w:cstheme="majorBidi"/>
                <w:sz w:val="18"/>
                <w:szCs w:val="18"/>
                <w:lang w:val="cs-CZ"/>
              </w:rPr>
            </w:pPr>
            <w:r w:rsidRPr="002A0D4F">
              <w:rPr>
                <w:rFonts w:asciiTheme="majorHAnsi" w:eastAsiaTheme="majorEastAsia" w:hAnsiTheme="majorHAnsi" w:cstheme="majorBidi"/>
                <w:sz w:val="18"/>
                <w:szCs w:val="18"/>
                <w:lang w:val="cs-CZ"/>
              </w:rPr>
              <w:t xml:space="preserve">0,95  </w:t>
            </w:r>
          </w:p>
        </w:tc>
        <w:tc>
          <w:tcPr>
            <w:tcW w:w="1044" w:type="dxa"/>
            <w:tcBorders>
              <w:top w:val="nil"/>
              <w:left w:val="nil"/>
              <w:bottom w:val="single" w:sz="4" w:space="0" w:color="auto"/>
              <w:right w:val="single" w:sz="4" w:space="0" w:color="auto"/>
            </w:tcBorders>
            <w:shd w:val="clear" w:color="auto" w:fill="auto"/>
            <w:noWrap/>
            <w:vAlign w:val="bottom"/>
            <w:hideMark/>
          </w:tcPr>
          <w:p w14:paraId="35AE06B9" w14:textId="77777777" w:rsidR="00A14B9B" w:rsidRPr="002A0D4F" w:rsidRDefault="00A14B9B" w:rsidP="00DB1D1D">
            <w:pPr>
              <w:jc w:val="right"/>
              <w:rPr>
                <w:rFonts w:asciiTheme="majorHAnsi" w:eastAsiaTheme="majorEastAsia" w:hAnsiTheme="majorHAnsi" w:cstheme="majorBidi"/>
                <w:sz w:val="18"/>
                <w:szCs w:val="18"/>
                <w:lang w:val="cs-CZ"/>
              </w:rPr>
            </w:pPr>
            <w:r w:rsidRPr="002A0D4F">
              <w:rPr>
                <w:rFonts w:asciiTheme="majorHAnsi" w:eastAsiaTheme="majorEastAsia" w:hAnsiTheme="majorHAnsi" w:cstheme="majorBidi"/>
                <w:sz w:val="18"/>
                <w:szCs w:val="18"/>
                <w:lang w:val="cs-CZ"/>
              </w:rPr>
              <w:t xml:space="preserve">0,94  </w:t>
            </w:r>
          </w:p>
        </w:tc>
        <w:tc>
          <w:tcPr>
            <w:tcW w:w="960" w:type="dxa"/>
            <w:tcBorders>
              <w:top w:val="nil"/>
              <w:left w:val="nil"/>
              <w:bottom w:val="single" w:sz="4" w:space="0" w:color="auto"/>
              <w:right w:val="single" w:sz="4" w:space="0" w:color="auto"/>
            </w:tcBorders>
            <w:shd w:val="clear" w:color="auto" w:fill="auto"/>
            <w:noWrap/>
            <w:vAlign w:val="bottom"/>
            <w:hideMark/>
          </w:tcPr>
          <w:p w14:paraId="7044A83E" w14:textId="77777777" w:rsidR="00A14B9B" w:rsidRPr="002A0D4F" w:rsidRDefault="00A14B9B" w:rsidP="00DB1D1D">
            <w:pPr>
              <w:jc w:val="right"/>
              <w:rPr>
                <w:rFonts w:asciiTheme="majorHAnsi" w:eastAsiaTheme="majorEastAsia" w:hAnsiTheme="majorHAnsi" w:cstheme="majorBidi"/>
                <w:sz w:val="18"/>
                <w:szCs w:val="18"/>
                <w:lang w:val="cs-CZ"/>
              </w:rPr>
            </w:pPr>
            <w:r w:rsidRPr="002A0D4F">
              <w:rPr>
                <w:rFonts w:asciiTheme="majorHAnsi" w:eastAsiaTheme="majorEastAsia" w:hAnsiTheme="majorHAnsi" w:cstheme="majorBidi"/>
                <w:sz w:val="18"/>
                <w:szCs w:val="18"/>
                <w:lang w:val="cs-CZ"/>
              </w:rPr>
              <w:t>0,14</w:t>
            </w:r>
          </w:p>
        </w:tc>
        <w:tc>
          <w:tcPr>
            <w:tcW w:w="923" w:type="dxa"/>
            <w:tcBorders>
              <w:top w:val="nil"/>
              <w:left w:val="nil"/>
              <w:bottom w:val="single" w:sz="4" w:space="0" w:color="auto"/>
              <w:right w:val="double" w:sz="6" w:space="0" w:color="auto"/>
            </w:tcBorders>
            <w:shd w:val="clear" w:color="auto" w:fill="auto"/>
            <w:noWrap/>
            <w:vAlign w:val="bottom"/>
            <w:hideMark/>
          </w:tcPr>
          <w:p w14:paraId="14F745D7" w14:textId="77777777" w:rsidR="00A14B9B" w:rsidRPr="002A0D4F" w:rsidRDefault="00A14B9B" w:rsidP="00DB1D1D">
            <w:pPr>
              <w:jc w:val="right"/>
              <w:rPr>
                <w:rFonts w:asciiTheme="majorHAnsi" w:eastAsiaTheme="majorEastAsia" w:hAnsiTheme="majorHAnsi" w:cstheme="majorBidi"/>
                <w:sz w:val="18"/>
                <w:szCs w:val="18"/>
                <w:lang w:val="cs-CZ"/>
              </w:rPr>
            </w:pPr>
            <w:r w:rsidRPr="002A0D4F">
              <w:rPr>
                <w:rFonts w:asciiTheme="majorHAnsi" w:eastAsiaTheme="majorEastAsia" w:hAnsiTheme="majorHAnsi" w:cstheme="majorBidi"/>
                <w:sz w:val="18"/>
                <w:szCs w:val="18"/>
                <w:lang w:val="cs-CZ"/>
              </w:rPr>
              <w:t>114,9</w:t>
            </w:r>
          </w:p>
        </w:tc>
      </w:tr>
      <w:tr w:rsidR="00A14B9B" w:rsidRPr="002A0D4F" w14:paraId="3826F7E9" w14:textId="77777777" w:rsidTr="00DB1D1D">
        <w:trPr>
          <w:trHeight w:val="300"/>
        </w:trPr>
        <w:tc>
          <w:tcPr>
            <w:tcW w:w="2954" w:type="dxa"/>
            <w:tcBorders>
              <w:top w:val="nil"/>
              <w:left w:val="double" w:sz="6" w:space="0" w:color="auto"/>
              <w:bottom w:val="single" w:sz="4" w:space="0" w:color="auto"/>
              <w:right w:val="single" w:sz="4" w:space="0" w:color="auto"/>
            </w:tcBorders>
            <w:shd w:val="clear" w:color="auto" w:fill="auto"/>
            <w:noWrap/>
            <w:vAlign w:val="bottom"/>
            <w:hideMark/>
          </w:tcPr>
          <w:p w14:paraId="27918D97" w14:textId="77777777" w:rsidR="00A14B9B" w:rsidRPr="002A0D4F" w:rsidRDefault="00A14B9B" w:rsidP="00DB1D1D">
            <w:pPr>
              <w:rPr>
                <w:rFonts w:asciiTheme="majorHAnsi" w:eastAsiaTheme="majorEastAsia" w:hAnsiTheme="majorHAnsi" w:cstheme="majorBidi"/>
                <w:b/>
                <w:bCs/>
                <w:sz w:val="18"/>
                <w:szCs w:val="18"/>
                <w:lang w:val="cs-CZ"/>
              </w:rPr>
            </w:pPr>
            <w:r w:rsidRPr="002A0D4F">
              <w:rPr>
                <w:rFonts w:asciiTheme="majorHAnsi" w:eastAsiaTheme="majorEastAsia" w:hAnsiTheme="majorHAnsi" w:cstheme="majorBidi"/>
                <w:b/>
                <w:bCs/>
                <w:sz w:val="18"/>
                <w:szCs w:val="18"/>
                <w:lang w:val="cs-CZ"/>
              </w:rPr>
              <w:t xml:space="preserve">               vyživovaných dětí</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14:paraId="15F1B067" w14:textId="77777777" w:rsidR="00A14B9B" w:rsidRPr="002A0D4F" w:rsidRDefault="00A14B9B" w:rsidP="00DB1D1D">
            <w:pPr>
              <w:jc w:val="right"/>
              <w:rPr>
                <w:rFonts w:asciiTheme="majorHAnsi" w:eastAsiaTheme="majorEastAsia" w:hAnsiTheme="majorHAnsi" w:cstheme="majorBidi"/>
                <w:sz w:val="18"/>
                <w:szCs w:val="18"/>
                <w:lang w:val="cs-CZ"/>
              </w:rPr>
            </w:pPr>
            <w:r w:rsidRPr="002A0D4F">
              <w:rPr>
                <w:rFonts w:asciiTheme="majorHAnsi" w:eastAsiaTheme="majorEastAsia" w:hAnsiTheme="majorHAnsi" w:cstheme="majorBidi"/>
                <w:sz w:val="18"/>
                <w:szCs w:val="18"/>
                <w:lang w:val="cs-CZ"/>
              </w:rPr>
              <w:t xml:space="preserve">0,52  </w:t>
            </w:r>
          </w:p>
        </w:tc>
        <w:tc>
          <w:tcPr>
            <w:tcW w:w="993" w:type="dxa"/>
            <w:tcBorders>
              <w:top w:val="nil"/>
              <w:left w:val="nil"/>
              <w:bottom w:val="single" w:sz="4" w:space="0" w:color="auto"/>
              <w:right w:val="single" w:sz="4" w:space="0" w:color="auto"/>
            </w:tcBorders>
            <w:shd w:val="clear" w:color="auto" w:fill="auto"/>
            <w:noWrap/>
            <w:vAlign w:val="bottom"/>
            <w:hideMark/>
          </w:tcPr>
          <w:p w14:paraId="74090B06" w14:textId="77777777" w:rsidR="00A14B9B" w:rsidRPr="002A0D4F" w:rsidRDefault="00A14B9B" w:rsidP="00DB1D1D">
            <w:pPr>
              <w:jc w:val="right"/>
              <w:rPr>
                <w:rFonts w:asciiTheme="majorHAnsi" w:eastAsiaTheme="majorEastAsia" w:hAnsiTheme="majorHAnsi" w:cstheme="majorBidi"/>
                <w:sz w:val="18"/>
                <w:szCs w:val="18"/>
                <w:lang w:val="cs-CZ"/>
              </w:rPr>
            </w:pPr>
            <w:r w:rsidRPr="002A0D4F">
              <w:rPr>
                <w:rFonts w:asciiTheme="majorHAnsi" w:eastAsiaTheme="majorEastAsia" w:hAnsiTheme="majorHAnsi" w:cstheme="majorBidi"/>
                <w:sz w:val="18"/>
                <w:szCs w:val="18"/>
                <w:lang w:val="cs-CZ"/>
              </w:rPr>
              <w:t xml:space="preserve">0,66  </w:t>
            </w:r>
          </w:p>
        </w:tc>
        <w:tc>
          <w:tcPr>
            <w:tcW w:w="992" w:type="dxa"/>
            <w:tcBorders>
              <w:top w:val="nil"/>
              <w:left w:val="nil"/>
              <w:bottom w:val="single" w:sz="4" w:space="0" w:color="auto"/>
              <w:right w:val="single" w:sz="4" w:space="0" w:color="auto"/>
            </w:tcBorders>
            <w:shd w:val="clear" w:color="auto" w:fill="auto"/>
            <w:noWrap/>
            <w:vAlign w:val="bottom"/>
            <w:hideMark/>
          </w:tcPr>
          <w:p w14:paraId="19F8DA72" w14:textId="77777777" w:rsidR="00A14B9B" w:rsidRPr="002A0D4F" w:rsidRDefault="00A14B9B" w:rsidP="00DB1D1D">
            <w:pPr>
              <w:jc w:val="right"/>
              <w:rPr>
                <w:rFonts w:asciiTheme="majorHAnsi" w:eastAsiaTheme="majorEastAsia" w:hAnsiTheme="majorHAnsi" w:cstheme="majorBidi"/>
                <w:sz w:val="18"/>
                <w:szCs w:val="18"/>
                <w:lang w:val="cs-CZ"/>
              </w:rPr>
            </w:pPr>
            <w:r w:rsidRPr="002A0D4F">
              <w:rPr>
                <w:rFonts w:asciiTheme="majorHAnsi" w:eastAsiaTheme="majorEastAsia" w:hAnsiTheme="majorHAnsi" w:cstheme="majorBidi"/>
                <w:sz w:val="18"/>
                <w:szCs w:val="18"/>
                <w:lang w:val="cs-CZ"/>
              </w:rPr>
              <w:t xml:space="preserve">0,57  </w:t>
            </w:r>
          </w:p>
        </w:tc>
        <w:tc>
          <w:tcPr>
            <w:tcW w:w="1134" w:type="dxa"/>
            <w:tcBorders>
              <w:top w:val="nil"/>
              <w:left w:val="nil"/>
              <w:bottom w:val="single" w:sz="4" w:space="0" w:color="auto"/>
              <w:right w:val="single" w:sz="4" w:space="0" w:color="auto"/>
            </w:tcBorders>
            <w:shd w:val="clear" w:color="auto" w:fill="auto"/>
            <w:noWrap/>
            <w:vAlign w:val="bottom"/>
            <w:hideMark/>
          </w:tcPr>
          <w:p w14:paraId="7AE1053A" w14:textId="77777777" w:rsidR="00A14B9B" w:rsidRPr="002A0D4F" w:rsidRDefault="00A14B9B" w:rsidP="00DB1D1D">
            <w:pPr>
              <w:jc w:val="right"/>
              <w:rPr>
                <w:rFonts w:asciiTheme="majorHAnsi" w:eastAsiaTheme="majorEastAsia" w:hAnsiTheme="majorHAnsi" w:cstheme="majorBidi"/>
                <w:sz w:val="18"/>
                <w:szCs w:val="18"/>
                <w:lang w:val="cs-CZ"/>
              </w:rPr>
            </w:pPr>
            <w:r w:rsidRPr="002A0D4F">
              <w:rPr>
                <w:rFonts w:asciiTheme="majorHAnsi" w:eastAsiaTheme="majorEastAsia" w:hAnsiTheme="majorHAnsi" w:cstheme="majorBidi"/>
                <w:sz w:val="18"/>
                <w:szCs w:val="18"/>
                <w:lang w:val="cs-CZ"/>
              </w:rPr>
              <w:t xml:space="preserve">0,45  </w:t>
            </w:r>
          </w:p>
        </w:tc>
        <w:tc>
          <w:tcPr>
            <w:tcW w:w="1044" w:type="dxa"/>
            <w:tcBorders>
              <w:top w:val="nil"/>
              <w:left w:val="nil"/>
              <w:bottom w:val="single" w:sz="4" w:space="0" w:color="auto"/>
              <w:right w:val="single" w:sz="4" w:space="0" w:color="auto"/>
            </w:tcBorders>
            <w:shd w:val="clear" w:color="auto" w:fill="auto"/>
            <w:noWrap/>
            <w:vAlign w:val="bottom"/>
            <w:hideMark/>
          </w:tcPr>
          <w:p w14:paraId="25927CA8" w14:textId="77777777" w:rsidR="00A14B9B" w:rsidRPr="002A0D4F" w:rsidRDefault="00A14B9B" w:rsidP="00DB1D1D">
            <w:pPr>
              <w:jc w:val="right"/>
              <w:rPr>
                <w:rFonts w:asciiTheme="majorHAnsi" w:eastAsiaTheme="majorEastAsia" w:hAnsiTheme="majorHAnsi" w:cstheme="majorBidi"/>
                <w:sz w:val="18"/>
                <w:szCs w:val="18"/>
                <w:lang w:val="cs-CZ"/>
              </w:rPr>
            </w:pPr>
            <w:r w:rsidRPr="002A0D4F">
              <w:rPr>
                <w:rFonts w:asciiTheme="majorHAnsi" w:eastAsiaTheme="majorEastAsia" w:hAnsiTheme="majorHAnsi" w:cstheme="majorBidi"/>
                <w:sz w:val="18"/>
                <w:szCs w:val="18"/>
                <w:lang w:val="cs-CZ"/>
              </w:rPr>
              <w:t xml:space="preserve">0,45  </w:t>
            </w:r>
          </w:p>
        </w:tc>
        <w:tc>
          <w:tcPr>
            <w:tcW w:w="960" w:type="dxa"/>
            <w:tcBorders>
              <w:top w:val="nil"/>
              <w:left w:val="nil"/>
              <w:bottom w:val="single" w:sz="4" w:space="0" w:color="auto"/>
              <w:right w:val="single" w:sz="4" w:space="0" w:color="auto"/>
            </w:tcBorders>
            <w:shd w:val="clear" w:color="auto" w:fill="auto"/>
            <w:noWrap/>
            <w:vAlign w:val="bottom"/>
            <w:hideMark/>
          </w:tcPr>
          <w:p w14:paraId="7FC4F2CC" w14:textId="77777777" w:rsidR="00A14B9B" w:rsidRPr="002A0D4F" w:rsidRDefault="00A14B9B" w:rsidP="00DB1D1D">
            <w:pPr>
              <w:jc w:val="right"/>
              <w:rPr>
                <w:rFonts w:asciiTheme="majorHAnsi" w:eastAsiaTheme="majorEastAsia" w:hAnsiTheme="majorHAnsi" w:cstheme="majorBidi"/>
                <w:sz w:val="18"/>
                <w:szCs w:val="18"/>
                <w:lang w:val="cs-CZ"/>
              </w:rPr>
            </w:pPr>
            <w:r w:rsidRPr="002A0D4F">
              <w:rPr>
                <w:rFonts w:asciiTheme="majorHAnsi" w:eastAsiaTheme="majorEastAsia" w:hAnsiTheme="majorHAnsi" w:cstheme="majorBidi"/>
                <w:sz w:val="18"/>
                <w:szCs w:val="18"/>
                <w:lang w:val="cs-CZ"/>
              </w:rPr>
              <w:t>0,21</w:t>
            </w:r>
          </w:p>
        </w:tc>
        <w:tc>
          <w:tcPr>
            <w:tcW w:w="923" w:type="dxa"/>
            <w:tcBorders>
              <w:top w:val="nil"/>
              <w:left w:val="nil"/>
              <w:bottom w:val="single" w:sz="4" w:space="0" w:color="auto"/>
              <w:right w:val="double" w:sz="6" w:space="0" w:color="auto"/>
            </w:tcBorders>
            <w:shd w:val="clear" w:color="auto" w:fill="auto"/>
            <w:noWrap/>
            <w:vAlign w:val="bottom"/>
            <w:hideMark/>
          </w:tcPr>
          <w:p w14:paraId="41A37E09" w14:textId="77777777" w:rsidR="00A14B9B" w:rsidRPr="002A0D4F" w:rsidRDefault="00A14B9B" w:rsidP="00DB1D1D">
            <w:pPr>
              <w:jc w:val="right"/>
              <w:rPr>
                <w:rFonts w:asciiTheme="majorHAnsi" w:eastAsiaTheme="majorEastAsia" w:hAnsiTheme="majorHAnsi" w:cstheme="majorBidi"/>
                <w:sz w:val="18"/>
                <w:szCs w:val="18"/>
                <w:lang w:val="cs-CZ"/>
              </w:rPr>
            </w:pPr>
            <w:r w:rsidRPr="002A0D4F">
              <w:rPr>
                <w:rFonts w:asciiTheme="majorHAnsi" w:eastAsiaTheme="majorEastAsia" w:hAnsiTheme="majorHAnsi" w:cstheme="majorBidi"/>
                <w:sz w:val="18"/>
                <w:szCs w:val="18"/>
                <w:lang w:val="cs-CZ"/>
              </w:rPr>
              <w:t>146,7</w:t>
            </w:r>
          </w:p>
        </w:tc>
      </w:tr>
      <w:tr w:rsidR="00A14B9B" w:rsidRPr="002A0D4F" w14:paraId="4485CFBE" w14:textId="77777777" w:rsidTr="00DB1D1D">
        <w:trPr>
          <w:trHeight w:val="300"/>
        </w:trPr>
        <w:tc>
          <w:tcPr>
            <w:tcW w:w="2954" w:type="dxa"/>
            <w:tcBorders>
              <w:top w:val="nil"/>
              <w:left w:val="double" w:sz="6" w:space="0" w:color="auto"/>
              <w:bottom w:val="single" w:sz="4" w:space="0" w:color="auto"/>
              <w:right w:val="single" w:sz="4" w:space="0" w:color="auto"/>
            </w:tcBorders>
            <w:shd w:val="clear" w:color="auto" w:fill="auto"/>
            <w:noWrap/>
            <w:vAlign w:val="bottom"/>
            <w:hideMark/>
          </w:tcPr>
          <w:p w14:paraId="4A017AEA" w14:textId="77777777" w:rsidR="00A14B9B" w:rsidRPr="002A0D4F" w:rsidRDefault="00A14B9B" w:rsidP="00DB1D1D">
            <w:pPr>
              <w:rPr>
                <w:rFonts w:asciiTheme="majorHAnsi" w:eastAsiaTheme="majorEastAsia" w:hAnsiTheme="majorHAnsi" w:cstheme="majorBidi"/>
                <w:b/>
                <w:bCs/>
                <w:sz w:val="18"/>
                <w:szCs w:val="18"/>
                <w:lang w:val="cs-CZ"/>
              </w:rPr>
            </w:pPr>
            <w:r w:rsidRPr="002A0D4F">
              <w:rPr>
                <w:rFonts w:asciiTheme="majorHAnsi" w:eastAsiaTheme="majorEastAsia" w:hAnsiTheme="majorHAnsi" w:cstheme="majorBidi"/>
                <w:b/>
                <w:bCs/>
                <w:sz w:val="18"/>
                <w:szCs w:val="18"/>
                <w:lang w:val="cs-CZ"/>
              </w:rPr>
              <w:t xml:space="preserve">  podíl pracujících (%)</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14:paraId="35D5319C" w14:textId="77777777" w:rsidR="00A14B9B" w:rsidRPr="002A0D4F" w:rsidRDefault="00A14B9B" w:rsidP="00DB1D1D">
            <w:pPr>
              <w:jc w:val="right"/>
              <w:rPr>
                <w:rFonts w:asciiTheme="majorHAnsi" w:eastAsiaTheme="majorEastAsia" w:hAnsiTheme="majorHAnsi" w:cstheme="majorBidi"/>
                <w:sz w:val="18"/>
                <w:szCs w:val="18"/>
                <w:lang w:val="cs-CZ"/>
              </w:rPr>
            </w:pPr>
            <w:r w:rsidRPr="002A0D4F">
              <w:rPr>
                <w:rFonts w:asciiTheme="majorHAnsi" w:eastAsiaTheme="majorEastAsia" w:hAnsiTheme="majorHAnsi" w:cstheme="majorBidi"/>
                <w:sz w:val="18"/>
                <w:szCs w:val="18"/>
                <w:lang w:val="cs-CZ"/>
              </w:rPr>
              <w:t>45,0</w:t>
            </w:r>
          </w:p>
        </w:tc>
        <w:tc>
          <w:tcPr>
            <w:tcW w:w="993" w:type="dxa"/>
            <w:tcBorders>
              <w:top w:val="nil"/>
              <w:left w:val="nil"/>
              <w:bottom w:val="single" w:sz="4" w:space="0" w:color="auto"/>
              <w:right w:val="single" w:sz="4" w:space="0" w:color="auto"/>
            </w:tcBorders>
            <w:shd w:val="clear" w:color="auto" w:fill="FFFFFF" w:themeFill="background1"/>
            <w:noWrap/>
            <w:vAlign w:val="bottom"/>
            <w:hideMark/>
          </w:tcPr>
          <w:p w14:paraId="4EDCF5E7" w14:textId="77777777" w:rsidR="00A14B9B" w:rsidRPr="002A0D4F" w:rsidRDefault="00A14B9B" w:rsidP="00DB1D1D">
            <w:pPr>
              <w:jc w:val="right"/>
              <w:rPr>
                <w:rFonts w:asciiTheme="majorHAnsi" w:eastAsiaTheme="majorEastAsia" w:hAnsiTheme="majorHAnsi" w:cstheme="majorBidi"/>
                <w:sz w:val="18"/>
                <w:szCs w:val="18"/>
                <w:lang w:val="cs-CZ"/>
              </w:rPr>
            </w:pPr>
            <w:r w:rsidRPr="002A0D4F">
              <w:rPr>
                <w:rFonts w:asciiTheme="majorHAnsi" w:eastAsiaTheme="majorEastAsia" w:hAnsiTheme="majorHAnsi" w:cstheme="majorBidi"/>
                <w:sz w:val="18"/>
                <w:szCs w:val="18"/>
                <w:lang w:val="cs-CZ"/>
              </w:rPr>
              <w:t>43,7</w:t>
            </w:r>
          </w:p>
        </w:tc>
        <w:tc>
          <w:tcPr>
            <w:tcW w:w="992" w:type="dxa"/>
            <w:tcBorders>
              <w:top w:val="nil"/>
              <w:left w:val="nil"/>
              <w:bottom w:val="single" w:sz="4" w:space="0" w:color="auto"/>
              <w:right w:val="single" w:sz="4" w:space="0" w:color="auto"/>
            </w:tcBorders>
            <w:shd w:val="clear" w:color="auto" w:fill="FFFFFF" w:themeFill="background1"/>
            <w:noWrap/>
            <w:vAlign w:val="bottom"/>
            <w:hideMark/>
          </w:tcPr>
          <w:p w14:paraId="0DD27CA8" w14:textId="77777777" w:rsidR="00A14B9B" w:rsidRPr="002A0D4F" w:rsidRDefault="00A14B9B" w:rsidP="00DB1D1D">
            <w:pPr>
              <w:jc w:val="right"/>
              <w:rPr>
                <w:rFonts w:asciiTheme="majorHAnsi" w:eastAsiaTheme="majorEastAsia" w:hAnsiTheme="majorHAnsi" w:cstheme="majorBidi"/>
                <w:sz w:val="18"/>
                <w:szCs w:val="18"/>
                <w:lang w:val="cs-CZ"/>
              </w:rPr>
            </w:pPr>
            <w:r w:rsidRPr="002A0D4F">
              <w:rPr>
                <w:rFonts w:asciiTheme="majorHAnsi" w:eastAsiaTheme="majorEastAsia" w:hAnsiTheme="majorHAnsi" w:cstheme="majorBidi"/>
                <w:sz w:val="18"/>
                <w:szCs w:val="18"/>
                <w:lang w:val="cs-CZ"/>
              </w:rPr>
              <w:t>45,4</w:t>
            </w:r>
          </w:p>
        </w:tc>
        <w:tc>
          <w:tcPr>
            <w:tcW w:w="1134" w:type="dxa"/>
            <w:tcBorders>
              <w:top w:val="nil"/>
              <w:left w:val="nil"/>
              <w:bottom w:val="single" w:sz="4" w:space="0" w:color="auto"/>
              <w:right w:val="single" w:sz="4" w:space="0" w:color="auto"/>
            </w:tcBorders>
            <w:shd w:val="clear" w:color="auto" w:fill="FFFFFF" w:themeFill="background1"/>
            <w:noWrap/>
            <w:vAlign w:val="bottom"/>
            <w:hideMark/>
          </w:tcPr>
          <w:p w14:paraId="5F04F56C" w14:textId="77777777" w:rsidR="00A14B9B" w:rsidRPr="002A0D4F" w:rsidRDefault="00A14B9B" w:rsidP="00DB1D1D">
            <w:pPr>
              <w:jc w:val="right"/>
              <w:rPr>
                <w:rFonts w:asciiTheme="majorHAnsi" w:eastAsiaTheme="majorEastAsia" w:hAnsiTheme="majorHAnsi" w:cstheme="majorBidi"/>
                <w:sz w:val="18"/>
                <w:szCs w:val="18"/>
                <w:lang w:val="cs-CZ"/>
              </w:rPr>
            </w:pPr>
            <w:r w:rsidRPr="002A0D4F">
              <w:rPr>
                <w:rFonts w:asciiTheme="majorHAnsi" w:eastAsiaTheme="majorEastAsia" w:hAnsiTheme="majorHAnsi" w:cstheme="majorBidi"/>
                <w:sz w:val="18"/>
                <w:szCs w:val="18"/>
                <w:lang w:val="cs-CZ"/>
              </w:rPr>
              <w:t>46,6</w:t>
            </w:r>
          </w:p>
        </w:tc>
        <w:tc>
          <w:tcPr>
            <w:tcW w:w="1044" w:type="dxa"/>
            <w:tcBorders>
              <w:top w:val="nil"/>
              <w:left w:val="nil"/>
              <w:bottom w:val="single" w:sz="4" w:space="0" w:color="auto"/>
              <w:right w:val="single" w:sz="4" w:space="0" w:color="auto"/>
            </w:tcBorders>
            <w:shd w:val="clear" w:color="auto" w:fill="FFFFFF" w:themeFill="background1"/>
            <w:noWrap/>
            <w:vAlign w:val="bottom"/>
            <w:hideMark/>
          </w:tcPr>
          <w:p w14:paraId="5C481982" w14:textId="77777777" w:rsidR="00A14B9B" w:rsidRPr="002A0D4F" w:rsidRDefault="00A14B9B" w:rsidP="00DB1D1D">
            <w:pPr>
              <w:jc w:val="right"/>
              <w:rPr>
                <w:rFonts w:asciiTheme="majorHAnsi" w:eastAsiaTheme="majorEastAsia" w:hAnsiTheme="majorHAnsi" w:cstheme="majorBidi"/>
                <w:sz w:val="18"/>
                <w:szCs w:val="18"/>
                <w:lang w:val="cs-CZ"/>
              </w:rPr>
            </w:pPr>
            <w:r w:rsidRPr="002A0D4F">
              <w:rPr>
                <w:rFonts w:asciiTheme="majorHAnsi" w:eastAsiaTheme="majorEastAsia" w:hAnsiTheme="majorHAnsi" w:cstheme="majorBidi"/>
                <w:sz w:val="18"/>
                <w:szCs w:val="18"/>
                <w:lang w:val="cs-CZ"/>
              </w:rPr>
              <w:t>45,2</w:t>
            </w:r>
          </w:p>
        </w:tc>
        <w:tc>
          <w:tcPr>
            <w:tcW w:w="960" w:type="dxa"/>
            <w:tcBorders>
              <w:top w:val="nil"/>
              <w:left w:val="nil"/>
              <w:bottom w:val="single" w:sz="4" w:space="0" w:color="auto"/>
              <w:right w:val="single" w:sz="4" w:space="0" w:color="auto"/>
            </w:tcBorders>
            <w:shd w:val="clear" w:color="auto" w:fill="auto"/>
            <w:noWrap/>
            <w:vAlign w:val="bottom"/>
            <w:hideMark/>
          </w:tcPr>
          <w:p w14:paraId="550771EF" w14:textId="77777777" w:rsidR="00A14B9B" w:rsidRPr="002A0D4F" w:rsidRDefault="00A14B9B" w:rsidP="00DB1D1D">
            <w:pPr>
              <w:jc w:val="right"/>
              <w:rPr>
                <w:rFonts w:asciiTheme="majorHAnsi" w:eastAsiaTheme="majorEastAsia" w:hAnsiTheme="majorHAnsi" w:cstheme="majorBidi"/>
                <w:sz w:val="18"/>
                <w:szCs w:val="18"/>
                <w:lang w:val="cs-CZ"/>
              </w:rPr>
            </w:pPr>
            <w:r w:rsidRPr="002A0D4F">
              <w:rPr>
                <w:rFonts w:asciiTheme="majorHAnsi" w:eastAsiaTheme="majorEastAsia" w:hAnsiTheme="majorHAnsi" w:cstheme="majorBidi"/>
                <w:sz w:val="18"/>
                <w:szCs w:val="18"/>
                <w:lang w:val="cs-CZ"/>
              </w:rPr>
              <w:t>-1,47</w:t>
            </w:r>
          </w:p>
        </w:tc>
        <w:tc>
          <w:tcPr>
            <w:tcW w:w="923" w:type="dxa"/>
            <w:tcBorders>
              <w:top w:val="nil"/>
              <w:left w:val="nil"/>
              <w:bottom w:val="single" w:sz="4" w:space="0" w:color="auto"/>
              <w:right w:val="double" w:sz="6" w:space="0" w:color="auto"/>
            </w:tcBorders>
            <w:shd w:val="clear" w:color="auto" w:fill="auto"/>
            <w:noWrap/>
            <w:vAlign w:val="bottom"/>
            <w:hideMark/>
          </w:tcPr>
          <w:p w14:paraId="19AAB245" w14:textId="77777777" w:rsidR="00A14B9B" w:rsidRPr="002A0D4F" w:rsidRDefault="00A14B9B" w:rsidP="00DB1D1D">
            <w:pPr>
              <w:jc w:val="right"/>
              <w:rPr>
                <w:rFonts w:asciiTheme="majorHAnsi" w:eastAsiaTheme="majorEastAsia" w:hAnsiTheme="majorHAnsi" w:cstheme="majorBidi"/>
                <w:sz w:val="18"/>
                <w:szCs w:val="18"/>
                <w:lang w:val="cs-CZ"/>
              </w:rPr>
            </w:pPr>
            <w:r w:rsidRPr="002A0D4F">
              <w:rPr>
                <w:rFonts w:asciiTheme="majorHAnsi" w:eastAsiaTheme="majorEastAsia" w:hAnsiTheme="majorHAnsi" w:cstheme="majorBidi"/>
                <w:sz w:val="18"/>
                <w:szCs w:val="18"/>
                <w:lang w:val="cs-CZ"/>
              </w:rPr>
              <w:t>96,8</w:t>
            </w:r>
          </w:p>
        </w:tc>
      </w:tr>
      <w:tr w:rsidR="00A14B9B" w:rsidRPr="002A0D4F" w14:paraId="7C7DF51E" w14:textId="77777777" w:rsidTr="00DB1D1D">
        <w:trPr>
          <w:trHeight w:val="315"/>
        </w:trPr>
        <w:tc>
          <w:tcPr>
            <w:tcW w:w="2954" w:type="dxa"/>
            <w:tcBorders>
              <w:top w:val="nil"/>
              <w:left w:val="double" w:sz="6" w:space="0" w:color="auto"/>
              <w:bottom w:val="double" w:sz="6" w:space="0" w:color="auto"/>
              <w:right w:val="single" w:sz="4" w:space="0" w:color="auto"/>
            </w:tcBorders>
            <w:shd w:val="clear" w:color="auto" w:fill="auto"/>
            <w:noWrap/>
            <w:vAlign w:val="bottom"/>
            <w:hideMark/>
          </w:tcPr>
          <w:p w14:paraId="5C7F7B39" w14:textId="77777777" w:rsidR="00A14B9B" w:rsidRPr="002A0D4F" w:rsidRDefault="00A14B9B" w:rsidP="00DB1D1D">
            <w:pPr>
              <w:rPr>
                <w:rFonts w:asciiTheme="majorHAnsi" w:eastAsiaTheme="majorEastAsia" w:hAnsiTheme="majorHAnsi" w:cstheme="majorBidi"/>
                <w:b/>
                <w:bCs/>
                <w:sz w:val="18"/>
                <w:szCs w:val="18"/>
                <w:lang w:val="cs-CZ"/>
              </w:rPr>
            </w:pPr>
            <w:r w:rsidRPr="002A0D4F">
              <w:rPr>
                <w:rFonts w:asciiTheme="majorHAnsi" w:eastAsiaTheme="majorEastAsia" w:hAnsiTheme="majorHAnsi" w:cstheme="majorBidi"/>
                <w:b/>
                <w:bCs/>
                <w:sz w:val="18"/>
                <w:szCs w:val="18"/>
                <w:lang w:val="cs-CZ"/>
              </w:rPr>
              <w:t>Čisté peněžní příjmy celkem</w:t>
            </w:r>
          </w:p>
        </w:tc>
        <w:tc>
          <w:tcPr>
            <w:tcW w:w="992" w:type="dxa"/>
            <w:tcBorders>
              <w:top w:val="single" w:sz="4" w:space="0" w:color="auto"/>
              <w:left w:val="nil"/>
              <w:bottom w:val="double" w:sz="6" w:space="0" w:color="auto"/>
              <w:right w:val="single" w:sz="4" w:space="0" w:color="auto"/>
            </w:tcBorders>
            <w:shd w:val="clear" w:color="auto" w:fill="auto"/>
            <w:noWrap/>
            <w:vAlign w:val="bottom"/>
            <w:hideMark/>
          </w:tcPr>
          <w:p w14:paraId="21A71353" w14:textId="77777777" w:rsidR="00A14B9B" w:rsidRPr="002A0D4F" w:rsidRDefault="00A14B9B" w:rsidP="00DB1D1D">
            <w:pPr>
              <w:jc w:val="right"/>
              <w:rPr>
                <w:rFonts w:asciiTheme="majorHAnsi" w:eastAsiaTheme="majorEastAsia" w:hAnsiTheme="majorHAnsi" w:cstheme="majorBidi"/>
                <w:sz w:val="18"/>
                <w:szCs w:val="18"/>
                <w:lang w:val="cs-CZ"/>
              </w:rPr>
            </w:pPr>
            <w:r w:rsidRPr="002A0D4F">
              <w:rPr>
                <w:rFonts w:asciiTheme="majorHAnsi" w:eastAsiaTheme="majorEastAsia" w:hAnsiTheme="majorHAnsi" w:cstheme="majorBidi"/>
                <w:sz w:val="18"/>
                <w:szCs w:val="18"/>
                <w:lang w:val="cs-CZ"/>
              </w:rPr>
              <w:t xml:space="preserve">163 344  </w:t>
            </w:r>
          </w:p>
        </w:tc>
        <w:tc>
          <w:tcPr>
            <w:tcW w:w="993" w:type="dxa"/>
            <w:tcBorders>
              <w:top w:val="single" w:sz="4" w:space="0" w:color="auto"/>
              <w:left w:val="nil"/>
              <w:bottom w:val="double" w:sz="6" w:space="0" w:color="auto"/>
              <w:right w:val="single" w:sz="4" w:space="0" w:color="auto"/>
            </w:tcBorders>
            <w:shd w:val="clear" w:color="auto" w:fill="auto"/>
            <w:noWrap/>
            <w:vAlign w:val="bottom"/>
            <w:hideMark/>
          </w:tcPr>
          <w:p w14:paraId="219D13EC" w14:textId="77777777" w:rsidR="00A14B9B" w:rsidRPr="002A0D4F" w:rsidRDefault="00A14B9B" w:rsidP="00DB1D1D">
            <w:pPr>
              <w:jc w:val="right"/>
              <w:rPr>
                <w:rFonts w:asciiTheme="majorHAnsi" w:eastAsiaTheme="majorEastAsia" w:hAnsiTheme="majorHAnsi" w:cstheme="majorBidi"/>
                <w:sz w:val="18"/>
                <w:szCs w:val="18"/>
                <w:lang w:val="cs-CZ"/>
              </w:rPr>
            </w:pPr>
            <w:r w:rsidRPr="002A0D4F">
              <w:rPr>
                <w:rFonts w:asciiTheme="majorHAnsi" w:eastAsiaTheme="majorEastAsia" w:hAnsiTheme="majorHAnsi" w:cstheme="majorBidi"/>
                <w:sz w:val="18"/>
                <w:szCs w:val="18"/>
                <w:lang w:val="cs-CZ"/>
              </w:rPr>
              <w:t xml:space="preserve">154 342  </w:t>
            </w:r>
          </w:p>
        </w:tc>
        <w:tc>
          <w:tcPr>
            <w:tcW w:w="992" w:type="dxa"/>
            <w:tcBorders>
              <w:top w:val="single" w:sz="4" w:space="0" w:color="auto"/>
              <w:left w:val="nil"/>
              <w:bottom w:val="double" w:sz="6" w:space="0" w:color="auto"/>
              <w:right w:val="single" w:sz="4" w:space="0" w:color="auto"/>
            </w:tcBorders>
            <w:shd w:val="clear" w:color="auto" w:fill="auto"/>
            <w:noWrap/>
            <w:vAlign w:val="bottom"/>
            <w:hideMark/>
          </w:tcPr>
          <w:p w14:paraId="22120420" w14:textId="77777777" w:rsidR="00A14B9B" w:rsidRPr="002A0D4F" w:rsidRDefault="00A14B9B" w:rsidP="00DB1D1D">
            <w:pPr>
              <w:jc w:val="right"/>
              <w:rPr>
                <w:rFonts w:asciiTheme="majorHAnsi" w:eastAsiaTheme="majorEastAsia" w:hAnsiTheme="majorHAnsi" w:cstheme="majorBidi"/>
                <w:sz w:val="18"/>
                <w:szCs w:val="18"/>
                <w:lang w:val="cs-CZ"/>
              </w:rPr>
            </w:pPr>
            <w:r w:rsidRPr="002A0D4F">
              <w:rPr>
                <w:rFonts w:asciiTheme="majorHAnsi" w:eastAsiaTheme="majorEastAsia" w:hAnsiTheme="majorHAnsi" w:cstheme="majorBidi"/>
                <w:sz w:val="18"/>
                <w:szCs w:val="18"/>
                <w:lang w:val="cs-CZ"/>
              </w:rPr>
              <w:t xml:space="preserve">156 312  </w:t>
            </w:r>
          </w:p>
        </w:tc>
        <w:tc>
          <w:tcPr>
            <w:tcW w:w="1134" w:type="dxa"/>
            <w:tcBorders>
              <w:top w:val="single" w:sz="4" w:space="0" w:color="auto"/>
              <w:left w:val="nil"/>
              <w:bottom w:val="double" w:sz="6" w:space="0" w:color="auto"/>
              <w:right w:val="single" w:sz="4" w:space="0" w:color="auto"/>
            </w:tcBorders>
            <w:shd w:val="clear" w:color="auto" w:fill="auto"/>
            <w:noWrap/>
            <w:vAlign w:val="bottom"/>
            <w:hideMark/>
          </w:tcPr>
          <w:p w14:paraId="28350CBA" w14:textId="77777777" w:rsidR="00A14B9B" w:rsidRPr="002A0D4F" w:rsidRDefault="00A14B9B" w:rsidP="00DB1D1D">
            <w:pPr>
              <w:jc w:val="right"/>
              <w:rPr>
                <w:rFonts w:asciiTheme="majorHAnsi" w:eastAsiaTheme="majorEastAsia" w:hAnsiTheme="majorHAnsi" w:cstheme="majorBidi"/>
                <w:sz w:val="18"/>
                <w:szCs w:val="18"/>
                <w:lang w:val="cs-CZ"/>
              </w:rPr>
            </w:pPr>
            <w:r w:rsidRPr="002A0D4F">
              <w:rPr>
                <w:rFonts w:asciiTheme="majorHAnsi" w:eastAsiaTheme="majorEastAsia" w:hAnsiTheme="majorHAnsi" w:cstheme="majorBidi"/>
                <w:sz w:val="18"/>
                <w:szCs w:val="18"/>
                <w:lang w:val="cs-CZ"/>
              </w:rPr>
              <w:t xml:space="preserve">161 991  </w:t>
            </w:r>
          </w:p>
        </w:tc>
        <w:tc>
          <w:tcPr>
            <w:tcW w:w="1044" w:type="dxa"/>
            <w:tcBorders>
              <w:top w:val="single" w:sz="4" w:space="0" w:color="auto"/>
              <w:left w:val="nil"/>
              <w:bottom w:val="double" w:sz="6" w:space="0" w:color="auto"/>
              <w:right w:val="single" w:sz="4" w:space="0" w:color="auto"/>
            </w:tcBorders>
            <w:shd w:val="clear" w:color="auto" w:fill="auto"/>
            <w:noWrap/>
            <w:vAlign w:val="bottom"/>
            <w:hideMark/>
          </w:tcPr>
          <w:p w14:paraId="163611E4" w14:textId="77777777" w:rsidR="00A14B9B" w:rsidRPr="002A0D4F" w:rsidRDefault="00A14B9B" w:rsidP="00DB1D1D">
            <w:pPr>
              <w:jc w:val="right"/>
              <w:rPr>
                <w:rFonts w:asciiTheme="majorHAnsi" w:eastAsiaTheme="majorEastAsia" w:hAnsiTheme="majorHAnsi" w:cstheme="majorBidi"/>
                <w:sz w:val="18"/>
                <w:szCs w:val="18"/>
                <w:lang w:val="cs-CZ"/>
              </w:rPr>
            </w:pPr>
            <w:r w:rsidRPr="002A0D4F">
              <w:rPr>
                <w:rFonts w:asciiTheme="majorHAnsi" w:eastAsiaTheme="majorEastAsia" w:hAnsiTheme="majorHAnsi" w:cstheme="majorBidi"/>
                <w:sz w:val="18"/>
                <w:szCs w:val="18"/>
                <w:lang w:val="cs-CZ"/>
              </w:rPr>
              <w:t xml:space="preserve">175 951  </w:t>
            </w:r>
          </w:p>
        </w:tc>
        <w:tc>
          <w:tcPr>
            <w:tcW w:w="960" w:type="dxa"/>
            <w:tcBorders>
              <w:top w:val="single" w:sz="4" w:space="0" w:color="auto"/>
              <w:left w:val="nil"/>
              <w:bottom w:val="double" w:sz="6" w:space="0" w:color="auto"/>
              <w:right w:val="single" w:sz="4" w:space="0" w:color="auto"/>
            </w:tcBorders>
            <w:shd w:val="clear" w:color="auto" w:fill="auto"/>
            <w:noWrap/>
            <w:vAlign w:val="bottom"/>
            <w:hideMark/>
          </w:tcPr>
          <w:p w14:paraId="335914E5" w14:textId="77777777" w:rsidR="00A14B9B" w:rsidRPr="002A0D4F" w:rsidRDefault="00A14B9B" w:rsidP="00DB1D1D">
            <w:pPr>
              <w:jc w:val="right"/>
              <w:rPr>
                <w:rFonts w:asciiTheme="majorHAnsi" w:eastAsiaTheme="majorEastAsia" w:hAnsiTheme="majorHAnsi" w:cstheme="majorBidi"/>
                <w:sz w:val="18"/>
                <w:szCs w:val="18"/>
                <w:lang w:val="cs-CZ"/>
              </w:rPr>
            </w:pPr>
            <w:r w:rsidRPr="002A0D4F">
              <w:rPr>
                <w:rFonts w:asciiTheme="majorHAnsi" w:eastAsiaTheme="majorEastAsia" w:hAnsiTheme="majorHAnsi" w:cstheme="majorBidi"/>
                <w:sz w:val="18"/>
                <w:szCs w:val="18"/>
                <w:lang w:val="cs-CZ"/>
              </w:rPr>
              <w:t>-21 609</w:t>
            </w:r>
          </w:p>
        </w:tc>
        <w:tc>
          <w:tcPr>
            <w:tcW w:w="923" w:type="dxa"/>
            <w:tcBorders>
              <w:top w:val="single" w:sz="4" w:space="0" w:color="auto"/>
              <w:left w:val="nil"/>
              <w:bottom w:val="double" w:sz="6" w:space="0" w:color="auto"/>
              <w:right w:val="double" w:sz="6" w:space="0" w:color="auto"/>
            </w:tcBorders>
            <w:shd w:val="clear" w:color="auto" w:fill="auto"/>
            <w:noWrap/>
            <w:vAlign w:val="bottom"/>
            <w:hideMark/>
          </w:tcPr>
          <w:p w14:paraId="7B837073" w14:textId="77777777" w:rsidR="00A14B9B" w:rsidRPr="002A0D4F" w:rsidRDefault="00A14B9B" w:rsidP="00DB1D1D">
            <w:pPr>
              <w:jc w:val="right"/>
              <w:rPr>
                <w:rFonts w:asciiTheme="majorHAnsi" w:eastAsiaTheme="majorEastAsia" w:hAnsiTheme="majorHAnsi" w:cstheme="majorBidi"/>
                <w:sz w:val="18"/>
                <w:szCs w:val="18"/>
                <w:lang w:val="cs-CZ"/>
              </w:rPr>
            </w:pPr>
            <w:r w:rsidRPr="002A0D4F">
              <w:rPr>
                <w:rFonts w:asciiTheme="majorHAnsi" w:eastAsiaTheme="majorEastAsia" w:hAnsiTheme="majorHAnsi" w:cstheme="majorBidi"/>
                <w:sz w:val="18"/>
                <w:szCs w:val="18"/>
                <w:lang w:val="cs-CZ"/>
              </w:rPr>
              <w:t>87,7</w:t>
            </w:r>
          </w:p>
        </w:tc>
      </w:tr>
      <w:tr w:rsidR="00A14B9B" w:rsidRPr="002A0D4F" w14:paraId="4A04E5B1" w14:textId="77777777" w:rsidTr="00DB1D1D">
        <w:trPr>
          <w:trHeight w:val="300"/>
        </w:trPr>
        <w:tc>
          <w:tcPr>
            <w:tcW w:w="3946" w:type="dxa"/>
            <w:gridSpan w:val="2"/>
            <w:tcBorders>
              <w:top w:val="nil"/>
              <w:left w:val="nil"/>
              <w:bottom w:val="nil"/>
              <w:right w:val="nil"/>
            </w:tcBorders>
            <w:shd w:val="clear" w:color="auto" w:fill="auto"/>
            <w:noWrap/>
            <w:vAlign w:val="bottom"/>
            <w:hideMark/>
          </w:tcPr>
          <w:p w14:paraId="07317E28" w14:textId="77777777" w:rsidR="00A14B9B" w:rsidRPr="005A7A6A" w:rsidRDefault="00A14B9B" w:rsidP="005A7A6A">
            <w:pPr>
              <w:pStyle w:val="UZEIZdroj"/>
            </w:pPr>
            <w:r w:rsidRPr="005A7A6A">
              <w:t>1) obce do 1999 - města 50 000 a více</w:t>
            </w:r>
          </w:p>
        </w:tc>
        <w:tc>
          <w:tcPr>
            <w:tcW w:w="993" w:type="dxa"/>
            <w:tcBorders>
              <w:top w:val="nil"/>
              <w:left w:val="nil"/>
              <w:bottom w:val="nil"/>
              <w:right w:val="nil"/>
            </w:tcBorders>
            <w:shd w:val="clear" w:color="auto" w:fill="auto"/>
            <w:noWrap/>
            <w:vAlign w:val="bottom"/>
            <w:hideMark/>
          </w:tcPr>
          <w:p w14:paraId="10C17A8F" w14:textId="77777777" w:rsidR="00A14B9B" w:rsidRPr="002A0D4F" w:rsidRDefault="00A14B9B" w:rsidP="00DB1D1D">
            <w:pPr>
              <w:rPr>
                <w:rFonts w:asciiTheme="majorHAnsi" w:hAnsiTheme="majorHAnsi" w:cstheme="majorHAnsi"/>
                <w:i/>
                <w:iCs/>
                <w:sz w:val="18"/>
                <w:szCs w:val="18"/>
                <w:lang w:val="cs-CZ"/>
              </w:rPr>
            </w:pPr>
          </w:p>
        </w:tc>
        <w:tc>
          <w:tcPr>
            <w:tcW w:w="992" w:type="dxa"/>
            <w:tcBorders>
              <w:top w:val="nil"/>
              <w:left w:val="nil"/>
              <w:bottom w:val="nil"/>
              <w:right w:val="nil"/>
            </w:tcBorders>
            <w:shd w:val="clear" w:color="auto" w:fill="auto"/>
            <w:noWrap/>
            <w:vAlign w:val="bottom"/>
            <w:hideMark/>
          </w:tcPr>
          <w:p w14:paraId="69877200" w14:textId="77777777" w:rsidR="00A14B9B" w:rsidRPr="002A0D4F" w:rsidRDefault="00A14B9B" w:rsidP="00DB1D1D">
            <w:pPr>
              <w:rPr>
                <w:rFonts w:asciiTheme="majorHAnsi" w:hAnsiTheme="majorHAnsi" w:cstheme="majorHAnsi"/>
                <w:sz w:val="18"/>
                <w:szCs w:val="18"/>
                <w:lang w:val="cs-CZ"/>
              </w:rPr>
            </w:pPr>
          </w:p>
        </w:tc>
        <w:tc>
          <w:tcPr>
            <w:tcW w:w="1134" w:type="dxa"/>
            <w:tcBorders>
              <w:top w:val="nil"/>
              <w:left w:val="nil"/>
              <w:bottom w:val="nil"/>
              <w:right w:val="nil"/>
            </w:tcBorders>
            <w:shd w:val="clear" w:color="auto" w:fill="auto"/>
            <w:noWrap/>
            <w:vAlign w:val="bottom"/>
            <w:hideMark/>
          </w:tcPr>
          <w:p w14:paraId="0C2D50BB" w14:textId="77777777" w:rsidR="00A14B9B" w:rsidRPr="002A0D4F" w:rsidRDefault="00A14B9B" w:rsidP="00DB1D1D">
            <w:pPr>
              <w:rPr>
                <w:rFonts w:asciiTheme="majorHAnsi" w:hAnsiTheme="majorHAnsi" w:cstheme="majorHAnsi"/>
                <w:sz w:val="18"/>
                <w:szCs w:val="18"/>
                <w:lang w:val="cs-CZ"/>
              </w:rPr>
            </w:pPr>
          </w:p>
        </w:tc>
        <w:tc>
          <w:tcPr>
            <w:tcW w:w="1044" w:type="dxa"/>
            <w:tcBorders>
              <w:top w:val="nil"/>
              <w:left w:val="nil"/>
              <w:bottom w:val="nil"/>
              <w:right w:val="nil"/>
            </w:tcBorders>
            <w:shd w:val="clear" w:color="auto" w:fill="auto"/>
            <w:noWrap/>
            <w:vAlign w:val="bottom"/>
            <w:hideMark/>
          </w:tcPr>
          <w:p w14:paraId="417ECA89" w14:textId="77777777" w:rsidR="00A14B9B" w:rsidRPr="002A0D4F" w:rsidRDefault="00A14B9B" w:rsidP="00DB1D1D">
            <w:pPr>
              <w:rPr>
                <w:rFonts w:asciiTheme="majorHAnsi" w:hAnsiTheme="majorHAnsi" w:cstheme="majorHAnsi"/>
                <w:sz w:val="18"/>
                <w:szCs w:val="18"/>
                <w:lang w:val="cs-CZ"/>
              </w:rPr>
            </w:pPr>
          </w:p>
        </w:tc>
        <w:tc>
          <w:tcPr>
            <w:tcW w:w="960" w:type="dxa"/>
            <w:tcBorders>
              <w:top w:val="nil"/>
              <w:left w:val="nil"/>
              <w:bottom w:val="nil"/>
              <w:right w:val="nil"/>
            </w:tcBorders>
            <w:shd w:val="clear" w:color="auto" w:fill="auto"/>
            <w:noWrap/>
            <w:vAlign w:val="bottom"/>
            <w:hideMark/>
          </w:tcPr>
          <w:p w14:paraId="382CB0E1" w14:textId="77777777" w:rsidR="00A14B9B" w:rsidRPr="002A0D4F" w:rsidRDefault="00A14B9B" w:rsidP="00DB1D1D">
            <w:pPr>
              <w:rPr>
                <w:rFonts w:asciiTheme="majorHAnsi" w:hAnsiTheme="majorHAnsi" w:cstheme="majorHAnsi"/>
                <w:sz w:val="18"/>
                <w:szCs w:val="18"/>
                <w:lang w:val="cs-CZ"/>
              </w:rPr>
            </w:pPr>
          </w:p>
        </w:tc>
        <w:tc>
          <w:tcPr>
            <w:tcW w:w="923" w:type="dxa"/>
            <w:tcBorders>
              <w:top w:val="nil"/>
              <w:left w:val="nil"/>
              <w:bottom w:val="nil"/>
              <w:right w:val="nil"/>
            </w:tcBorders>
            <w:shd w:val="clear" w:color="auto" w:fill="auto"/>
            <w:noWrap/>
            <w:vAlign w:val="bottom"/>
            <w:hideMark/>
          </w:tcPr>
          <w:p w14:paraId="258A69AD" w14:textId="77777777" w:rsidR="00A14B9B" w:rsidRPr="002A0D4F" w:rsidRDefault="00A14B9B" w:rsidP="00DB1D1D">
            <w:pPr>
              <w:rPr>
                <w:rFonts w:asciiTheme="majorHAnsi" w:hAnsiTheme="majorHAnsi" w:cstheme="majorHAnsi"/>
                <w:sz w:val="18"/>
                <w:szCs w:val="18"/>
                <w:lang w:val="cs-CZ"/>
              </w:rPr>
            </w:pPr>
          </w:p>
        </w:tc>
      </w:tr>
      <w:tr w:rsidR="00A14B9B" w:rsidRPr="002A0D4F" w14:paraId="64D43588" w14:textId="77777777" w:rsidTr="00DB1D1D">
        <w:trPr>
          <w:trHeight w:val="80"/>
        </w:trPr>
        <w:tc>
          <w:tcPr>
            <w:tcW w:w="2954" w:type="dxa"/>
            <w:tcBorders>
              <w:top w:val="nil"/>
              <w:left w:val="nil"/>
              <w:bottom w:val="nil"/>
              <w:right w:val="nil"/>
            </w:tcBorders>
            <w:shd w:val="clear" w:color="auto" w:fill="auto"/>
            <w:noWrap/>
            <w:vAlign w:val="bottom"/>
            <w:hideMark/>
          </w:tcPr>
          <w:p w14:paraId="38EC9AF5" w14:textId="77777777" w:rsidR="00A14B9B" w:rsidRPr="005A7A6A" w:rsidRDefault="00A14B9B" w:rsidP="005A7A6A">
            <w:pPr>
              <w:pStyle w:val="UZEIZdroj"/>
            </w:pPr>
            <w:r w:rsidRPr="005A7A6A">
              <w:t xml:space="preserve">Zdroj: ČSÚ 2015 </w:t>
            </w:r>
          </w:p>
          <w:p w14:paraId="680172CE" w14:textId="77777777" w:rsidR="00A14B9B" w:rsidRPr="005A7A6A" w:rsidRDefault="00A14B9B" w:rsidP="005A7A6A">
            <w:pPr>
              <w:pStyle w:val="UZEIZdroj"/>
            </w:pPr>
            <w:r w:rsidRPr="005A7A6A">
              <w:t xml:space="preserve">Zpracování: ÚZEI </w:t>
            </w:r>
          </w:p>
        </w:tc>
        <w:tc>
          <w:tcPr>
            <w:tcW w:w="992" w:type="dxa"/>
            <w:tcBorders>
              <w:top w:val="nil"/>
              <w:left w:val="nil"/>
              <w:bottom w:val="nil"/>
              <w:right w:val="nil"/>
            </w:tcBorders>
            <w:shd w:val="clear" w:color="auto" w:fill="auto"/>
            <w:noWrap/>
            <w:vAlign w:val="bottom"/>
            <w:hideMark/>
          </w:tcPr>
          <w:p w14:paraId="1A9E45D2" w14:textId="77777777" w:rsidR="00A14B9B" w:rsidRPr="005A7A6A" w:rsidRDefault="00A14B9B" w:rsidP="005A7A6A">
            <w:pPr>
              <w:pStyle w:val="UZEIZdroj"/>
            </w:pPr>
          </w:p>
        </w:tc>
        <w:tc>
          <w:tcPr>
            <w:tcW w:w="993" w:type="dxa"/>
            <w:tcBorders>
              <w:top w:val="nil"/>
              <w:left w:val="nil"/>
              <w:bottom w:val="nil"/>
              <w:right w:val="nil"/>
            </w:tcBorders>
            <w:shd w:val="clear" w:color="auto" w:fill="auto"/>
            <w:noWrap/>
            <w:vAlign w:val="bottom"/>
            <w:hideMark/>
          </w:tcPr>
          <w:p w14:paraId="44E93BDE" w14:textId="77777777" w:rsidR="00A14B9B" w:rsidRPr="002A0D4F" w:rsidRDefault="00A14B9B" w:rsidP="00DB1D1D">
            <w:pPr>
              <w:rPr>
                <w:rFonts w:asciiTheme="majorHAnsi" w:hAnsiTheme="majorHAnsi" w:cstheme="majorHAnsi"/>
                <w:sz w:val="18"/>
                <w:szCs w:val="18"/>
                <w:lang w:val="cs-CZ"/>
              </w:rPr>
            </w:pPr>
          </w:p>
        </w:tc>
        <w:tc>
          <w:tcPr>
            <w:tcW w:w="992" w:type="dxa"/>
            <w:tcBorders>
              <w:top w:val="nil"/>
              <w:left w:val="nil"/>
              <w:bottom w:val="nil"/>
              <w:right w:val="nil"/>
            </w:tcBorders>
            <w:shd w:val="clear" w:color="auto" w:fill="auto"/>
            <w:noWrap/>
            <w:vAlign w:val="bottom"/>
            <w:hideMark/>
          </w:tcPr>
          <w:p w14:paraId="42AA7E6D" w14:textId="77777777" w:rsidR="00A14B9B" w:rsidRPr="002A0D4F" w:rsidRDefault="00A14B9B" w:rsidP="00DB1D1D">
            <w:pPr>
              <w:rPr>
                <w:rFonts w:asciiTheme="majorHAnsi" w:hAnsiTheme="majorHAnsi" w:cstheme="majorHAnsi"/>
                <w:sz w:val="18"/>
                <w:szCs w:val="18"/>
                <w:lang w:val="cs-CZ"/>
              </w:rPr>
            </w:pPr>
          </w:p>
        </w:tc>
        <w:tc>
          <w:tcPr>
            <w:tcW w:w="1134" w:type="dxa"/>
            <w:tcBorders>
              <w:top w:val="nil"/>
              <w:left w:val="nil"/>
              <w:bottom w:val="nil"/>
              <w:right w:val="nil"/>
            </w:tcBorders>
            <w:shd w:val="clear" w:color="auto" w:fill="auto"/>
            <w:noWrap/>
            <w:vAlign w:val="bottom"/>
            <w:hideMark/>
          </w:tcPr>
          <w:p w14:paraId="21C10014" w14:textId="77777777" w:rsidR="00A14B9B" w:rsidRPr="002A0D4F" w:rsidRDefault="00A14B9B" w:rsidP="00DB1D1D">
            <w:pPr>
              <w:rPr>
                <w:rFonts w:asciiTheme="majorHAnsi" w:hAnsiTheme="majorHAnsi" w:cstheme="majorHAnsi"/>
                <w:sz w:val="18"/>
                <w:szCs w:val="18"/>
                <w:lang w:val="cs-CZ"/>
              </w:rPr>
            </w:pPr>
          </w:p>
        </w:tc>
        <w:tc>
          <w:tcPr>
            <w:tcW w:w="1044" w:type="dxa"/>
            <w:tcBorders>
              <w:top w:val="nil"/>
              <w:left w:val="nil"/>
              <w:bottom w:val="nil"/>
              <w:right w:val="nil"/>
            </w:tcBorders>
            <w:shd w:val="clear" w:color="auto" w:fill="auto"/>
            <w:noWrap/>
            <w:vAlign w:val="bottom"/>
            <w:hideMark/>
          </w:tcPr>
          <w:p w14:paraId="042CC900" w14:textId="77777777" w:rsidR="00A14B9B" w:rsidRPr="002A0D4F" w:rsidRDefault="00A14B9B" w:rsidP="00DB1D1D">
            <w:pPr>
              <w:rPr>
                <w:rFonts w:asciiTheme="majorHAnsi" w:hAnsiTheme="majorHAnsi" w:cstheme="majorHAnsi"/>
                <w:sz w:val="18"/>
                <w:szCs w:val="18"/>
                <w:lang w:val="cs-CZ"/>
              </w:rPr>
            </w:pPr>
          </w:p>
        </w:tc>
        <w:tc>
          <w:tcPr>
            <w:tcW w:w="960" w:type="dxa"/>
            <w:tcBorders>
              <w:top w:val="nil"/>
              <w:left w:val="nil"/>
              <w:bottom w:val="nil"/>
              <w:right w:val="nil"/>
            </w:tcBorders>
            <w:shd w:val="clear" w:color="auto" w:fill="auto"/>
            <w:noWrap/>
            <w:vAlign w:val="bottom"/>
            <w:hideMark/>
          </w:tcPr>
          <w:p w14:paraId="4527AE49" w14:textId="77777777" w:rsidR="00A14B9B" w:rsidRPr="002A0D4F" w:rsidRDefault="00A14B9B" w:rsidP="00DB1D1D">
            <w:pPr>
              <w:rPr>
                <w:rFonts w:asciiTheme="majorHAnsi" w:hAnsiTheme="majorHAnsi" w:cstheme="majorHAnsi"/>
                <w:sz w:val="18"/>
                <w:szCs w:val="18"/>
                <w:lang w:val="cs-CZ"/>
              </w:rPr>
            </w:pPr>
          </w:p>
        </w:tc>
        <w:tc>
          <w:tcPr>
            <w:tcW w:w="923" w:type="dxa"/>
            <w:tcBorders>
              <w:top w:val="nil"/>
              <w:left w:val="nil"/>
              <w:bottom w:val="nil"/>
              <w:right w:val="nil"/>
            </w:tcBorders>
            <w:shd w:val="clear" w:color="auto" w:fill="auto"/>
            <w:noWrap/>
            <w:vAlign w:val="bottom"/>
            <w:hideMark/>
          </w:tcPr>
          <w:p w14:paraId="1E560395" w14:textId="77777777" w:rsidR="00A14B9B" w:rsidRPr="002A0D4F" w:rsidRDefault="00A14B9B" w:rsidP="00DB1D1D">
            <w:pPr>
              <w:rPr>
                <w:rFonts w:asciiTheme="majorHAnsi" w:hAnsiTheme="majorHAnsi" w:cstheme="majorHAnsi"/>
                <w:sz w:val="18"/>
                <w:szCs w:val="18"/>
                <w:lang w:val="cs-CZ"/>
              </w:rPr>
            </w:pPr>
          </w:p>
        </w:tc>
      </w:tr>
    </w:tbl>
    <w:p w14:paraId="3C168A68" w14:textId="77777777" w:rsidR="00A14B9B" w:rsidRPr="002A0D4F" w:rsidRDefault="00A14B9B" w:rsidP="005A7A6A">
      <w:pPr>
        <w:pStyle w:val="UZEINormaln"/>
      </w:pPr>
      <w:r w:rsidRPr="002A0D4F">
        <w:t xml:space="preserve">Příjmovou disparitu venkovských oblastí, resp. venkovských obcí vůči velkým městům dokumentují i další oficiální statistické zdroje (ČSÚ), zaměřené na hospodaření domácností. Ze statistiky rodinných účtů za rok 2016 vyplývá, že čisté roční příjmy na jednoho člena domácnosti v obcích do 2 tis. obyvatel činily 87,7 % těchto příjmů v obcích nad 50 tis. obyvatel. Ještě hlubší disparita vychází ze statistiky příjmů a životních podmínek, kde jsou obce jinak (detailněji) kategorizované. Zde čisté příjmy na jednoho člena domácnosti s pracujícími členy v obcích do 1 tis. obyvatel v roce 2017 činily 79,9 % těchto příjmů ve městech nad 100 tis. obyvatel. Z obou uvedených statistických zdrojů dále shodně vyplývá, že venkovské domácnosti mají větší počet členů než domácnosti městské. </w:t>
      </w:r>
    </w:p>
    <w:p w14:paraId="47C8961E" w14:textId="21E5D7AA" w:rsidR="005A7A6A" w:rsidRDefault="005A7A6A">
      <w:pPr>
        <w:spacing w:after="160" w:line="259" w:lineRule="auto"/>
        <w:jc w:val="left"/>
        <w:rPr>
          <w:rFonts w:asciiTheme="majorHAnsi" w:eastAsiaTheme="majorEastAsia" w:hAnsiTheme="majorHAnsi" w:cstheme="majorBidi"/>
          <w:b/>
          <w:bCs/>
          <w:lang w:val="cs-CZ"/>
        </w:rPr>
      </w:pPr>
      <w:r>
        <w:rPr>
          <w:rFonts w:asciiTheme="majorHAnsi" w:eastAsiaTheme="majorEastAsia" w:hAnsiTheme="majorHAnsi" w:cstheme="majorBidi"/>
          <w:b/>
          <w:bCs/>
          <w:lang w:val="cs-CZ"/>
        </w:rPr>
        <w:br w:type="page"/>
      </w:r>
    </w:p>
    <w:p w14:paraId="7533CAAC" w14:textId="77777777" w:rsidR="00A14B9B" w:rsidRPr="00FA253C" w:rsidRDefault="00A14B9B" w:rsidP="005A7A6A">
      <w:pPr>
        <w:pStyle w:val="UZEINormaln"/>
        <w:rPr>
          <w:rFonts w:eastAsiaTheme="majorEastAsia"/>
          <w:b/>
          <w:bCs/>
        </w:rPr>
      </w:pPr>
      <w:r w:rsidRPr="00FA253C">
        <w:rPr>
          <w:rFonts w:eastAsiaTheme="majorEastAsia"/>
          <w:b/>
          <w:bCs/>
        </w:rPr>
        <w:lastRenderedPageBreak/>
        <w:t>Chudoba</w:t>
      </w:r>
    </w:p>
    <w:p w14:paraId="5EF31727" w14:textId="77777777" w:rsidR="00A14B9B" w:rsidRPr="002A0D4F" w:rsidRDefault="00A14B9B" w:rsidP="005A7A6A">
      <w:pPr>
        <w:pStyle w:val="UZEINormaln"/>
      </w:pPr>
      <w:r w:rsidRPr="002A0D4F">
        <w:t xml:space="preserve">Přestože se míra chudoby neustále snižuje a Česká republika patří v Evropské unii mezi státy s nejnižším podílem chudých obyvatel, roste zde koncentrace chudších obyvatel v některých lokalitách. Ohrožení chudobou je ve společnosti rozloženo nerovnoměrně. Z uvedených ukazatelů vyplývá, že největší problémy se týkají regionů soudržnosti </w:t>
      </w:r>
      <w:proofErr w:type="spellStart"/>
      <w:r w:rsidRPr="002A0D4F">
        <w:t>Moravskoslezsko</w:t>
      </w:r>
      <w:proofErr w:type="spellEnd"/>
      <w:r w:rsidRPr="002A0D4F">
        <w:t xml:space="preserve"> a Severozápad. </w:t>
      </w:r>
    </w:p>
    <w:p w14:paraId="2ECC17F3" w14:textId="77777777" w:rsidR="00A14B9B" w:rsidRPr="002A0D4F" w:rsidRDefault="00A14B9B" w:rsidP="005A7A6A">
      <w:pPr>
        <w:pStyle w:val="UZEINormaln"/>
      </w:pPr>
      <w:r w:rsidRPr="002A0D4F">
        <w:t>Riziko ohrožení chudobou nebo sociálním vyloučením dlouhodobě mírně klesá</w:t>
      </w:r>
      <w:r w:rsidRPr="002A0D4F">
        <w:rPr>
          <w:rStyle w:val="Znakapoznpodarou"/>
        </w:rPr>
        <w:footnoteReference w:id="24"/>
      </w:r>
      <w:r w:rsidRPr="002A0D4F">
        <w:t xml:space="preserve">. Nejvyšších hodnot dosahoval ukazatel v letech 2005 a 2006. Poté se snížil a držel se v rozmezí mezi 14 % až 15 %. Od roku 2014 ukazatel postupně klesal až na hodnotu 12,2 %, které dosáhl v letech 2017 a 2018, v současnosti opět mírně vzrostl o 0,3 </w:t>
      </w:r>
      <w:proofErr w:type="spellStart"/>
      <w:r w:rsidRPr="002A0D4F">
        <w:t>p.b</w:t>
      </w:r>
      <w:proofErr w:type="spellEnd"/>
      <w:r w:rsidRPr="002A0D4F">
        <w:t xml:space="preserve">. na hodnotu 12,5 %. 5. Mezi regiony soudržnosti, které jsou dlouhodobě nejvíce ohroženy chudobou nebo sociálním vyloučením, patří </w:t>
      </w:r>
      <w:proofErr w:type="spellStart"/>
      <w:r w:rsidRPr="002A0D4F">
        <w:t>Moravskoslezsko</w:t>
      </w:r>
      <w:proofErr w:type="spellEnd"/>
      <w:r w:rsidRPr="002A0D4F">
        <w:t xml:space="preserve"> a Severozápad. Naopak mezi nejméně ohrožené regiony se řadí Praha, Střední Čechy a Jihozápad. </w:t>
      </w:r>
    </w:p>
    <w:p w14:paraId="5C4BA17B" w14:textId="48251D24" w:rsidR="00A14B9B" w:rsidRPr="00FA253C" w:rsidRDefault="00A14B9B" w:rsidP="00FA253C">
      <w:pPr>
        <w:pStyle w:val="UZEIObr"/>
        <w:rPr>
          <w:rFonts w:eastAsiaTheme="minorEastAsia"/>
        </w:rPr>
      </w:pPr>
      <w:bookmarkStart w:id="845" w:name="_Toc525727659"/>
      <w:bookmarkStart w:id="846" w:name="_Toc525735946"/>
      <w:bookmarkStart w:id="847" w:name="_Toc25919922"/>
      <w:bookmarkStart w:id="848" w:name="_Toc81815463"/>
      <w:bookmarkStart w:id="849" w:name="_Toc81817668"/>
      <w:r w:rsidRPr="00FA253C">
        <w:rPr>
          <w:rFonts w:eastAsiaTheme="minorEastAsia"/>
        </w:rPr>
        <w:t>Souhrnný ukazatel rizika chudoby nebo sociálního vyloučení v ČR v letech 2005–2019</w:t>
      </w:r>
      <w:bookmarkEnd w:id="845"/>
      <w:bookmarkEnd w:id="846"/>
      <w:bookmarkEnd w:id="847"/>
      <w:bookmarkEnd w:id="848"/>
      <w:bookmarkEnd w:id="849"/>
    </w:p>
    <w:p w14:paraId="5C7ECA3E" w14:textId="77777777" w:rsidR="00A14B9B" w:rsidRPr="002A0D4F" w:rsidRDefault="00A14B9B" w:rsidP="00A14B9B">
      <w:pPr>
        <w:rPr>
          <w:rFonts w:eastAsiaTheme="minorEastAsia"/>
          <w:i/>
          <w:iCs/>
          <w:lang w:val="cs-CZ"/>
        </w:rPr>
      </w:pPr>
      <w:r w:rsidRPr="002A0D4F">
        <w:rPr>
          <w:noProof/>
          <w:lang w:val="cs-CZ" w:eastAsia="cs-CZ"/>
        </w:rPr>
        <w:drawing>
          <wp:inline distT="0" distB="0" distL="0" distR="0" wp14:anchorId="194DE7D0" wp14:editId="5CC2D99F">
            <wp:extent cx="5760720" cy="2565779"/>
            <wp:effectExtent l="0" t="0" r="11430" b="6350"/>
            <wp:docPr id="1737972108" name="Graf 1737972108">
              <a:extLst xmlns:a="http://schemas.openxmlformats.org/drawingml/2006/main">
                <a:ext uri="{FF2B5EF4-FFF2-40B4-BE49-F238E27FC236}">
                  <a16:creationId xmlns:a16="http://schemas.microsoft.com/office/drawing/2014/main" id="{9728636E-887B-43B2-A0BF-BF52A2B771C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79"/>
              </a:graphicData>
            </a:graphic>
          </wp:inline>
        </w:drawing>
      </w:r>
    </w:p>
    <w:p w14:paraId="07218F35" w14:textId="77777777" w:rsidR="00A14B9B" w:rsidRPr="002A0D4F" w:rsidRDefault="00A14B9B" w:rsidP="00FA253C">
      <w:pPr>
        <w:pStyle w:val="UZEIZdroj"/>
      </w:pPr>
      <w:r w:rsidRPr="002A0D4F">
        <w:t xml:space="preserve">Zdroj: ČSÚ, </w:t>
      </w:r>
      <w:proofErr w:type="spellStart"/>
      <w:r w:rsidRPr="002A0D4F">
        <w:t>Eurostat</w:t>
      </w:r>
      <w:proofErr w:type="spellEnd"/>
      <w:r w:rsidRPr="002A0D4F">
        <w:t xml:space="preserve"> 2020</w:t>
      </w:r>
    </w:p>
    <w:p w14:paraId="2D7FA033" w14:textId="77777777" w:rsidR="00A14B9B" w:rsidRPr="002A0D4F" w:rsidRDefault="00A14B9B" w:rsidP="00A14B9B">
      <w:pPr>
        <w:rPr>
          <w:rFonts w:eastAsiaTheme="minorEastAsia"/>
          <w:i/>
          <w:iCs/>
          <w:lang w:val="cs-CZ"/>
        </w:rPr>
      </w:pPr>
    </w:p>
    <w:p w14:paraId="143183FF" w14:textId="77777777" w:rsidR="00A14B9B" w:rsidRPr="002A0D4F" w:rsidRDefault="00A14B9B" w:rsidP="00A14B9B">
      <w:pPr>
        <w:rPr>
          <w:lang w:val="cs-CZ"/>
        </w:rPr>
      </w:pPr>
    </w:p>
    <w:p w14:paraId="58532C6D" w14:textId="77777777" w:rsidR="00FA253C" w:rsidRDefault="00FA253C">
      <w:pPr>
        <w:spacing w:after="160" w:line="259" w:lineRule="auto"/>
        <w:jc w:val="left"/>
        <w:rPr>
          <w:rFonts w:eastAsia="Times New Roman" w:cs="Arial"/>
          <w:b/>
          <w:noProof/>
          <w:sz w:val="20"/>
          <w:szCs w:val="20"/>
          <w:lang w:val="cs-CZ" w:eastAsia="cs-CZ"/>
        </w:rPr>
      </w:pPr>
      <w:bookmarkStart w:id="850" w:name="_Toc525727660"/>
      <w:bookmarkStart w:id="851" w:name="_Toc525735947"/>
      <w:bookmarkStart w:id="852" w:name="_Toc25919923"/>
      <w:r>
        <w:br w:type="page"/>
      </w:r>
    </w:p>
    <w:p w14:paraId="3005B12B" w14:textId="13DE75A0" w:rsidR="00A14B9B" w:rsidRPr="00FA253C" w:rsidRDefault="00A14B9B" w:rsidP="00FA253C">
      <w:pPr>
        <w:pStyle w:val="UZEIObr"/>
        <w:ind w:left="0" w:firstLine="0"/>
        <w:rPr>
          <w:rFonts w:eastAsiaTheme="minorEastAsia"/>
        </w:rPr>
      </w:pPr>
      <w:bookmarkStart w:id="853" w:name="_Toc81815464"/>
      <w:bookmarkStart w:id="854" w:name="_Toc81817669"/>
      <w:r w:rsidRPr="00FA253C">
        <w:rPr>
          <w:rFonts w:eastAsiaTheme="minorEastAsia"/>
        </w:rPr>
        <w:lastRenderedPageBreak/>
        <w:t>Souhrnný ukazatel rizika chudoby nebo sociálního vyloučení v jednotlivých NUTS2 v letech 2005–2019</w:t>
      </w:r>
      <w:bookmarkEnd w:id="850"/>
      <w:bookmarkEnd w:id="851"/>
      <w:bookmarkEnd w:id="852"/>
      <w:bookmarkEnd w:id="853"/>
      <w:bookmarkEnd w:id="854"/>
    </w:p>
    <w:p w14:paraId="656A7C0F" w14:textId="77777777" w:rsidR="00A14B9B" w:rsidRPr="002A0D4F" w:rsidRDefault="00A14B9B" w:rsidP="00A14B9B">
      <w:pPr>
        <w:rPr>
          <w:rFonts w:eastAsiaTheme="minorEastAsia"/>
          <w:i/>
          <w:iCs/>
          <w:lang w:val="cs-CZ"/>
        </w:rPr>
      </w:pPr>
      <w:r w:rsidRPr="002A0D4F">
        <w:rPr>
          <w:noProof/>
          <w:lang w:val="cs-CZ" w:eastAsia="cs-CZ"/>
        </w:rPr>
        <w:drawing>
          <wp:inline distT="0" distB="0" distL="0" distR="0" wp14:anchorId="3A239868" wp14:editId="029A99FD">
            <wp:extent cx="5760720" cy="2980706"/>
            <wp:effectExtent l="0" t="0" r="11430" b="10160"/>
            <wp:docPr id="1737972107" name="Graf 1737972107">
              <a:extLst xmlns:a="http://schemas.openxmlformats.org/drawingml/2006/main">
                <a:ext uri="{FF2B5EF4-FFF2-40B4-BE49-F238E27FC236}">
                  <a16:creationId xmlns:a16="http://schemas.microsoft.com/office/drawing/2014/main" id="{8D21649B-7996-46F9-8AED-08D373F4E86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80"/>
              </a:graphicData>
            </a:graphic>
          </wp:inline>
        </w:drawing>
      </w:r>
    </w:p>
    <w:p w14:paraId="4126498E" w14:textId="77777777" w:rsidR="00A14B9B" w:rsidRPr="002A0D4F" w:rsidRDefault="00A14B9B" w:rsidP="00FA253C">
      <w:pPr>
        <w:pStyle w:val="UZEIZdroj"/>
      </w:pPr>
      <w:r w:rsidRPr="002A0D4F">
        <w:t xml:space="preserve">Zdroj: </w:t>
      </w:r>
      <w:proofErr w:type="spellStart"/>
      <w:r w:rsidRPr="002A0D4F">
        <w:t>Eurostat</w:t>
      </w:r>
      <w:proofErr w:type="spellEnd"/>
      <w:r w:rsidRPr="002A0D4F">
        <w:t xml:space="preserve"> 2020</w:t>
      </w:r>
    </w:p>
    <w:p w14:paraId="74E09AF5" w14:textId="77777777" w:rsidR="00A14B9B" w:rsidRPr="002A0D4F" w:rsidRDefault="00A14B9B" w:rsidP="00FA253C">
      <w:pPr>
        <w:pStyle w:val="UZEINormaln"/>
      </w:pPr>
      <w:r w:rsidRPr="002A0D4F">
        <w:t>Podíl osob ohrožených příjmovou chudobou</w:t>
      </w:r>
      <w:r w:rsidRPr="002A0D4F">
        <w:rPr>
          <w:rStyle w:val="Znakapoznpodarou"/>
        </w:rPr>
        <w:footnoteReference w:id="25"/>
      </w:r>
      <w:r w:rsidRPr="002A0D4F">
        <w:t xml:space="preserve"> se pohybuje dlouhodobě mezi 9 % až 10 %. V roce 2017 poklesla hodnota ukazatele na 9,1 % tedy ke spodní hranici rozmezí, v němž se trvale pohybuje. V roce 2020 oproti roku 2019 klesl tento ukazatel o 0,6 </w:t>
      </w:r>
      <w:proofErr w:type="spellStart"/>
      <w:r w:rsidRPr="002A0D4F">
        <w:t>p.b</w:t>
      </w:r>
      <w:proofErr w:type="spellEnd"/>
      <w:r w:rsidRPr="002A0D4F">
        <w:t xml:space="preserve">. a dostal se na hodnotu 9,5 %. Mezi regiony, které jsou dlouhodobě nejvíce ohroženy příjmovou chudobou, patří (NUTS 2) </w:t>
      </w:r>
      <w:proofErr w:type="spellStart"/>
      <w:r w:rsidRPr="002A0D4F">
        <w:t>Moravskoslezsko</w:t>
      </w:r>
      <w:proofErr w:type="spellEnd"/>
      <w:r w:rsidRPr="002A0D4F">
        <w:t xml:space="preserve"> a Severozápad. Naopak nejnižších hodnot z regionů soudržnosti dosahuje Praha a Střední Čechy. </w:t>
      </w:r>
    </w:p>
    <w:p w14:paraId="67A5A90E" w14:textId="4BD701F3" w:rsidR="00A14B9B" w:rsidRPr="00FA253C" w:rsidRDefault="00A14B9B" w:rsidP="00FA253C">
      <w:pPr>
        <w:pStyle w:val="UZEIObr"/>
        <w:rPr>
          <w:rFonts w:eastAsiaTheme="minorEastAsia"/>
        </w:rPr>
      </w:pPr>
      <w:bookmarkStart w:id="855" w:name="_Toc525727661"/>
      <w:bookmarkStart w:id="856" w:name="_Toc525735948"/>
      <w:bookmarkStart w:id="857" w:name="_Toc25919924"/>
      <w:bookmarkStart w:id="858" w:name="_Toc81815465"/>
      <w:bookmarkStart w:id="859" w:name="_Toc81817670"/>
      <w:r w:rsidRPr="00FA253C">
        <w:rPr>
          <w:rFonts w:eastAsiaTheme="minorEastAsia"/>
        </w:rPr>
        <w:t>Vývoj míry ohrožení příjmovou chudobou v ČR v letech 2005–</w:t>
      </w:r>
      <w:bookmarkEnd w:id="855"/>
      <w:bookmarkEnd w:id="856"/>
      <w:bookmarkEnd w:id="857"/>
      <w:r w:rsidRPr="00FA253C">
        <w:rPr>
          <w:rFonts w:eastAsiaTheme="minorEastAsia"/>
        </w:rPr>
        <w:t>2020</w:t>
      </w:r>
      <w:bookmarkEnd w:id="858"/>
      <w:bookmarkEnd w:id="859"/>
    </w:p>
    <w:p w14:paraId="59536842" w14:textId="77777777" w:rsidR="00A14B9B" w:rsidRPr="002A0D4F" w:rsidRDefault="00A14B9B" w:rsidP="00A14B9B">
      <w:pPr>
        <w:rPr>
          <w:rFonts w:eastAsiaTheme="minorEastAsia"/>
          <w:lang w:val="cs-CZ"/>
        </w:rPr>
      </w:pPr>
      <w:r w:rsidRPr="002A0D4F">
        <w:rPr>
          <w:noProof/>
          <w:lang w:val="cs-CZ" w:eastAsia="cs-CZ"/>
        </w:rPr>
        <w:drawing>
          <wp:inline distT="0" distB="0" distL="0" distR="0" wp14:anchorId="001227FA" wp14:editId="5394439D">
            <wp:extent cx="5756275" cy="2333625"/>
            <wp:effectExtent l="0" t="0" r="15875" b="9525"/>
            <wp:docPr id="1" name="Graf 1">
              <a:extLst xmlns:a="http://schemas.openxmlformats.org/drawingml/2006/main">
                <a:ext uri="{FF2B5EF4-FFF2-40B4-BE49-F238E27FC236}">
                  <a16:creationId xmlns:a16="http://schemas.microsoft.com/office/drawing/2014/main" id="{E56A1259-B843-468C-B5F2-8687926E216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81"/>
              </a:graphicData>
            </a:graphic>
          </wp:inline>
        </w:drawing>
      </w:r>
    </w:p>
    <w:p w14:paraId="6FD39493" w14:textId="77777777" w:rsidR="00A14B9B" w:rsidRPr="00FA253C" w:rsidRDefault="00A14B9B" w:rsidP="00FA253C">
      <w:pPr>
        <w:pStyle w:val="UZEIZdroj"/>
      </w:pPr>
      <w:r w:rsidRPr="00FA253C">
        <w:t xml:space="preserve">Zdroj: ČSÚ2021; </w:t>
      </w:r>
      <w:proofErr w:type="spellStart"/>
      <w:r w:rsidRPr="00FA253C">
        <w:t>Eurostat</w:t>
      </w:r>
      <w:proofErr w:type="spellEnd"/>
      <w:r w:rsidRPr="00FA253C">
        <w:t xml:space="preserve"> 2020</w:t>
      </w:r>
    </w:p>
    <w:p w14:paraId="3B639EB0" w14:textId="77777777" w:rsidR="00FA253C" w:rsidRDefault="00FA253C">
      <w:pPr>
        <w:spacing w:after="160" w:line="259" w:lineRule="auto"/>
        <w:jc w:val="left"/>
        <w:rPr>
          <w:rFonts w:eastAsia="Times New Roman" w:cs="Arial"/>
          <w:b/>
          <w:noProof/>
          <w:sz w:val="20"/>
          <w:szCs w:val="20"/>
          <w:lang w:val="cs-CZ" w:eastAsia="cs-CZ"/>
        </w:rPr>
      </w:pPr>
      <w:bookmarkStart w:id="860" w:name="_Toc525727662"/>
      <w:bookmarkStart w:id="861" w:name="_Toc525735949"/>
      <w:bookmarkStart w:id="862" w:name="_Toc25919925"/>
      <w:r>
        <w:br w:type="page"/>
      </w:r>
    </w:p>
    <w:p w14:paraId="22F7BB1F" w14:textId="7ED7E470" w:rsidR="00A14B9B" w:rsidRPr="00FA253C" w:rsidRDefault="00A14B9B" w:rsidP="00FA253C">
      <w:pPr>
        <w:pStyle w:val="UZEIObr"/>
        <w:rPr>
          <w:rFonts w:eastAsiaTheme="minorEastAsia"/>
        </w:rPr>
      </w:pPr>
      <w:bookmarkStart w:id="863" w:name="_Toc81815466"/>
      <w:bookmarkStart w:id="864" w:name="_Toc81817671"/>
      <w:r w:rsidRPr="00FA253C">
        <w:rPr>
          <w:rFonts w:eastAsiaTheme="minorEastAsia"/>
        </w:rPr>
        <w:lastRenderedPageBreak/>
        <w:t>Vývoj ohrožení příjmovou chudobou v jednotlivých NUTS2 v letech 2005–2019</w:t>
      </w:r>
      <w:bookmarkEnd w:id="860"/>
      <w:bookmarkEnd w:id="861"/>
      <w:bookmarkEnd w:id="862"/>
      <w:bookmarkEnd w:id="863"/>
      <w:bookmarkEnd w:id="864"/>
    </w:p>
    <w:p w14:paraId="14D26783" w14:textId="77777777" w:rsidR="00A14B9B" w:rsidRPr="002A0D4F" w:rsidRDefault="00A14B9B" w:rsidP="00A14B9B">
      <w:pPr>
        <w:rPr>
          <w:rFonts w:eastAsiaTheme="minorEastAsia"/>
          <w:i/>
          <w:lang w:val="cs-CZ"/>
        </w:rPr>
      </w:pPr>
      <w:r w:rsidRPr="002A0D4F">
        <w:rPr>
          <w:noProof/>
          <w:lang w:val="cs-CZ" w:eastAsia="cs-CZ"/>
        </w:rPr>
        <w:drawing>
          <wp:inline distT="0" distB="0" distL="0" distR="0" wp14:anchorId="79F2CBCC" wp14:editId="72814459">
            <wp:extent cx="5760720" cy="3063834"/>
            <wp:effectExtent l="0" t="0" r="11430" b="3810"/>
            <wp:docPr id="1737972110" name="Graf 1737972110">
              <a:extLst xmlns:a="http://schemas.openxmlformats.org/drawingml/2006/main">
                <a:ext uri="{FF2B5EF4-FFF2-40B4-BE49-F238E27FC236}">
                  <a16:creationId xmlns:a16="http://schemas.microsoft.com/office/drawing/2014/main" id="{D72C06C4-5216-48FE-B271-58F6BDACC3B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82"/>
              </a:graphicData>
            </a:graphic>
          </wp:inline>
        </w:drawing>
      </w:r>
    </w:p>
    <w:p w14:paraId="66D9B87F" w14:textId="77777777" w:rsidR="00A14B9B" w:rsidRPr="00974937" w:rsidRDefault="00A14B9B" w:rsidP="00974937">
      <w:pPr>
        <w:pStyle w:val="UZEIZdroj"/>
      </w:pPr>
      <w:r w:rsidRPr="00974937">
        <w:t xml:space="preserve">Zdroj: </w:t>
      </w:r>
      <w:proofErr w:type="spellStart"/>
      <w:r w:rsidRPr="00974937">
        <w:t>Eurostat</w:t>
      </w:r>
      <w:proofErr w:type="spellEnd"/>
    </w:p>
    <w:p w14:paraId="4987CAE9" w14:textId="77777777" w:rsidR="00A14B9B" w:rsidRPr="002A0D4F" w:rsidRDefault="00A14B9B" w:rsidP="00974937">
      <w:pPr>
        <w:pStyle w:val="UZEINormaln"/>
      </w:pPr>
      <w:r w:rsidRPr="002A0D4F">
        <w:t>Míra materiální deprivace</w:t>
      </w:r>
      <w:r w:rsidRPr="002A0D4F">
        <w:rPr>
          <w:rStyle w:val="Znakapoznpodarou"/>
        </w:rPr>
        <w:footnoteReference w:id="26"/>
      </w:r>
      <w:r w:rsidRPr="002A0D4F">
        <w:t xml:space="preserve">se dlouhodobě pohybovala kolem 6 % až 7 % s výjimkou let 2005 a 2006. Od roku 2014 je zaznamenán postupný pokles tohoto ukazatele, v roce 2020 se hodnota tohoto ukazatele klesla až na 2,4 %. Podle údajů z ČSÚ si nečekávaný výdaj ve výši 12 000Kč (hranice stanovená pro rok 2020) nemohlo dovolit 21,8 % osob v domácnostech. Týdenní dovolenou mimo domov si pak nemohlo dovolit 19,7 %. </w:t>
      </w:r>
    </w:p>
    <w:p w14:paraId="79802043" w14:textId="77777777" w:rsidR="00A14B9B" w:rsidRPr="002A0D4F" w:rsidRDefault="00A14B9B" w:rsidP="00974937">
      <w:pPr>
        <w:pStyle w:val="UZEINormaln"/>
      </w:pPr>
      <w:r w:rsidRPr="002A0D4F">
        <w:t xml:space="preserve">Mezi regiony soudržnosti (NUTS 2) s největší mírou materiální deprivace patří Severozápad a </w:t>
      </w:r>
      <w:proofErr w:type="spellStart"/>
      <w:r w:rsidRPr="002A0D4F">
        <w:t>Moravskoslezko</w:t>
      </w:r>
      <w:proofErr w:type="spellEnd"/>
      <w:r w:rsidRPr="002A0D4F">
        <w:t xml:space="preserve">, kde tento ukazatel dosahuje dlouhodobě nejvyšších hodnot, přestože od roku 2016 dochází u obou regionů k výraznému poklesu, a to z 9,8 % na 3,5 % u regionu Severozápad a ze stejné hodnoty u regionu </w:t>
      </w:r>
      <w:proofErr w:type="spellStart"/>
      <w:r w:rsidRPr="002A0D4F">
        <w:t>Moravskoslezsko</w:t>
      </w:r>
      <w:proofErr w:type="spellEnd"/>
      <w:r w:rsidRPr="002A0D4F">
        <w:t xml:space="preserve"> na 7,8 %. </w:t>
      </w:r>
    </w:p>
    <w:p w14:paraId="43629F74" w14:textId="77777777" w:rsidR="00A14B9B" w:rsidRPr="002A0D4F" w:rsidRDefault="00A14B9B" w:rsidP="00974937">
      <w:pPr>
        <w:pStyle w:val="UZEINormaln"/>
      </w:pPr>
    </w:p>
    <w:p w14:paraId="54CC4C4D" w14:textId="77777777" w:rsidR="00892CF2" w:rsidRDefault="00892CF2">
      <w:pPr>
        <w:spacing w:after="160" w:line="259" w:lineRule="auto"/>
        <w:jc w:val="left"/>
        <w:rPr>
          <w:rFonts w:eastAsia="Times New Roman" w:cs="Arial"/>
          <w:b/>
          <w:noProof/>
          <w:sz w:val="20"/>
          <w:szCs w:val="20"/>
          <w:lang w:val="cs-CZ" w:eastAsia="cs-CZ"/>
        </w:rPr>
      </w:pPr>
      <w:bookmarkStart w:id="865" w:name="_Toc525727663"/>
      <w:bookmarkStart w:id="866" w:name="_Toc525735950"/>
      <w:bookmarkStart w:id="867" w:name="_Toc25919926"/>
      <w:r>
        <w:br w:type="page"/>
      </w:r>
    </w:p>
    <w:p w14:paraId="398BFB62" w14:textId="300BEE93" w:rsidR="00A14B9B" w:rsidRPr="00892CF2" w:rsidRDefault="00A14B9B" w:rsidP="00892CF2">
      <w:pPr>
        <w:pStyle w:val="UZEIObr"/>
        <w:rPr>
          <w:rFonts w:eastAsiaTheme="minorEastAsia"/>
        </w:rPr>
      </w:pPr>
      <w:bookmarkStart w:id="868" w:name="_Toc81815467"/>
      <w:bookmarkStart w:id="869" w:name="_Toc81817672"/>
      <w:r w:rsidRPr="00892CF2">
        <w:rPr>
          <w:rFonts w:eastAsiaTheme="minorEastAsia"/>
        </w:rPr>
        <w:lastRenderedPageBreak/>
        <w:t>Vývoj celkové míry materiální deprivace v ČR v letech 2005–</w:t>
      </w:r>
      <w:bookmarkEnd w:id="865"/>
      <w:bookmarkEnd w:id="866"/>
      <w:bookmarkEnd w:id="867"/>
      <w:r w:rsidRPr="00892CF2">
        <w:rPr>
          <w:rFonts w:eastAsiaTheme="minorEastAsia"/>
        </w:rPr>
        <w:t>2020</w:t>
      </w:r>
      <w:bookmarkEnd w:id="868"/>
      <w:bookmarkEnd w:id="869"/>
    </w:p>
    <w:p w14:paraId="4A37BB10" w14:textId="77777777" w:rsidR="00A14B9B" w:rsidRPr="002A0D4F" w:rsidRDefault="00A14B9B" w:rsidP="00A14B9B">
      <w:pPr>
        <w:rPr>
          <w:rFonts w:eastAsiaTheme="minorEastAsia"/>
          <w:lang w:val="cs-CZ"/>
        </w:rPr>
      </w:pPr>
      <w:r w:rsidRPr="002A0D4F">
        <w:rPr>
          <w:noProof/>
          <w:lang w:val="cs-CZ" w:eastAsia="cs-CZ"/>
        </w:rPr>
        <w:drawing>
          <wp:inline distT="0" distB="0" distL="0" distR="0" wp14:anchorId="6427F241" wp14:editId="6B85A56A">
            <wp:extent cx="5760720" cy="2413635"/>
            <wp:effectExtent l="0" t="0" r="11430" b="5715"/>
            <wp:docPr id="39" name="Graf 39">
              <a:extLst xmlns:a="http://schemas.openxmlformats.org/drawingml/2006/main">
                <a:ext uri="{FF2B5EF4-FFF2-40B4-BE49-F238E27FC236}">
                  <a16:creationId xmlns:a16="http://schemas.microsoft.com/office/drawing/2014/main" id="{3F9F07B1-AD4F-4966-A7F7-E59B8C0F25D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83"/>
              </a:graphicData>
            </a:graphic>
          </wp:inline>
        </w:drawing>
      </w:r>
    </w:p>
    <w:p w14:paraId="57103432" w14:textId="77777777" w:rsidR="00A14B9B" w:rsidRPr="002A0D4F" w:rsidRDefault="00A14B9B" w:rsidP="00892CF2">
      <w:pPr>
        <w:pStyle w:val="UZEIZdroj"/>
      </w:pPr>
      <w:r w:rsidRPr="002A0D4F">
        <w:t xml:space="preserve">Zdroj: ČSÚ2021; </w:t>
      </w:r>
      <w:proofErr w:type="spellStart"/>
      <w:r w:rsidRPr="002A0D4F">
        <w:t>Eurostat</w:t>
      </w:r>
      <w:proofErr w:type="spellEnd"/>
      <w:r w:rsidRPr="002A0D4F">
        <w:t xml:space="preserve"> 2020 </w:t>
      </w:r>
    </w:p>
    <w:p w14:paraId="15EE14E8" w14:textId="26DA55E7" w:rsidR="00A14B9B" w:rsidRPr="00892CF2" w:rsidRDefault="00A14B9B" w:rsidP="00892CF2">
      <w:pPr>
        <w:pStyle w:val="UZEIObr"/>
        <w:rPr>
          <w:rFonts w:eastAsiaTheme="minorEastAsia"/>
        </w:rPr>
      </w:pPr>
      <w:bookmarkStart w:id="870" w:name="_Toc525727664"/>
      <w:bookmarkStart w:id="871" w:name="_Toc525735951"/>
      <w:bookmarkStart w:id="872" w:name="_Toc25919927"/>
      <w:bookmarkStart w:id="873" w:name="_Toc81815468"/>
      <w:bookmarkStart w:id="874" w:name="_Toc81817673"/>
      <w:r w:rsidRPr="00892CF2">
        <w:rPr>
          <w:rFonts w:eastAsiaTheme="minorEastAsia"/>
        </w:rPr>
        <w:t>Vývoj míry materiální deprivace v jednotlivých NUTS 2 v letech 2005–2019</w:t>
      </w:r>
      <w:bookmarkEnd w:id="870"/>
      <w:bookmarkEnd w:id="871"/>
      <w:bookmarkEnd w:id="872"/>
      <w:bookmarkEnd w:id="873"/>
      <w:bookmarkEnd w:id="874"/>
    </w:p>
    <w:p w14:paraId="69A4CBDD" w14:textId="77777777" w:rsidR="00A14B9B" w:rsidRPr="002A0D4F" w:rsidRDefault="00A14B9B" w:rsidP="00A14B9B">
      <w:pPr>
        <w:rPr>
          <w:rFonts w:eastAsiaTheme="minorEastAsia"/>
          <w:lang w:val="cs-CZ"/>
        </w:rPr>
      </w:pPr>
      <w:r w:rsidRPr="002A0D4F">
        <w:rPr>
          <w:noProof/>
          <w:lang w:val="cs-CZ" w:eastAsia="cs-CZ"/>
        </w:rPr>
        <w:drawing>
          <wp:inline distT="0" distB="0" distL="0" distR="0" wp14:anchorId="0127D2BD" wp14:editId="6FCC609E">
            <wp:extent cx="5760720" cy="3168650"/>
            <wp:effectExtent l="0" t="0" r="11430" b="12700"/>
            <wp:docPr id="1737972106" name="Graf 1737972106">
              <a:extLst xmlns:a="http://schemas.openxmlformats.org/drawingml/2006/main">
                <a:ext uri="{FF2B5EF4-FFF2-40B4-BE49-F238E27FC236}">
                  <a16:creationId xmlns:a16="http://schemas.microsoft.com/office/drawing/2014/main" id="{BD72DA3D-D48A-4784-AF6E-F28BBE50A01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84"/>
              </a:graphicData>
            </a:graphic>
          </wp:inline>
        </w:drawing>
      </w:r>
    </w:p>
    <w:p w14:paraId="722DD757" w14:textId="77777777" w:rsidR="00A14B9B" w:rsidRPr="00892CF2" w:rsidRDefault="00A14B9B" w:rsidP="00892CF2">
      <w:pPr>
        <w:pStyle w:val="UZEIZdroj"/>
      </w:pPr>
      <w:r w:rsidRPr="00892CF2">
        <w:t xml:space="preserve">Zdroj: </w:t>
      </w:r>
      <w:proofErr w:type="spellStart"/>
      <w:r w:rsidRPr="00892CF2">
        <w:t>Eurostat</w:t>
      </w:r>
      <w:proofErr w:type="spellEnd"/>
      <w:r w:rsidRPr="00892CF2">
        <w:t xml:space="preserve"> 2020</w:t>
      </w:r>
    </w:p>
    <w:p w14:paraId="22A4CEA5" w14:textId="77777777" w:rsidR="00892CF2" w:rsidRDefault="00892CF2">
      <w:pPr>
        <w:spacing w:after="160" w:line="259" w:lineRule="auto"/>
        <w:jc w:val="left"/>
        <w:rPr>
          <w:rFonts w:eastAsiaTheme="minorEastAsia" w:cs="Arial"/>
          <w:b/>
          <w:color w:val="000000" w:themeColor="text1"/>
          <w:sz w:val="20"/>
          <w:szCs w:val="20"/>
          <w:lang w:val="cs-CZ" w:eastAsia="cs-CZ"/>
        </w:rPr>
      </w:pPr>
      <w:bookmarkStart w:id="875" w:name="_Toc25920042"/>
      <w:r>
        <w:rPr>
          <w:rFonts w:eastAsiaTheme="minorEastAsia"/>
        </w:rPr>
        <w:br w:type="page"/>
      </w:r>
    </w:p>
    <w:p w14:paraId="63AB20AF" w14:textId="211E4E0B" w:rsidR="00A14B9B" w:rsidRPr="00AA7E09" w:rsidRDefault="00AA7E09" w:rsidP="00AA7E09">
      <w:pPr>
        <w:pStyle w:val="UZEITaB"/>
        <w:ind w:left="0" w:firstLine="0"/>
        <w:rPr>
          <w:rFonts w:eastAsiaTheme="minorEastAsia"/>
        </w:rPr>
      </w:pPr>
      <w:r w:rsidRPr="00AA7E09">
        <w:rPr>
          <w:rFonts w:eastAsiaTheme="minorEastAsia"/>
        </w:rPr>
        <w:lastRenderedPageBreak/>
        <w:t xml:space="preserve"> </w:t>
      </w:r>
      <w:bookmarkStart w:id="876" w:name="_Ref81775215"/>
      <w:bookmarkStart w:id="877" w:name="_Toc81815365"/>
      <w:bookmarkStart w:id="878" w:name="_Toc81817043"/>
      <w:bookmarkStart w:id="879" w:name="_Toc81817556"/>
      <w:r w:rsidR="00A14B9B" w:rsidRPr="00AA7E09">
        <w:rPr>
          <w:rFonts w:eastAsiaTheme="minorEastAsia"/>
        </w:rPr>
        <w:t xml:space="preserve">Podíl osob v domácnostech, které si nemohly dovolit z finančních důvodů danou položku </w:t>
      </w:r>
      <w:bookmarkEnd w:id="875"/>
      <w:r w:rsidR="00A14B9B" w:rsidRPr="00AA7E09">
        <w:rPr>
          <w:rFonts w:eastAsiaTheme="minorEastAsia"/>
        </w:rPr>
        <w:t>v roce 2020</w:t>
      </w:r>
      <w:r w:rsidR="00A14B9B" w:rsidRPr="00AA7E09">
        <w:rPr>
          <w:rStyle w:val="Znakapoznpodarou"/>
          <w:rFonts w:eastAsiaTheme="minorEastAsia" w:cs="Arial"/>
          <w:vertAlign w:val="baseline"/>
        </w:rPr>
        <w:footnoteReference w:id="27"/>
      </w:r>
      <w:bookmarkEnd w:id="876"/>
      <w:bookmarkEnd w:id="877"/>
      <w:bookmarkEnd w:id="878"/>
      <w:bookmarkEnd w:id="879"/>
    </w:p>
    <w:tbl>
      <w:tblPr>
        <w:tblStyle w:val="Prosttabulka11"/>
        <w:tblW w:w="7226" w:type="dxa"/>
        <w:tblLook w:val="04A0" w:firstRow="1" w:lastRow="0" w:firstColumn="1" w:lastColumn="0" w:noHBand="0" w:noVBand="1"/>
      </w:tblPr>
      <w:tblGrid>
        <w:gridCol w:w="5052"/>
        <w:gridCol w:w="2174"/>
      </w:tblGrid>
      <w:tr w:rsidR="00A14B9B" w:rsidRPr="00AA7E09" w14:paraId="527E707D" w14:textId="77777777" w:rsidTr="00DB1D1D">
        <w:trPr>
          <w:cnfStyle w:val="100000000000" w:firstRow="1" w:lastRow="0" w:firstColumn="0" w:lastColumn="0" w:oddVBand="0" w:evenVBand="0" w:oddHBand="0" w:evenHBand="0" w:firstRowFirstColumn="0" w:firstRowLastColumn="0" w:lastRowFirstColumn="0" w:lastRowLastColumn="0"/>
          <w:trHeight w:val="163"/>
        </w:trPr>
        <w:tc>
          <w:tcPr>
            <w:cnfStyle w:val="001000000000" w:firstRow="0" w:lastRow="0" w:firstColumn="1" w:lastColumn="0" w:oddVBand="0" w:evenVBand="0" w:oddHBand="0" w:evenHBand="0" w:firstRowFirstColumn="0" w:firstRowLastColumn="0" w:lastRowFirstColumn="0" w:lastRowLastColumn="0"/>
            <w:tcW w:w="5052" w:type="dxa"/>
            <w:noWrap/>
          </w:tcPr>
          <w:p w14:paraId="3711D1FC" w14:textId="77777777" w:rsidR="00A14B9B" w:rsidRPr="00AA7E09" w:rsidRDefault="00A14B9B" w:rsidP="00DB1D1D">
            <w:pPr>
              <w:ind w:firstLine="22"/>
              <w:rPr>
                <w:rFonts w:eastAsia="Calibri" w:cs="Times New Roman"/>
                <w:color w:val="000000"/>
                <w:sz w:val="22"/>
              </w:rPr>
            </w:pPr>
            <w:r w:rsidRPr="00AA7E09">
              <w:rPr>
                <w:rFonts w:eastAsia="Calibri" w:cs="Times New Roman"/>
                <w:color w:val="000000"/>
                <w:sz w:val="22"/>
              </w:rPr>
              <w:t xml:space="preserve">Pořizovat nový nábytek za opotřebovaný </w:t>
            </w:r>
          </w:p>
        </w:tc>
        <w:tc>
          <w:tcPr>
            <w:tcW w:w="2174" w:type="dxa"/>
            <w:noWrap/>
          </w:tcPr>
          <w:p w14:paraId="41B1866A" w14:textId="77777777" w:rsidR="00A14B9B" w:rsidRPr="00AA7E09" w:rsidRDefault="00A14B9B" w:rsidP="00DB1D1D">
            <w:pPr>
              <w:ind w:firstLine="22"/>
              <w:jc w:val="right"/>
              <w:cnfStyle w:val="100000000000" w:firstRow="1" w:lastRow="0" w:firstColumn="0" w:lastColumn="0" w:oddVBand="0" w:evenVBand="0" w:oddHBand="0" w:evenHBand="0" w:firstRowFirstColumn="0" w:firstRowLastColumn="0" w:lastRowFirstColumn="0" w:lastRowLastColumn="0"/>
              <w:rPr>
                <w:rFonts w:eastAsia="Calibri" w:cs="Times New Roman"/>
                <w:color w:val="000000"/>
                <w:sz w:val="22"/>
              </w:rPr>
            </w:pPr>
            <w:r w:rsidRPr="00AA7E09">
              <w:rPr>
                <w:rFonts w:eastAsia="Calibri" w:cs="Times New Roman"/>
                <w:b w:val="0"/>
                <w:bCs w:val="0"/>
                <w:color w:val="000000"/>
                <w:sz w:val="22"/>
              </w:rPr>
              <w:t>28</w:t>
            </w:r>
            <w:r w:rsidRPr="00AA7E09">
              <w:rPr>
                <w:rFonts w:eastAsia="Calibri" w:cs="Times New Roman"/>
                <w:color w:val="000000"/>
                <w:sz w:val="22"/>
              </w:rPr>
              <w:t xml:space="preserve"> %</w:t>
            </w:r>
          </w:p>
        </w:tc>
      </w:tr>
      <w:tr w:rsidR="00A14B9B" w:rsidRPr="00AA7E09" w14:paraId="178787F8" w14:textId="77777777" w:rsidTr="00DB1D1D">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5052" w:type="dxa"/>
            <w:noWrap/>
            <w:hideMark/>
          </w:tcPr>
          <w:p w14:paraId="57AE5F66" w14:textId="77777777" w:rsidR="00A14B9B" w:rsidRPr="00AA7E09" w:rsidRDefault="00A14B9B" w:rsidP="00DB1D1D">
            <w:pPr>
              <w:ind w:firstLine="22"/>
              <w:rPr>
                <w:rFonts w:eastAsia="Calibri" w:cs="Times New Roman"/>
                <w:color w:val="000000"/>
                <w:sz w:val="22"/>
              </w:rPr>
            </w:pPr>
            <w:r w:rsidRPr="00AA7E09">
              <w:rPr>
                <w:rFonts w:eastAsia="Calibri" w:cs="Times New Roman"/>
                <w:color w:val="000000"/>
                <w:sz w:val="22"/>
              </w:rPr>
              <w:t>Neočekávaný výdaj ve výši 12 000 Kč</w:t>
            </w:r>
          </w:p>
        </w:tc>
        <w:tc>
          <w:tcPr>
            <w:tcW w:w="2174" w:type="dxa"/>
            <w:noWrap/>
            <w:hideMark/>
          </w:tcPr>
          <w:p w14:paraId="578EACC9" w14:textId="77777777" w:rsidR="00A14B9B" w:rsidRPr="00AA7E09" w:rsidRDefault="00A14B9B" w:rsidP="00DB1D1D">
            <w:pPr>
              <w:ind w:firstLine="22"/>
              <w:jc w:val="right"/>
              <w:cnfStyle w:val="000000100000" w:firstRow="0" w:lastRow="0" w:firstColumn="0" w:lastColumn="0" w:oddVBand="0" w:evenVBand="0" w:oddHBand="1" w:evenHBand="0" w:firstRowFirstColumn="0" w:firstRowLastColumn="0" w:lastRowFirstColumn="0" w:lastRowLastColumn="0"/>
              <w:rPr>
                <w:rFonts w:eastAsia="Calibri" w:cs="Times New Roman"/>
                <w:b/>
                <w:color w:val="000000"/>
                <w:sz w:val="22"/>
              </w:rPr>
            </w:pPr>
            <w:r w:rsidRPr="00AA7E09">
              <w:rPr>
                <w:rFonts w:eastAsia="Calibri" w:cs="Times New Roman"/>
                <w:color w:val="000000"/>
                <w:sz w:val="22"/>
              </w:rPr>
              <w:t xml:space="preserve"> 19,6 %</w:t>
            </w:r>
          </w:p>
        </w:tc>
      </w:tr>
      <w:tr w:rsidR="00A14B9B" w:rsidRPr="00AA7E09" w14:paraId="0976479B" w14:textId="77777777" w:rsidTr="00DB1D1D">
        <w:trPr>
          <w:trHeight w:val="397"/>
        </w:trPr>
        <w:tc>
          <w:tcPr>
            <w:cnfStyle w:val="001000000000" w:firstRow="0" w:lastRow="0" w:firstColumn="1" w:lastColumn="0" w:oddVBand="0" w:evenVBand="0" w:oddHBand="0" w:evenHBand="0" w:firstRowFirstColumn="0" w:firstRowLastColumn="0" w:lastRowFirstColumn="0" w:lastRowLastColumn="0"/>
            <w:tcW w:w="5052" w:type="dxa"/>
            <w:noWrap/>
            <w:hideMark/>
          </w:tcPr>
          <w:p w14:paraId="4577EC9E" w14:textId="77777777" w:rsidR="00A14B9B" w:rsidRPr="00AA7E09" w:rsidRDefault="00A14B9B" w:rsidP="00DB1D1D">
            <w:pPr>
              <w:ind w:firstLine="22"/>
              <w:rPr>
                <w:rFonts w:eastAsia="Calibri" w:cs="Times New Roman"/>
                <w:color w:val="000000"/>
                <w:sz w:val="22"/>
              </w:rPr>
            </w:pPr>
            <w:r w:rsidRPr="00AA7E09">
              <w:rPr>
                <w:rFonts w:eastAsia="Calibri" w:cs="Times New Roman"/>
                <w:color w:val="000000"/>
                <w:sz w:val="22"/>
              </w:rPr>
              <w:t>Týdenní dovolená</w:t>
            </w:r>
          </w:p>
        </w:tc>
        <w:tc>
          <w:tcPr>
            <w:tcW w:w="2174" w:type="dxa"/>
            <w:noWrap/>
            <w:hideMark/>
          </w:tcPr>
          <w:p w14:paraId="24BD33BB" w14:textId="77777777" w:rsidR="00A14B9B" w:rsidRPr="00AA7E09" w:rsidRDefault="00A14B9B" w:rsidP="00DB1D1D">
            <w:pPr>
              <w:ind w:firstLine="22"/>
              <w:jc w:val="right"/>
              <w:cnfStyle w:val="000000000000" w:firstRow="0" w:lastRow="0" w:firstColumn="0" w:lastColumn="0" w:oddVBand="0" w:evenVBand="0" w:oddHBand="0" w:evenHBand="0" w:firstRowFirstColumn="0" w:firstRowLastColumn="0" w:lastRowFirstColumn="0" w:lastRowLastColumn="0"/>
              <w:rPr>
                <w:rFonts w:eastAsia="Calibri" w:cs="Times New Roman"/>
                <w:color w:val="000000"/>
                <w:sz w:val="22"/>
              </w:rPr>
            </w:pPr>
            <w:r w:rsidRPr="00AA7E09">
              <w:rPr>
                <w:rFonts w:eastAsia="Calibri" w:cs="Times New Roman"/>
                <w:color w:val="000000"/>
                <w:sz w:val="22"/>
              </w:rPr>
              <w:t>18,7 %</w:t>
            </w:r>
          </w:p>
        </w:tc>
      </w:tr>
      <w:tr w:rsidR="00A14B9B" w:rsidRPr="00AA7E09" w14:paraId="26F7991E" w14:textId="77777777" w:rsidTr="00DB1D1D">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5052" w:type="dxa"/>
            <w:noWrap/>
            <w:hideMark/>
          </w:tcPr>
          <w:p w14:paraId="19A5C167" w14:textId="77777777" w:rsidR="00A14B9B" w:rsidRPr="00AA7E09" w:rsidRDefault="00A14B9B" w:rsidP="00DB1D1D">
            <w:pPr>
              <w:ind w:firstLine="22"/>
              <w:rPr>
                <w:rFonts w:eastAsia="Calibri" w:cs="Times New Roman"/>
                <w:color w:val="000000"/>
                <w:sz w:val="22"/>
              </w:rPr>
            </w:pPr>
            <w:r w:rsidRPr="00AA7E09">
              <w:rPr>
                <w:rFonts w:eastAsia="Calibri" w:cs="Times New Roman"/>
                <w:color w:val="000000"/>
                <w:sz w:val="22"/>
              </w:rPr>
              <w:t>Automobil</w:t>
            </w:r>
          </w:p>
        </w:tc>
        <w:tc>
          <w:tcPr>
            <w:tcW w:w="2174" w:type="dxa"/>
            <w:noWrap/>
            <w:hideMark/>
          </w:tcPr>
          <w:p w14:paraId="06F959D3" w14:textId="77777777" w:rsidR="00A14B9B" w:rsidRPr="00AA7E09" w:rsidRDefault="00A14B9B" w:rsidP="00DB1D1D">
            <w:pPr>
              <w:ind w:firstLine="22"/>
              <w:jc w:val="right"/>
              <w:cnfStyle w:val="000000100000" w:firstRow="0" w:lastRow="0" w:firstColumn="0" w:lastColumn="0" w:oddVBand="0" w:evenVBand="0" w:oddHBand="1" w:evenHBand="0" w:firstRowFirstColumn="0" w:firstRowLastColumn="0" w:lastRowFirstColumn="0" w:lastRowLastColumn="0"/>
              <w:rPr>
                <w:rFonts w:eastAsia="Calibri" w:cs="Times New Roman"/>
                <w:color w:val="000000"/>
                <w:sz w:val="22"/>
              </w:rPr>
            </w:pPr>
            <w:r w:rsidRPr="00AA7E09">
              <w:rPr>
                <w:rFonts w:eastAsia="Calibri" w:cs="Times New Roman"/>
                <w:color w:val="000000"/>
                <w:sz w:val="22"/>
              </w:rPr>
              <w:t xml:space="preserve"> 5,1</w:t>
            </w:r>
            <w:r w:rsidRPr="00AA7E09" w:rsidDel="00A20100">
              <w:rPr>
                <w:rFonts w:eastAsia="Calibri" w:cs="Times New Roman"/>
                <w:color w:val="000000"/>
                <w:sz w:val="22"/>
              </w:rPr>
              <w:t xml:space="preserve"> </w:t>
            </w:r>
            <w:r w:rsidRPr="00AA7E09">
              <w:rPr>
                <w:rFonts w:eastAsia="Calibri" w:cs="Times New Roman"/>
                <w:color w:val="000000"/>
                <w:sz w:val="22"/>
              </w:rPr>
              <w:t>%</w:t>
            </w:r>
          </w:p>
        </w:tc>
      </w:tr>
      <w:tr w:rsidR="00A14B9B" w:rsidRPr="00AA7E09" w14:paraId="7709B153" w14:textId="77777777" w:rsidTr="00DB1D1D">
        <w:trPr>
          <w:trHeight w:val="397"/>
        </w:trPr>
        <w:tc>
          <w:tcPr>
            <w:cnfStyle w:val="001000000000" w:firstRow="0" w:lastRow="0" w:firstColumn="1" w:lastColumn="0" w:oddVBand="0" w:evenVBand="0" w:oddHBand="0" w:evenHBand="0" w:firstRowFirstColumn="0" w:firstRowLastColumn="0" w:lastRowFirstColumn="0" w:lastRowLastColumn="0"/>
            <w:tcW w:w="5052" w:type="dxa"/>
            <w:noWrap/>
            <w:hideMark/>
          </w:tcPr>
          <w:p w14:paraId="03B9E6D9" w14:textId="77777777" w:rsidR="00A14B9B" w:rsidRPr="00AA7E09" w:rsidRDefault="00A14B9B" w:rsidP="00DB1D1D">
            <w:pPr>
              <w:ind w:firstLine="22"/>
              <w:rPr>
                <w:rFonts w:eastAsia="Calibri" w:cs="Times New Roman"/>
                <w:color w:val="000000"/>
                <w:sz w:val="22"/>
              </w:rPr>
            </w:pPr>
            <w:r w:rsidRPr="00AA7E09">
              <w:rPr>
                <w:rFonts w:eastAsia="Calibri" w:cs="Times New Roman"/>
                <w:color w:val="000000"/>
                <w:sz w:val="22"/>
              </w:rPr>
              <w:t>Jíst maso, ryby, drůbež obden</w:t>
            </w:r>
          </w:p>
        </w:tc>
        <w:tc>
          <w:tcPr>
            <w:tcW w:w="2174" w:type="dxa"/>
            <w:noWrap/>
            <w:hideMark/>
          </w:tcPr>
          <w:p w14:paraId="0DD9C93C" w14:textId="77777777" w:rsidR="00A14B9B" w:rsidRPr="00AA7E09" w:rsidRDefault="00A14B9B" w:rsidP="00DB1D1D">
            <w:pPr>
              <w:ind w:firstLine="22"/>
              <w:jc w:val="right"/>
              <w:cnfStyle w:val="000000000000" w:firstRow="0" w:lastRow="0" w:firstColumn="0" w:lastColumn="0" w:oddVBand="0" w:evenVBand="0" w:oddHBand="0" w:evenHBand="0" w:firstRowFirstColumn="0" w:firstRowLastColumn="0" w:lastRowFirstColumn="0" w:lastRowLastColumn="0"/>
              <w:rPr>
                <w:rFonts w:eastAsia="Calibri" w:cs="Times New Roman"/>
                <w:color w:val="000000"/>
                <w:sz w:val="22"/>
              </w:rPr>
            </w:pPr>
            <w:r w:rsidRPr="00AA7E09">
              <w:rPr>
                <w:rFonts w:eastAsia="Calibri" w:cs="Times New Roman"/>
                <w:color w:val="000000"/>
                <w:sz w:val="22"/>
              </w:rPr>
              <w:t xml:space="preserve"> 4,1</w:t>
            </w:r>
            <w:r w:rsidRPr="00AA7E09" w:rsidDel="00A60D04">
              <w:rPr>
                <w:rFonts w:eastAsia="Calibri" w:cs="Times New Roman"/>
                <w:color w:val="000000"/>
                <w:sz w:val="22"/>
              </w:rPr>
              <w:t xml:space="preserve"> </w:t>
            </w:r>
            <w:r w:rsidRPr="00AA7E09">
              <w:rPr>
                <w:rFonts w:eastAsia="Calibri" w:cs="Times New Roman"/>
                <w:color w:val="000000"/>
                <w:sz w:val="22"/>
              </w:rPr>
              <w:t>%</w:t>
            </w:r>
          </w:p>
        </w:tc>
      </w:tr>
      <w:tr w:rsidR="00A14B9B" w:rsidRPr="00AA7E09" w14:paraId="69C9CD95" w14:textId="77777777" w:rsidTr="00DB1D1D">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5052" w:type="dxa"/>
            <w:noWrap/>
          </w:tcPr>
          <w:p w14:paraId="49E4B5A3" w14:textId="77777777" w:rsidR="00A14B9B" w:rsidRPr="00AA7E09" w:rsidRDefault="00A14B9B" w:rsidP="00DB1D1D">
            <w:pPr>
              <w:ind w:firstLine="22"/>
              <w:rPr>
                <w:rFonts w:eastAsia="Calibri" w:cs="Times New Roman"/>
                <w:color w:val="000000"/>
                <w:sz w:val="22"/>
              </w:rPr>
            </w:pPr>
            <w:r w:rsidRPr="00AA7E09">
              <w:rPr>
                <w:rFonts w:eastAsia="Calibri" w:cs="Times New Roman"/>
                <w:color w:val="000000"/>
                <w:sz w:val="22"/>
              </w:rPr>
              <w:t xml:space="preserve">Pravidelná volnočasová aktivita </w:t>
            </w:r>
          </w:p>
        </w:tc>
        <w:tc>
          <w:tcPr>
            <w:tcW w:w="2174" w:type="dxa"/>
            <w:noWrap/>
          </w:tcPr>
          <w:p w14:paraId="66190B0D" w14:textId="77777777" w:rsidR="00A14B9B" w:rsidRPr="00AA7E09" w:rsidRDefault="00A14B9B" w:rsidP="00DB1D1D">
            <w:pPr>
              <w:ind w:firstLine="22"/>
              <w:jc w:val="right"/>
              <w:cnfStyle w:val="000000100000" w:firstRow="0" w:lastRow="0" w:firstColumn="0" w:lastColumn="0" w:oddVBand="0" w:evenVBand="0" w:oddHBand="1" w:evenHBand="0" w:firstRowFirstColumn="0" w:firstRowLastColumn="0" w:lastRowFirstColumn="0" w:lastRowLastColumn="0"/>
              <w:rPr>
                <w:rFonts w:eastAsia="Calibri" w:cs="Times New Roman"/>
                <w:color w:val="000000"/>
                <w:sz w:val="22"/>
              </w:rPr>
            </w:pPr>
            <w:r w:rsidRPr="00AA7E09">
              <w:rPr>
                <w:rFonts w:eastAsia="Calibri" w:cs="Times New Roman"/>
                <w:color w:val="000000"/>
                <w:sz w:val="22"/>
              </w:rPr>
              <w:t>4,0</w:t>
            </w:r>
            <w:r w:rsidRPr="00AA7E09" w:rsidDel="006042AE">
              <w:rPr>
                <w:rFonts w:eastAsia="Calibri" w:cs="Times New Roman"/>
                <w:color w:val="000000"/>
                <w:sz w:val="22"/>
              </w:rPr>
              <w:t xml:space="preserve"> </w:t>
            </w:r>
            <w:r w:rsidRPr="00AA7E09">
              <w:rPr>
                <w:rFonts w:eastAsia="Calibri" w:cs="Times New Roman"/>
                <w:color w:val="000000"/>
                <w:sz w:val="22"/>
              </w:rPr>
              <w:t xml:space="preserve">% </w:t>
            </w:r>
          </w:p>
        </w:tc>
      </w:tr>
      <w:tr w:rsidR="00A14B9B" w:rsidRPr="00AA7E09" w14:paraId="6EE32AE3" w14:textId="77777777" w:rsidTr="00DB1D1D">
        <w:trPr>
          <w:trHeight w:val="397"/>
        </w:trPr>
        <w:tc>
          <w:tcPr>
            <w:cnfStyle w:val="001000000000" w:firstRow="0" w:lastRow="0" w:firstColumn="1" w:lastColumn="0" w:oddVBand="0" w:evenVBand="0" w:oddHBand="0" w:evenHBand="0" w:firstRowFirstColumn="0" w:firstRowLastColumn="0" w:lastRowFirstColumn="0" w:lastRowLastColumn="0"/>
            <w:tcW w:w="5052" w:type="dxa"/>
            <w:noWrap/>
          </w:tcPr>
          <w:p w14:paraId="7DE0C17D" w14:textId="77777777" w:rsidR="00A14B9B" w:rsidRPr="00AA7E09" w:rsidRDefault="00A14B9B" w:rsidP="00DB1D1D">
            <w:pPr>
              <w:ind w:firstLine="22"/>
              <w:rPr>
                <w:rFonts w:eastAsia="Calibri" w:cs="Times New Roman"/>
                <w:color w:val="000000"/>
                <w:sz w:val="22"/>
              </w:rPr>
            </w:pPr>
            <w:r w:rsidRPr="00AA7E09">
              <w:rPr>
                <w:rFonts w:eastAsia="Calibri" w:cs="Times New Roman"/>
                <w:color w:val="000000"/>
                <w:sz w:val="22"/>
              </w:rPr>
              <w:t xml:space="preserve">Útrata pro sebe každý týden </w:t>
            </w:r>
          </w:p>
        </w:tc>
        <w:tc>
          <w:tcPr>
            <w:tcW w:w="2174" w:type="dxa"/>
            <w:noWrap/>
          </w:tcPr>
          <w:p w14:paraId="326BDBFC" w14:textId="77777777" w:rsidR="00A14B9B" w:rsidRPr="00AA7E09" w:rsidRDefault="00A14B9B" w:rsidP="00DB1D1D">
            <w:pPr>
              <w:ind w:firstLine="22"/>
              <w:jc w:val="right"/>
              <w:cnfStyle w:val="000000000000" w:firstRow="0" w:lastRow="0" w:firstColumn="0" w:lastColumn="0" w:oddVBand="0" w:evenVBand="0" w:oddHBand="0" w:evenHBand="0" w:firstRowFirstColumn="0" w:firstRowLastColumn="0" w:lastRowFirstColumn="0" w:lastRowLastColumn="0"/>
              <w:rPr>
                <w:rFonts w:eastAsia="Calibri" w:cs="Times New Roman"/>
                <w:color w:val="000000"/>
                <w:sz w:val="22"/>
              </w:rPr>
            </w:pPr>
            <w:r w:rsidRPr="00AA7E09">
              <w:rPr>
                <w:rFonts w:eastAsia="Calibri" w:cs="Times New Roman"/>
                <w:color w:val="000000"/>
                <w:sz w:val="22"/>
              </w:rPr>
              <w:t>4,1</w:t>
            </w:r>
            <w:r w:rsidRPr="00AA7E09" w:rsidDel="00B05AAB">
              <w:rPr>
                <w:rFonts w:eastAsia="Calibri" w:cs="Times New Roman"/>
                <w:color w:val="000000"/>
                <w:sz w:val="22"/>
              </w:rPr>
              <w:t xml:space="preserve"> </w:t>
            </w:r>
            <w:r w:rsidRPr="00AA7E09">
              <w:rPr>
                <w:rFonts w:eastAsia="Calibri" w:cs="Times New Roman"/>
                <w:color w:val="000000"/>
                <w:sz w:val="22"/>
              </w:rPr>
              <w:t xml:space="preserve">% </w:t>
            </w:r>
          </w:p>
        </w:tc>
      </w:tr>
      <w:tr w:rsidR="00A14B9B" w:rsidRPr="00AA7E09" w14:paraId="72F2ED38" w14:textId="77777777" w:rsidTr="00DB1D1D">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5052" w:type="dxa"/>
            <w:noWrap/>
          </w:tcPr>
          <w:p w14:paraId="1BF1263A" w14:textId="77777777" w:rsidR="00A14B9B" w:rsidRPr="00AA7E09" w:rsidRDefault="00A14B9B" w:rsidP="00DB1D1D">
            <w:pPr>
              <w:ind w:firstLine="22"/>
              <w:rPr>
                <w:rFonts w:eastAsia="Calibri" w:cs="Times New Roman"/>
                <w:color w:val="000000"/>
                <w:sz w:val="22"/>
              </w:rPr>
            </w:pPr>
            <w:r w:rsidRPr="00AA7E09">
              <w:rPr>
                <w:rFonts w:eastAsia="Calibri" w:cs="Times New Roman"/>
                <w:color w:val="000000"/>
                <w:sz w:val="22"/>
              </w:rPr>
              <w:t xml:space="preserve">Schopnost uhradit náklady na bydlení </w:t>
            </w:r>
          </w:p>
        </w:tc>
        <w:tc>
          <w:tcPr>
            <w:tcW w:w="2174" w:type="dxa"/>
            <w:noWrap/>
          </w:tcPr>
          <w:p w14:paraId="0D5437F2" w14:textId="77777777" w:rsidR="00A14B9B" w:rsidRPr="00AA7E09" w:rsidRDefault="00A14B9B" w:rsidP="00DB1D1D">
            <w:pPr>
              <w:ind w:firstLine="22"/>
              <w:jc w:val="right"/>
              <w:cnfStyle w:val="000000100000" w:firstRow="0" w:lastRow="0" w:firstColumn="0" w:lastColumn="0" w:oddVBand="0" w:evenVBand="0" w:oddHBand="1" w:evenHBand="0" w:firstRowFirstColumn="0" w:firstRowLastColumn="0" w:lastRowFirstColumn="0" w:lastRowLastColumn="0"/>
              <w:rPr>
                <w:rFonts w:eastAsia="Calibri" w:cs="Times New Roman"/>
                <w:color w:val="000000"/>
                <w:sz w:val="22"/>
              </w:rPr>
            </w:pPr>
            <w:r w:rsidRPr="00AA7E09">
              <w:rPr>
                <w:rFonts w:eastAsia="Calibri" w:cs="Times New Roman"/>
                <w:color w:val="000000"/>
                <w:sz w:val="22"/>
              </w:rPr>
              <w:t>3,0</w:t>
            </w:r>
            <w:r w:rsidRPr="00AA7E09" w:rsidDel="004B1227">
              <w:rPr>
                <w:rFonts w:eastAsia="Calibri" w:cs="Times New Roman"/>
                <w:color w:val="000000"/>
                <w:sz w:val="22"/>
              </w:rPr>
              <w:t xml:space="preserve"> </w:t>
            </w:r>
            <w:r w:rsidRPr="00AA7E09">
              <w:rPr>
                <w:rFonts w:eastAsia="Calibri" w:cs="Times New Roman"/>
                <w:color w:val="000000"/>
                <w:sz w:val="22"/>
              </w:rPr>
              <w:t>%</w:t>
            </w:r>
          </w:p>
        </w:tc>
      </w:tr>
      <w:tr w:rsidR="00A14B9B" w:rsidRPr="00AA7E09" w14:paraId="77275981" w14:textId="77777777" w:rsidTr="00DB1D1D">
        <w:trPr>
          <w:trHeight w:val="397"/>
        </w:trPr>
        <w:tc>
          <w:tcPr>
            <w:cnfStyle w:val="001000000000" w:firstRow="0" w:lastRow="0" w:firstColumn="1" w:lastColumn="0" w:oddVBand="0" w:evenVBand="0" w:oddHBand="0" w:evenHBand="0" w:firstRowFirstColumn="0" w:firstRowLastColumn="0" w:lastRowFirstColumn="0" w:lastRowLastColumn="0"/>
            <w:tcW w:w="5052" w:type="dxa"/>
            <w:noWrap/>
          </w:tcPr>
          <w:p w14:paraId="6C8360EC" w14:textId="77777777" w:rsidR="00A14B9B" w:rsidRPr="00AA7E09" w:rsidRDefault="00A14B9B" w:rsidP="00DB1D1D">
            <w:pPr>
              <w:ind w:firstLine="22"/>
              <w:rPr>
                <w:rFonts w:eastAsia="Calibri" w:cs="Times New Roman"/>
                <w:color w:val="000000"/>
                <w:sz w:val="22"/>
              </w:rPr>
            </w:pPr>
            <w:r w:rsidRPr="00AA7E09">
              <w:rPr>
                <w:rFonts w:eastAsia="Calibri" w:cs="Times New Roman"/>
                <w:color w:val="000000"/>
                <w:sz w:val="22"/>
              </w:rPr>
              <w:t>Vytápěný byt</w:t>
            </w:r>
          </w:p>
        </w:tc>
        <w:tc>
          <w:tcPr>
            <w:tcW w:w="2174" w:type="dxa"/>
            <w:noWrap/>
          </w:tcPr>
          <w:p w14:paraId="072A2703" w14:textId="77777777" w:rsidR="00A14B9B" w:rsidRPr="00AA7E09" w:rsidRDefault="00A14B9B" w:rsidP="00DB1D1D">
            <w:pPr>
              <w:ind w:firstLine="22"/>
              <w:jc w:val="right"/>
              <w:cnfStyle w:val="000000000000" w:firstRow="0" w:lastRow="0" w:firstColumn="0" w:lastColumn="0" w:oddVBand="0" w:evenVBand="0" w:oddHBand="0" w:evenHBand="0" w:firstRowFirstColumn="0" w:firstRowLastColumn="0" w:lastRowFirstColumn="0" w:lastRowLastColumn="0"/>
              <w:rPr>
                <w:rFonts w:eastAsia="Calibri" w:cs="Times New Roman"/>
                <w:color w:val="000000"/>
                <w:sz w:val="22"/>
              </w:rPr>
            </w:pPr>
            <w:r w:rsidRPr="00AA7E09">
              <w:rPr>
                <w:rFonts w:eastAsia="Calibri" w:cs="Times New Roman"/>
                <w:color w:val="000000"/>
                <w:sz w:val="22"/>
              </w:rPr>
              <w:t>2,2</w:t>
            </w:r>
            <w:r w:rsidRPr="00AA7E09" w:rsidDel="00CD060A">
              <w:rPr>
                <w:rFonts w:eastAsia="Calibri" w:cs="Times New Roman"/>
                <w:color w:val="000000"/>
                <w:sz w:val="22"/>
              </w:rPr>
              <w:t xml:space="preserve"> </w:t>
            </w:r>
            <w:r w:rsidRPr="00AA7E09">
              <w:rPr>
                <w:rFonts w:eastAsia="Calibri" w:cs="Times New Roman"/>
                <w:color w:val="000000"/>
                <w:sz w:val="22"/>
              </w:rPr>
              <w:t>%</w:t>
            </w:r>
          </w:p>
        </w:tc>
      </w:tr>
      <w:tr w:rsidR="00A14B9B" w:rsidRPr="00AA7E09" w14:paraId="45C750ED" w14:textId="77777777" w:rsidTr="00DB1D1D">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5052" w:type="dxa"/>
            <w:noWrap/>
          </w:tcPr>
          <w:p w14:paraId="3BA1ABA4" w14:textId="77777777" w:rsidR="00A14B9B" w:rsidRPr="00AA7E09" w:rsidRDefault="00A14B9B" w:rsidP="00DB1D1D">
            <w:pPr>
              <w:ind w:firstLine="22"/>
              <w:rPr>
                <w:rFonts w:eastAsia="Calibri" w:cs="Times New Roman"/>
                <w:color w:val="000000"/>
                <w:sz w:val="22"/>
              </w:rPr>
            </w:pPr>
            <w:r w:rsidRPr="00AA7E09">
              <w:rPr>
                <w:rFonts w:eastAsia="Calibri" w:cs="Times New Roman"/>
                <w:color w:val="000000"/>
                <w:sz w:val="22"/>
              </w:rPr>
              <w:t xml:space="preserve">Nové oblečení za obnošené </w:t>
            </w:r>
          </w:p>
        </w:tc>
        <w:tc>
          <w:tcPr>
            <w:tcW w:w="2174" w:type="dxa"/>
            <w:noWrap/>
          </w:tcPr>
          <w:p w14:paraId="44427D22" w14:textId="77777777" w:rsidR="00A14B9B" w:rsidRPr="00AA7E09" w:rsidRDefault="00A14B9B" w:rsidP="00DB1D1D">
            <w:pPr>
              <w:ind w:firstLine="22"/>
              <w:jc w:val="right"/>
              <w:cnfStyle w:val="000000100000" w:firstRow="0" w:lastRow="0" w:firstColumn="0" w:lastColumn="0" w:oddVBand="0" w:evenVBand="0" w:oddHBand="1" w:evenHBand="0" w:firstRowFirstColumn="0" w:firstRowLastColumn="0" w:lastRowFirstColumn="0" w:lastRowLastColumn="0"/>
              <w:rPr>
                <w:rFonts w:eastAsia="Calibri" w:cs="Times New Roman"/>
                <w:color w:val="000000"/>
                <w:sz w:val="22"/>
              </w:rPr>
            </w:pPr>
            <w:r w:rsidRPr="00AA7E09">
              <w:rPr>
                <w:rFonts w:eastAsia="Calibri" w:cs="Times New Roman"/>
                <w:color w:val="000000"/>
                <w:sz w:val="22"/>
              </w:rPr>
              <w:t>2,2</w:t>
            </w:r>
            <w:r w:rsidRPr="00AA7E09" w:rsidDel="00A61771">
              <w:rPr>
                <w:rFonts w:eastAsia="Calibri" w:cs="Times New Roman"/>
                <w:color w:val="000000"/>
                <w:sz w:val="22"/>
              </w:rPr>
              <w:t xml:space="preserve"> </w:t>
            </w:r>
            <w:r w:rsidRPr="00AA7E09">
              <w:rPr>
                <w:rFonts w:eastAsia="Calibri" w:cs="Times New Roman"/>
                <w:color w:val="000000"/>
                <w:sz w:val="22"/>
              </w:rPr>
              <w:t>%</w:t>
            </w:r>
          </w:p>
        </w:tc>
      </w:tr>
      <w:tr w:rsidR="00A14B9B" w:rsidRPr="00AA7E09" w14:paraId="23DC5FC8" w14:textId="77777777" w:rsidTr="00DB1D1D">
        <w:trPr>
          <w:trHeight w:val="397"/>
        </w:trPr>
        <w:tc>
          <w:tcPr>
            <w:cnfStyle w:val="001000000000" w:firstRow="0" w:lastRow="0" w:firstColumn="1" w:lastColumn="0" w:oddVBand="0" w:evenVBand="0" w:oddHBand="0" w:evenHBand="0" w:firstRowFirstColumn="0" w:firstRowLastColumn="0" w:lastRowFirstColumn="0" w:lastRowLastColumn="0"/>
            <w:tcW w:w="5052" w:type="dxa"/>
            <w:noWrap/>
          </w:tcPr>
          <w:p w14:paraId="0A786A32" w14:textId="77777777" w:rsidR="00A14B9B" w:rsidRPr="00AA7E09" w:rsidRDefault="00A14B9B" w:rsidP="00DB1D1D">
            <w:pPr>
              <w:ind w:firstLine="22"/>
              <w:rPr>
                <w:rFonts w:eastAsia="Calibri" w:cs="Times New Roman"/>
                <w:color w:val="000000"/>
                <w:sz w:val="22"/>
              </w:rPr>
            </w:pPr>
            <w:r w:rsidRPr="00AA7E09">
              <w:rPr>
                <w:rFonts w:eastAsia="Calibri" w:cs="Times New Roman"/>
                <w:color w:val="000000"/>
                <w:sz w:val="22"/>
              </w:rPr>
              <w:t xml:space="preserve">Připojení k internetu </w:t>
            </w:r>
          </w:p>
        </w:tc>
        <w:tc>
          <w:tcPr>
            <w:tcW w:w="2174" w:type="dxa"/>
            <w:noWrap/>
          </w:tcPr>
          <w:p w14:paraId="488EA853" w14:textId="77777777" w:rsidR="00A14B9B" w:rsidRPr="00AA7E09" w:rsidRDefault="00A14B9B" w:rsidP="00DB1D1D">
            <w:pPr>
              <w:ind w:firstLine="22"/>
              <w:jc w:val="right"/>
              <w:cnfStyle w:val="000000000000" w:firstRow="0" w:lastRow="0" w:firstColumn="0" w:lastColumn="0" w:oddVBand="0" w:evenVBand="0" w:oddHBand="0" w:evenHBand="0" w:firstRowFirstColumn="0" w:firstRowLastColumn="0" w:lastRowFirstColumn="0" w:lastRowLastColumn="0"/>
              <w:rPr>
                <w:rFonts w:eastAsia="Calibri" w:cs="Times New Roman"/>
                <w:color w:val="000000"/>
                <w:sz w:val="22"/>
              </w:rPr>
            </w:pPr>
            <w:r w:rsidRPr="00AA7E09">
              <w:rPr>
                <w:rFonts w:eastAsia="Calibri" w:cs="Times New Roman"/>
                <w:color w:val="000000"/>
                <w:sz w:val="22"/>
              </w:rPr>
              <w:t>1,4</w:t>
            </w:r>
            <w:r w:rsidRPr="00AA7E09" w:rsidDel="00E75A46">
              <w:rPr>
                <w:rFonts w:eastAsia="Calibri" w:cs="Times New Roman"/>
                <w:color w:val="000000"/>
                <w:sz w:val="22"/>
              </w:rPr>
              <w:t xml:space="preserve"> </w:t>
            </w:r>
            <w:r w:rsidRPr="00AA7E09">
              <w:rPr>
                <w:rFonts w:eastAsia="Calibri" w:cs="Times New Roman"/>
                <w:color w:val="000000"/>
                <w:sz w:val="22"/>
              </w:rPr>
              <w:t>%</w:t>
            </w:r>
          </w:p>
        </w:tc>
      </w:tr>
      <w:tr w:rsidR="00A14B9B" w:rsidRPr="00AA7E09" w14:paraId="04BCEAE0" w14:textId="77777777" w:rsidTr="00DB1D1D">
        <w:trPr>
          <w:cnfStyle w:val="000000100000" w:firstRow="0" w:lastRow="0" w:firstColumn="0" w:lastColumn="0" w:oddVBand="0" w:evenVBand="0" w:oddHBand="1" w:evenHBand="0" w:firstRowFirstColumn="0" w:firstRowLastColumn="0" w:lastRowFirstColumn="0" w:lastRowLastColumn="0"/>
          <w:trHeight w:val="258"/>
        </w:trPr>
        <w:tc>
          <w:tcPr>
            <w:cnfStyle w:val="001000000000" w:firstRow="0" w:lastRow="0" w:firstColumn="1" w:lastColumn="0" w:oddVBand="0" w:evenVBand="0" w:oddHBand="0" w:evenHBand="0" w:firstRowFirstColumn="0" w:firstRowLastColumn="0" w:lastRowFirstColumn="0" w:lastRowLastColumn="0"/>
            <w:tcW w:w="5052" w:type="dxa"/>
            <w:noWrap/>
          </w:tcPr>
          <w:p w14:paraId="58533726" w14:textId="77777777" w:rsidR="00A14B9B" w:rsidRPr="00AA7E09" w:rsidRDefault="00A14B9B" w:rsidP="00DB1D1D">
            <w:pPr>
              <w:ind w:firstLine="22"/>
              <w:rPr>
                <w:rFonts w:eastAsia="Calibri" w:cs="Times New Roman"/>
                <w:color w:val="000000"/>
                <w:sz w:val="22"/>
              </w:rPr>
            </w:pPr>
            <w:r w:rsidRPr="00AA7E09">
              <w:rPr>
                <w:rFonts w:eastAsia="Calibri" w:cs="Times New Roman"/>
                <w:color w:val="000000"/>
                <w:sz w:val="22"/>
              </w:rPr>
              <w:t>Dva páry bot</w:t>
            </w:r>
          </w:p>
        </w:tc>
        <w:tc>
          <w:tcPr>
            <w:tcW w:w="2174" w:type="dxa"/>
            <w:noWrap/>
          </w:tcPr>
          <w:p w14:paraId="0B778F30" w14:textId="77777777" w:rsidR="00A14B9B" w:rsidRPr="00AA7E09" w:rsidRDefault="00A14B9B" w:rsidP="00DB1D1D">
            <w:pPr>
              <w:ind w:firstLine="22"/>
              <w:jc w:val="right"/>
              <w:cnfStyle w:val="000000100000" w:firstRow="0" w:lastRow="0" w:firstColumn="0" w:lastColumn="0" w:oddVBand="0" w:evenVBand="0" w:oddHBand="1" w:evenHBand="0" w:firstRowFirstColumn="0" w:firstRowLastColumn="0" w:lastRowFirstColumn="0" w:lastRowLastColumn="0"/>
              <w:rPr>
                <w:rFonts w:eastAsia="Calibri" w:cs="Times New Roman"/>
                <w:color w:val="000000"/>
                <w:sz w:val="22"/>
              </w:rPr>
            </w:pPr>
            <w:r w:rsidRPr="00AA7E09">
              <w:rPr>
                <w:rFonts w:eastAsia="Calibri" w:cs="Times New Roman"/>
                <w:color w:val="000000"/>
                <w:sz w:val="22"/>
              </w:rPr>
              <w:t>0,4</w:t>
            </w:r>
            <w:r w:rsidRPr="00AA7E09" w:rsidDel="00643D67">
              <w:rPr>
                <w:rFonts w:eastAsia="Calibri" w:cs="Times New Roman"/>
                <w:color w:val="000000"/>
                <w:sz w:val="22"/>
              </w:rPr>
              <w:t xml:space="preserve"> </w:t>
            </w:r>
            <w:r w:rsidRPr="00AA7E09">
              <w:rPr>
                <w:rFonts w:eastAsia="Calibri" w:cs="Times New Roman"/>
                <w:color w:val="000000"/>
                <w:sz w:val="22"/>
              </w:rPr>
              <w:t>%</w:t>
            </w:r>
          </w:p>
        </w:tc>
      </w:tr>
      <w:tr w:rsidR="00A14B9B" w:rsidRPr="00AA7E09" w14:paraId="26D58679" w14:textId="77777777" w:rsidTr="00DB1D1D">
        <w:trPr>
          <w:trHeight w:val="397"/>
        </w:trPr>
        <w:tc>
          <w:tcPr>
            <w:cnfStyle w:val="001000000000" w:firstRow="0" w:lastRow="0" w:firstColumn="1" w:lastColumn="0" w:oddVBand="0" w:evenVBand="0" w:oddHBand="0" w:evenHBand="0" w:firstRowFirstColumn="0" w:firstRowLastColumn="0" w:lastRowFirstColumn="0" w:lastRowLastColumn="0"/>
            <w:tcW w:w="5052" w:type="dxa"/>
            <w:noWrap/>
          </w:tcPr>
          <w:p w14:paraId="5E8B3CF5" w14:textId="77777777" w:rsidR="00A14B9B" w:rsidRPr="00AA7E09" w:rsidRDefault="00A14B9B" w:rsidP="00DB1D1D">
            <w:pPr>
              <w:ind w:firstLine="22"/>
              <w:rPr>
                <w:rFonts w:eastAsia="Calibri" w:cs="Times New Roman"/>
                <w:color w:val="000000"/>
                <w:sz w:val="22"/>
              </w:rPr>
            </w:pPr>
            <w:r w:rsidRPr="00AA7E09">
              <w:rPr>
                <w:rFonts w:eastAsia="Calibri" w:cs="Times New Roman"/>
                <w:color w:val="000000"/>
                <w:sz w:val="22"/>
              </w:rPr>
              <w:t xml:space="preserve">Scházení s přáteli, příbuznými 1x měsíčně </w:t>
            </w:r>
          </w:p>
        </w:tc>
        <w:tc>
          <w:tcPr>
            <w:tcW w:w="2174" w:type="dxa"/>
            <w:noWrap/>
          </w:tcPr>
          <w:p w14:paraId="1EAE7BF1" w14:textId="77777777" w:rsidR="00A14B9B" w:rsidRPr="00AA7E09" w:rsidRDefault="00A14B9B" w:rsidP="00DB1D1D">
            <w:pPr>
              <w:ind w:firstLine="22"/>
              <w:jc w:val="right"/>
              <w:cnfStyle w:val="000000000000" w:firstRow="0" w:lastRow="0" w:firstColumn="0" w:lastColumn="0" w:oddVBand="0" w:evenVBand="0" w:oddHBand="0" w:evenHBand="0" w:firstRowFirstColumn="0" w:firstRowLastColumn="0" w:lastRowFirstColumn="0" w:lastRowLastColumn="0"/>
              <w:rPr>
                <w:rFonts w:eastAsia="Calibri" w:cs="Times New Roman"/>
                <w:color w:val="000000"/>
                <w:sz w:val="22"/>
              </w:rPr>
            </w:pPr>
            <w:r w:rsidRPr="00AA7E09">
              <w:rPr>
                <w:rFonts w:eastAsia="Calibri" w:cs="Times New Roman"/>
                <w:color w:val="000000"/>
                <w:sz w:val="22"/>
              </w:rPr>
              <w:t>1,4</w:t>
            </w:r>
            <w:r w:rsidRPr="00AA7E09" w:rsidDel="00651233">
              <w:rPr>
                <w:rFonts w:eastAsia="Calibri" w:cs="Times New Roman"/>
                <w:color w:val="000000"/>
                <w:sz w:val="22"/>
              </w:rPr>
              <w:t xml:space="preserve"> </w:t>
            </w:r>
            <w:r w:rsidRPr="00AA7E09">
              <w:rPr>
                <w:rFonts w:eastAsia="Calibri" w:cs="Times New Roman"/>
                <w:color w:val="000000"/>
                <w:sz w:val="22"/>
              </w:rPr>
              <w:t>%</w:t>
            </w:r>
          </w:p>
        </w:tc>
      </w:tr>
    </w:tbl>
    <w:p w14:paraId="68949317" w14:textId="77777777" w:rsidR="00A14B9B" w:rsidRPr="00892CF2" w:rsidRDefault="00A14B9B" w:rsidP="00892CF2">
      <w:pPr>
        <w:pStyle w:val="UZEIZdroj"/>
      </w:pPr>
      <w:r w:rsidRPr="00892CF2">
        <w:t xml:space="preserve">Převzato: ČSÚ 2021 </w:t>
      </w:r>
    </w:p>
    <w:p w14:paraId="26DBCFF8" w14:textId="77777777" w:rsidR="00A14B9B" w:rsidRPr="00892CF2" w:rsidRDefault="00A14B9B" w:rsidP="00892CF2">
      <w:pPr>
        <w:pStyle w:val="UZEINormaln"/>
        <w:rPr>
          <w:rFonts w:eastAsiaTheme="majorEastAsia"/>
          <w:b/>
          <w:bCs/>
        </w:rPr>
      </w:pPr>
      <w:r w:rsidRPr="00892CF2">
        <w:rPr>
          <w:rFonts w:eastAsiaTheme="majorEastAsia"/>
          <w:b/>
          <w:bCs/>
        </w:rPr>
        <w:t>Ukazatel pracovní intenzity domácností (</w:t>
      </w:r>
      <w:proofErr w:type="spellStart"/>
      <w:r w:rsidRPr="00892CF2">
        <w:rPr>
          <w:rFonts w:eastAsiaTheme="majorEastAsia"/>
          <w:b/>
          <w:bCs/>
        </w:rPr>
        <w:t>living</w:t>
      </w:r>
      <w:proofErr w:type="spellEnd"/>
      <w:r w:rsidRPr="00892CF2">
        <w:rPr>
          <w:rFonts w:eastAsiaTheme="majorEastAsia"/>
          <w:b/>
          <w:bCs/>
        </w:rPr>
        <w:t xml:space="preserve"> in </w:t>
      </w:r>
      <w:proofErr w:type="spellStart"/>
      <w:r w:rsidRPr="00892CF2">
        <w:rPr>
          <w:rFonts w:eastAsiaTheme="majorEastAsia"/>
          <w:b/>
          <w:bCs/>
        </w:rPr>
        <w:t>households</w:t>
      </w:r>
      <w:proofErr w:type="spellEnd"/>
      <w:r w:rsidRPr="00892CF2">
        <w:rPr>
          <w:rFonts w:eastAsiaTheme="majorEastAsia"/>
          <w:b/>
          <w:bCs/>
        </w:rPr>
        <w:t xml:space="preserve"> </w:t>
      </w:r>
      <w:proofErr w:type="spellStart"/>
      <w:r w:rsidRPr="00892CF2">
        <w:rPr>
          <w:rFonts w:eastAsiaTheme="majorEastAsia"/>
          <w:b/>
          <w:bCs/>
        </w:rPr>
        <w:t>with</w:t>
      </w:r>
      <w:proofErr w:type="spellEnd"/>
      <w:r w:rsidRPr="00892CF2">
        <w:rPr>
          <w:rFonts w:eastAsiaTheme="majorEastAsia"/>
          <w:b/>
          <w:bCs/>
        </w:rPr>
        <w:t xml:space="preserve"> very </w:t>
      </w:r>
      <w:proofErr w:type="spellStart"/>
      <w:r w:rsidRPr="00892CF2">
        <w:rPr>
          <w:rFonts w:eastAsiaTheme="majorEastAsia"/>
          <w:b/>
          <w:bCs/>
        </w:rPr>
        <w:t>low</w:t>
      </w:r>
      <w:proofErr w:type="spellEnd"/>
      <w:r w:rsidRPr="00892CF2">
        <w:rPr>
          <w:rFonts w:eastAsiaTheme="majorEastAsia"/>
          <w:b/>
          <w:bCs/>
        </w:rPr>
        <w:t xml:space="preserve"> </w:t>
      </w:r>
      <w:proofErr w:type="spellStart"/>
      <w:r w:rsidRPr="00892CF2">
        <w:rPr>
          <w:rFonts w:eastAsiaTheme="majorEastAsia"/>
          <w:b/>
          <w:bCs/>
        </w:rPr>
        <w:t>work</w:t>
      </w:r>
      <w:proofErr w:type="spellEnd"/>
      <w:r w:rsidRPr="00892CF2">
        <w:rPr>
          <w:rFonts w:eastAsiaTheme="majorEastAsia"/>
          <w:b/>
          <w:bCs/>
        </w:rPr>
        <w:t xml:space="preserve"> </w:t>
      </w:r>
      <w:proofErr w:type="spellStart"/>
      <w:r w:rsidRPr="00892CF2">
        <w:rPr>
          <w:rFonts w:eastAsiaTheme="majorEastAsia"/>
          <w:b/>
          <w:bCs/>
        </w:rPr>
        <w:t>intesity</w:t>
      </w:r>
      <w:proofErr w:type="spellEnd"/>
      <w:r w:rsidRPr="00892CF2">
        <w:rPr>
          <w:rFonts w:eastAsiaTheme="majorEastAsia"/>
          <w:b/>
          <w:bCs/>
        </w:rPr>
        <w:t xml:space="preserve">) </w:t>
      </w:r>
    </w:p>
    <w:p w14:paraId="59C6252C" w14:textId="77777777" w:rsidR="00A14B9B" w:rsidRPr="002A0D4F" w:rsidRDefault="00A14B9B" w:rsidP="00892CF2">
      <w:pPr>
        <w:pStyle w:val="UZEINormaln"/>
      </w:pPr>
      <w:r w:rsidRPr="002A0D4F">
        <w:t>Ukazatel nízké míry pracovní intenzity</w:t>
      </w:r>
      <w:r w:rsidRPr="002A0D4F">
        <w:rPr>
          <w:rStyle w:val="Znakapoznpodarou"/>
        </w:rPr>
        <w:footnoteReference w:id="28"/>
      </w:r>
      <w:r w:rsidRPr="002A0D4F">
        <w:t xml:space="preserve"> se dlouhodobě do roku 2016 pohyboval v rozmezí 6-8 %. V roce 2018 poklesl indikátor na hodnotu 4,5 % a o 0,3 </w:t>
      </w:r>
      <w:proofErr w:type="spellStart"/>
      <w:r w:rsidRPr="002A0D4F">
        <w:t>p.b</w:t>
      </w:r>
      <w:proofErr w:type="spellEnd"/>
      <w:r w:rsidRPr="002A0D4F">
        <w:t>. klesl v roce 2019 na hodnotu 4,2 %, čímž se dostal na své minimum.</w:t>
      </w:r>
    </w:p>
    <w:p w14:paraId="218CFF26" w14:textId="77777777" w:rsidR="00A14B9B" w:rsidRPr="002A0D4F" w:rsidRDefault="00A14B9B" w:rsidP="00892CF2">
      <w:pPr>
        <w:pStyle w:val="UZEINormaln"/>
      </w:pPr>
      <w:r w:rsidRPr="002A0D4F">
        <w:t xml:space="preserve">S největší mírou nízké pracovní intenzity se dlouhodobě potýkají stejně tak jako u ostatních ukazatelů především regiony soudržnosti (NUTS 2) </w:t>
      </w:r>
      <w:proofErr w:type="spellStart"/>
      <w:r w:rsidRPr="002A0D4F">
        <w:t>Moravskoslezsko</w:t>
      </w:r>
      <w:proofErr w:type="spellEnd"/>
      <w:r w:rsidRPr="002A0D4F">
        <w:t xml:space="preserve"> a Severozápad. Od roku 2014 ukazatel u obou regionů postupně klesá. V roce 2019 došlo u těchto regionů k poklesu na hodnotu 7,9 % v regionu </w:t>
      </w:r>
      <w:proofErr w:type="spellStart"/>
      <w:r w:rsidRPr="002A0D4F">
        <w:t>Moravskoslezsko</w:t>
      </w:r>
      <w:proofErr w:type="spellEnd"/>
      <w:r w:rsidRPr="002A0D4F">
        <w:t xml:space="preserve"> a na 3,5 % v regionu Severozápad. Tento pokles u nejproblematičtějších regionů pokračoval i v roce 2019. Mírně vzestupnou tendenci měl u regionů Jihozápad a Střední Čechy.  </w:t>
      </w:r>
    </w:p>
    <w:p w14:paraId="0F1304BE" w14:textId="77777777" w:rsidR="004B7591" w:rsidRDefault="004B7591">
      <w:pPr>
        <w:spacing w:after="160" w:line="259" w:lineRule="auto"/>
        <w:jc w:val="left"/>
        <w:rPr>
          <w:rFonts w:eastAsia="Times New Roman" w:cs="Arial"/>
          <w:b/>
          <w:noProof/>
          <w:sz w:val="20"/>
          <w:szCs w:val="20"/>
          <w:lang w:val="cs-CZ" w:eastAsia="cs-CZ"/>
        </w:rPr>
      </w:pPr>
      <w:bookmarkStart w:id="880" w:name="_Toc525727665"/>
      <w:bookmarkStart w:id="881" w:name="_Toc525735952"/>
      <w:bookmarkStart w:id="882" w:name="_Toc25919928"/>
      <w:r>
        <w:br w:type="page"/>
      </w:r>
    </w:p>
    <w:p w14:paraId="39251971" w14:textId="13892311" w:rsidR="00A14B9B" w:rsidRPr="004600D5" w:rsidRDefault="00A14B9B" w:rsidP="004600D5">
      <w:pPr>
        <w:pStyle w:val="UZEIObr"/>
        <w:rPr>
          <w:rFonts w:eastAsiaTheme="minorEastAsia"/>
        </w:rPr>
      </w:pPr>
      <w:bookmarkStart w:id="883" w:name="_Toc81815469"/>
      <w:bookmarkStart w:id="884" w:name="_Toc81817674"/>
      <w:r w:rsidRPr="004600D5">
        <w:rPr>
          <w:rFonts w:eastAsiaTheme="minorEastAsia"/>
        </w:rPr>
        <w:lastRenderedPageBreak/>
        <w:t>Vývoj celkové míry nízké pracovní intenzity v ČR v letech 2005–2019</w:t>
      </w:r>
      <w:bookmarkEnd w:id="880"/>
      <w:bookmarkEnd w:id="881"/>
      <w:bookmarkEnd w:id="882"/>
      <w:bookmarkEnd w:id="883"/>
      <w:bookmarkEnd w:id="884"/>
    </w:p>
    <w:p w14:paraId="5F4DC636" w14:textId="77777777" w:rsidR="00A14B9B" w:rsidRPr="002A0D4F" w:rsidRDefault="00A14B9B" w:rsidP="00A14B9B">
      <w:pPr>
        <w:rPr>
          <w:rFonts w:eastAsiaTheme="minorEastAsia"/>
          <w:lang w:val="cs-CZ"/>
        </w:rPr>
      </w:pPr>
      <w:r w:rsidRPr="002A0D4F">
        <w:rPr>
          <w:noProof/>
          <w:lang w:val="cs-CZ" w:eastAsia="cs-CZ"/>
        </w:rPr>
        <w:drawing>
          <wp:inline distT="0" distB="0" distL="0" distR="0" wp14:anchorId="0EA383F1" wp14:editId="32095AD7">
            <wp:extent cx="5760720" cy="2766951"/>
            <wp:effectExtent l="0" t="0" r="11430" b="14605"/>
            <wp:docPr id="1737972113" name="Graf 1737972113">
              <a:extLst xmlns:a="http://schemas.openxmlformats.org/drawingml/2006/main">
                <a:ext uri="{FF2B5EF4-FFF2-40B4-BE49-F238E27FC236}">
                  <a16:creationId xmlns:a16="http://schemas.microsoft.com/office/drawing/2014/main" id="{8C142C30-EE60-447D-9684-A07E53DAB41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85"/>
              </a:graphicData>
            </a:graphic>
          </wp:inline>
        </w:drawing>
      </w:r>
    </w:p>
    <w:p w14:paraId="45B9EE5E" w14:textId="77777777" w:rsidR="00A14B9B" w:rsidRPr="002A0D4F" w:rsidRDefault="00A14B9B" w:rsidP="004B7591">
      <w:pPr>
        <w:pStyle w:val="UZEIZdroj"/>
      </w:pPr>
      <w:r w:rsidRPr="002A0D4F">
        <w:t xml:space="preserve">Zdroj: ČSÚ, </w:t>
      </w:r>
      <w:proofErr w:type="spellStart"/>
      <w:r w:rsidRPr="002A0D4F">
        <w:t>Eurostat</w:t>
      </w:r>
      <w:proofErr w:type="spellEnd"/>
      <w:r w:rsidRPr="002A0D4F">
        <w:t xml:space="preserve"> 2020</w:t>
      </w:r>
    </w:p>
    <w:p w14:paraId="2323593D" w14:textId="10E559B1" w:rsidR="00A14B9B" w:rsidRPr="004B7591" w:rsidRDefault="00A14B9B" w:rsidP="004B7591">
      <w:pPr>
        <w:pStyle w:val="UZEIObr"/>
        <w:rPr>
          <w:rFonts w:eastAsiaTheme="minorEastAsia"/>
        </w:rPr>
      </w:pPr>
      <w:bookmarkStart w:id="885" w:name="_Toc525727666"/>
      <w:bookmarkStart w:id="886" w:name="_Toc525735953"/>
      <w:bookmarkStart w:id="887" w:name="_Toc25919929"/>
      <w:bookmarkStart w:id="888" w:name="_Hlk518334819"/>
      <w:bookmarkStart w:id="889" w:name="_Toc81815470"/>
      <w:bookmarkStart w:id="890" w:name="_Toc81817675"/>
      <w:r w:rsidRPr="004B7591">
        <w:rPr>
          <w:rFonts w:eastAsiaTheme="minorEastAsia"/>
        </w:rPr>
        <w:t>Vývoj nízké pracovní intenzity v jednotlivých NUTS 2 v letech 2005–2019</w:t>
      </w:r>
      <w:bookmarkEnd w:id="885"/>
      <w:bookmarkEnd w:id="886"/>
      <w:bookmarkEnd w:id="887"/>
      <w:bookmarkEnd w:id="888"/>
      <w:bookmarkEnd w:id="889"/>
      <w:bookmarkEnd w:id="890"/>
    </w:p>
    <w:p w14:paraId="1E233AA6" w14:textId="77777777" w:rsidR="00A14B9B" w:rsidRPr="002A0D4F" w:rsidRDefault="00A14B9B" w:rsidP="00A14B9B">
      <w:pPr>
        <w:rPr>
          <w:rFonts w:eastAsiaTheme="minorEastAsia"/>
          <w:lang w:val="cs-CZ"/>
        </w:rPr>
      </w:pPr>
      <w:r w:rsidRPr="002A0D4F">
        <w:rPr>
          <w:noProof/>
          <w:lang w:val="cs-CZ" w:eastAsia="cs-CZ"/>
        </w:rPr>
        <w:drawing>
          <wp:inline distT="0" distB="0" distL="0" distR="0" wp14:anchorId="2BEEBCFA" wp14:editId="00D4989E">
            <wp:extent cx="5760720" cy="2826327"/>
            <wp:effectExtent l="0" t="0" r="11430" b="12700"/>
            <wp:docPr id="1737972111" name="Graf 1737972111">
              <a:extLst xmlns:a="http://schemas.openxmlformats.org/drawingml/2006/main">
                <a:ext uri="{FF2B5EF4-FFF2-40B4-BE49-F238E27FC236}">
                  <a16:creationId xmlns:a16="http://schemas.microsoft.com/office/drawing/2014/main" id="{A79D33BF-B870-4FB4-B70F-566F206B814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86"/>
              </a:graphicData>
            </a:graphic>
          </wp:inline>
        </w:drawing>
      </w:r>
    </w:p>
    <w:p w14:paraId="488DC2B4" w14:textId="77777777" w:rsidR="00A14B9B" w:rsidRPr="002A0D4F" w:rsidRDefault="00A14B9B" w:rsidP="004B7591">
      <w:pPr>
        <w:pStyle w:val="UZEIZdroj"/>
      </w:pPr>
      <w:r w:rsidRPr="002A0D4F">
        <w:t xml:space="preserve">Zdroj: ČSÚ, </w:t>
      </w:r>
      <w:proofErr w:type="spellStart"/>
      <w:r w:rsidRPr="002A0D4F">
        <w:t>Eurostat</w:t>
      </w:r>
      <w:proofErr w:type="spellEnd"/>
      <w:r w:rsidRPr="002A0D4F">
        <w:t xml:space="preserve"> 2020 </w:t>
      </w:r>
    </w:p>
    <w:p w14:paraId="0173496A" w14:textId="77777777" w:rsidR="00A14B9B" w:rsidRPr="002A0D4F" w:rsidRDefault="00A14B9B" w:rsidP="00A14B9B">
      <w:pPr>
        <w:rPr>
          <w:rFonts w:eastAsiaTheme="minorEastAsia"/>
          <w:lang w:val="cs-CZ"/>
        </w:rPr>
      </w:pPr>
    </w:p>
    <w:p w14:paraId="3ED408B4" w14:textId="77777777" w:rsidR="00A14B9B" w:rsidRPr="002A0D4F" w:rsidRDefault="00A14B9B" w:rsidP="00A14B9B">
      <w:pPr>
        <w:rPr>
          <w:rFonts w:eastAsiaTheme="minorEastAsia"/>
          <w:lang w:val="cs-CZ"/>
        </w:rPr>
      </w:pPr>
    </w:p>
    <w:p w14:paraId="675EA6C6" w14:textId="77777777" w:rsidR="00A14B9B" w:rsidRPr="002A0D4F" w:rsidRDefault="00A14B9B" w:rsidP="00A14B9B">
      <w:pPr>
        <w:rPr>
          <w:rFonts w:eastAsiaTheme="minorEastAsia"/>
          <w:lang w:val="cs-CZ"/>
        </w:rPr>
      </w:pPr>
    </w:p>
    <w:p w14:paraId="3530E6E0" w14:textId="77777777" w:rsidR="00A14B9B" w:rsidRPr="002A0D4F" w:rsidRDefault="00A14B9B" w:rsidP="00A14B9B">
      <w:pPr>
        <w:rPr>
          <w:rFonts w:eastAsiaTheme="minorEastAsia"/>
          <w:lang w:val="cs-CZ"/>
        </w:rPr>
      </w:pPr>
    </w:p>
    <w:p w14:paraId="3015FD43" w14:textId="77777777" w:rsidR="00A14B9B" w:rsidRPr="002A0D4F" w:rsidRDefault="00A14B9B" w:rsidP="00A14B9B">
      <w:pPr>
        <w:rPr>
          <w:rFonts w:asciiTheme="majorHAnsi" w:eastAsiaTheme="majorEastAsia" w:hAnsiTheme="majorHAnsi" w:cstheme="majorBidi"/>
          <w:i/>
          <w:iCs/>
          <w:sz w:val="18"/>
          <w:szCs w:val="18"/>
          <w:lang w:val="cs-CZ"/>
        </w:rPr>
      </w:pPr>
      <w:r w:rsidRPr="002A0D4F">
        <w:rPr>
          <w:rFonts w:asciiTheme="majorHAnsi" w:eastAsiaTheme="majorEastAsia" w:hAnsiTheme="majorHAnsi" w:cstheme="majorBidi"/>
          <w:i/>
          <w:iCs/>
          <w:sz w:val="18"/>
          <w:szCs w:val="18"/>
          <w:lang w:val="cs-CZ"/>
        </w:rPr>
        <w:t xml:space="preserve"> </w:t>
      </w:r>
    </w:p>
    <w:p w14:paraId="3DF28574" w14:textId="77777777" w:rsidR="00C71FE3" w:rsidRDefault="00C71FE3">
      <w:pPr>
        <w:spacing w:after="160" w:line="259" w:lineRule="auto"/>
        <w:jc w:val="left"/>
        <w:rPr>
          <w:rFonts w:eastAsia="Times New Roman" w:cs="Arial"/>
          <w:b/>
          <w:bCs/>
          <w:szCs w:val="24"/>
          <w:lang w:val="cs-CZ" w:eastAsia="cs-CZ"/>
        </w:rPr>
      </w:pPr>
      <w:bookmarkStart w:id="891" w:name="_Toc25919707"/>
      <w:bookmarkStart w:id="892" w:name="_Toc25919791"/>
      <w:bookmarkStart w:id="893" w:name="_Toc81757393"/>
      <w:r>
        <w:br w:type="page"/>
      </w:r>
    </w:p>
    <w:p w14:paraId="56A1BDAB" w14:textId="34B58A27" w:rsidR="00A14B9B" w:rsidRPr="004B7591" w:rsidRDefault="00C71FE3" w:rsidP="004B7591">
      <w:pPr>
        <w:pStyle w:val="UZEINadpis4st"/>
      </w:pPr>
      <w:bookmarkStart w:id="894" w:name="_Toc81815682"/>
      <w:bookmarkStart w:id="895" w:name="_Toc81816219"/>
      <w:bookmarkStart w:id="896" w:name="_Toc81817313"/>
      <w:r w:rsidRPr="004B7591">
        <w:lastRenderedPageBreak/>
        <w:t xml:space="preserve">Příloha </w:t>
      </w:r>
      <w:r w:rsidR="00FE1451" w:rsidRPr="004B7591">
        <w:t>5</w:t>
      </w:r>
      <w:r w:rsidRPr="004B7591">
        <w:t xml:space="preserve"> </w:t>
      </w:r>
      <w:r w:rsidR="00A14B9B" w:rsidRPr="004B7591">
        <w:t>Vybavenost</w:t>
      </w:r>
      <w:bookmarkEnd w:id="891"/>
      <w:bookmarkEnd w:id="892"/>
      <w:bookmarkEnd w:id="893"/>
      <w:bookmarkEnd w:id="894"/>
      <w:bookmarkEnd w:id="895"/>
      <w:bookmarkEnd w:id="896"/>
    </w:p>
    <w:p w14:paraId="15F62A28" w14:textId="77777777" w:rsidR="00A14B9B" w:rsidRPr="002A0D4F" w:rsidRDefault="00A14B9B" w:rsidP="004B7591">
      <w:pPr>
        <w:pStyle w:val="UZEINormaln"/>
      </w:pPr>
      <w:r w:rsidRPr="002A0D4F">
        <w:t>Zjednodušeně lze rozdělit vybavenost obcí na tři skupiny:</w:t>
      </w:r>
    </w:p>
    <w:p w14:paraId="1FBBFCA0" w14:textId="77777777" w:rsidR="00A14B9B" w:rsidRPr="002A0D4F" w:rsidRDefault="00A14B9B" w:rsidP="004B7591">
      <w:pPr>
        <w:pStyle w:val="UZEINormaln"/>
        <w:numPr>
          <w:ilvl w:val="0"/>
          <w:numId w:val="64"/>
        </w:numPr>
        <w:rPr>
          <w:b/>
          <w:bCs/>
        </w:rPr>
      </w:pPr>
      <w:r w:rsidRPr="002A0D4F">
        <w:rPr>
          <w:b/>
          <w:bCs/>
        </w:rPr>
        <w:t xml:space="preserve">Dopravní vybavenost – </w:t>
      </w:r>
      <w:r w:rsidRPr="002A0D4F">
        <w:t>sítě komunikací různého řádu, veřejná doprava a její intenzita</w:t>
      </w:r>
    </w:p>
    <w:p w14:paraId="09D75388" w14:textId="77777777" w:rsidR="00A14B9B" w:rsidRPr="002A0D4F" w:rsidRDefault="00A14B9B" w:rsidP="004B7591">
      <w:pPr>
        <w:pStyle w:val="UZEINormaln"/>
        <w:numPr>
          <w:ilvl w:val="0"/>
          <w:numId w:val="64"/>
        </w:numPr>
        <w:rPr>
          <w:b/>
          <w:bCs/>
        </w:rPr>
      </w:pPr>
      <w:r w:rsidRPr="002A0D4F">
        <w:rPr>
          <w:b/>
          <w:bCs/>
        </w:rPr>
        <w:t xml:space="preserve">Technická vybavenost – </w:t>
      </w:r>
      <w:r w:rsidRPr="002A0D4F">
        <w:t>vodohospodářská infrastruktura, zásobování plynem, elektrická energie, likvidace komunálního odpadu, připojení k internetu</w:t>
      </w:r>
    </w:p>
    <w:p w14:paraId="24AC2DDF" w14:textId="77777777" w:rsidR="00A14B9B" w:rsidRPr="002A0D4F" w:rsidRDefault="00A14B9B" w:rsidP="004B7591">
      <w:pPr>
        <w:pStyle w:val="UZEINormaln"/>
        <w:numPr>
          <w:ilvl w:val="0"/>
          <w:numId w:val="64"/>
        </w:numPr>
        <w:rPr>
          <w:b/>
          <w:bCs/>
        </w:rPr>
      </w:pPr>
      <w:r w:rsidRPr="002A0D4F">
        <w:rPr>
          <w:b/>
          <w:bCs/>
        </w:rPr>
        <w:t xml:space="preserve">Občanská vybavenost – </w:t>
      </w:r>
      <w:r w:rsidRPr="002A0D4F">
        <w:t>tržní a netržní zařízení služeb: školy, zařízení sociální péče, obchody, další služby</w:t>
      </w:r>
    </w:p>
    <w:p w14:paraId="537411C4" w14:textId="77777777" w:rsidR="00A14B9B" w:rsidRPr="002A0D4F" w:rsidRDefault="00A14B9B" w:rsidP="004B7591">
      <w:pPr>
        <w:pStyle w:val="UZEINormaln"/>
      </w:pPr>
      <w:r w:rsidRPr="002A0D4F">
        <w:rPr>
          <w:b/>
          <w:bCs/>
        </w:rPr>
        <w:t>Co by mohlo být považováno za problém týkající se vybavenosti malých obcí?</w:t>
      </w:r>
      <w:r w:rsidRPr="002A0D4F">
        <w:t xml:space="preserve"> </w:t>
      </w:r>
    </w:p>
    <w:p w14:paraId="26DA6140" w14:textId="77777777" w:rsidR="00A14B9B" w:rsidRPr="002A0D4F" w:rsidRDefault="00A14B9B" w:rsidP="004B7591">
      <w:pPr>
        <w:pStyle w:val="UZEINormaln"/>
      </w:pPr>
      <w:r w:rsidRPr="002A0D4F">
        <w:t>Podle analýzy potřeb obcí a měst (SMO, 2018), která proběhla formou dotazníkového šetření, kde mezi respondenty převažovaly obce do 2 000 obyvatel, nejvíce obcí uvedlo jako problém špatný stav pozemních komunikací a špatný stav nebo chybějící chodníky. Stejně tak vyšel špatný stav pozemních komunikací jako nejčastější problém v analýze tvořené NS MAS. Jako další se umístila potřeba rekonstrukce a revitalizace veřejných budov. Potřeba řešení nakládání s odpady, či veřejné kanalizace a ČOV se umístily na 4. až 5. pozici (v analýze NS MAS ji uvedlo jako problém necelých 60 %). Hodnotitelé dávali jednotlivým potřebám body od 1 do 5 (nejvyšší potřeba) podle důležitosti. Z vybavenosti obcí bylo hodnoceno následující: připojení k vysokorychlostnímu internetu (3,4 bodů), veřejné osvětlení, veřejná zeleň (3,3), kapacita domů pro seniory (3,1), kapacita MŠ/ZŠ (3). Potřeba podpory železniční dopravy, dopravní uzly skončily na posledních místech (1,6). 40 % respondentů v analýze pro NS MAS uvedlo jako problém absenci prostor pro volnočasové aktivity (sokolovny, kulturní místnosti).</w:t>
      </w:r>
    </w:p>
    <w:p w14:paraId="5C3F5182" w14:textId="0F6DE676" w:rsidR="00A14B9B" w:rsidRPr="00047501" w:rsidRDefault="00A14B9B" w:rsidP="00047501">
      <w:pPr>
        <w:pStyle w:val="UZEIObr"/>
        <w:rPr>
          <w:rFonts w:eastAsiaTheme="minorEastAsia"/>
        </w:rPr>
      </w:pPr>
      <w:bookmarkStart w:id="897" w:name="_Toc525727667"/>
      <w:bookmarkStart w:id="898" w:name="_Toc525735954"/>
      <w:bookmarkStart w:id="899" w:name="_Toc25919930"/>
      <w:bookmarkStart w:id="900" w:name="_Ref81775447"/>
      <w:bookmarkStart w:id="901" w:name="_Toc81815471"/>
      <w:bookmarkStart w:id="902" w:name="_Toc81817676"/>
      <w:r w:rsidRPr="00047501">
        <w:rPr>
          <w:rFonts w:eastAsiaTheme="minorEastAsia"/>
        </w:rPr>
        <w:t>Potřeby měst a obcí podle krajů</w:t>
      </w:r>
      <w:bookmarkEnd w:id="897"/>
      <w:bookmarkEnd w:id="898"/>
      <w:bookmarkEnd w:id="899"/>
      <w:bookmarkEnd w:id="900"/>
      <w:bookmarkEnd w:id="901"/>
      <w:bookmarkEnd w:id="902"/>
    </w:p>
    <w:p w14:paraId="0426C4D8" w14:textId="77777777" w:rsidR="00A14B9B" w:rsidRPr="002A0D4F" w:rsidRDefault="00A14B9B" w:rsidP="00A14B9B">
      <w:pPr>
        <w:rPr>
          <w:lang w:val="cs-CZ"/>
        </w:rPr>
      </w:pPr>
      <w:r w:rsidRPr="002A0D4F">
        <w:rPr>
          <w:noProof/>
          <w:lang w:val="cs-CZ" w:eastAsia="cs-CZ"/>
        </w:rPr>
        <w:drawing>
          <wp:inline distT="0" distB="0" distL="0" distR="0" wp14:anchorId="76EF980C" wp14:editId="60A8FC78">
            <wp:extent cx="6543675" cy="2466340"/>
            <wp:effectExtent l="0" t="0" r="9525" b="0"/>
            <wp:docPr id="600195525"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87">
                      <a:extLst>
                        <a:ext uri="{28A0092B-C50C-407E-A947-70E740481C1C}">
                          <a14:useLocalDpi xmlns:a14="http://schemas.microsoft.com/office/drawing/2010/main" val="0"/>
                        </a:ext>
                      </a:extLst>
                    </a:blip>
                    <a:stretch>
                      <a:fillRect/>
                    </a:stretch>
                  </pic:blipFill>
                  <pic:spPr>
                    <a:xfrm>
                      <a:off x="0" y="0"/>
                      <a:ext cx="6543675" cy="2466340"/>
                    </a:xfrm>
                    <a:prstGeom prst="rect">
                      <a:avLst/>
                    </a:prstGeom>
                  </pic:spPr>
                </pic:pic>
              </a:graphicData>
            </a:graphic>
          </wp:inline>
        </w:drawing>
      </w:r>
    </w:p>
    <w:p w14:paraId="5E5A3310" w14:textId="77777777" w:rsidR="00A14B9B" w:rsidRPr="002A0D4F" w:rsidRDefault="00A14B9B" w:rsidP="00047501">
      <w:pPr>
        <w:pStyle w:val="UZEIZdroj"/>
      </w:pPr>
      <w:r w:rsidRPr="002A0D4F">
        <w:rPr>
          <w:noProof/>
          <w:lang w:eastAsia="cs-CZ"/>
        </w:rPr>
        <w:lastRenderedPageBreak/>
        <w:drawing>
          <wp:inline distT="0" distB="0" distL="0" distR="0" wp14:anchorId="4DEA7391" wp14:editId="366051B3">
            <wp:extent cx="6553198" cy="2901698"/>
            <wp:effectExtent l="0" t="0" r="0" b="0"/>
            <wp:docPr id="1569278927"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88">
                      <a:extLst>
                        <a:ext uri="{28A0092B-C50C-407E-A947-70E740481C1C}">
                          <a14:useLocalDpi xmlns:a14="http://schemas.microsoft.com/office/drawing/2010/main" val="0"/>
                        </a:ext>
                      </a:extLst>
                    </a:blip>
                    <a:stretch>
                      <a:fillRect/>
                    </a:stretch>
                  </pic:blipFill>
                  <pic:spPr>
                    <a:xfrm>
                      <a:off x="0" y="0"/>
                      <a:ext cx="6553198" cy="2901698"/>
                    </a:xfrm>
                    <a:prstGeom prst="rect">
                      <a:avLst/>
                    </a:prstGeom>
                  </pic:spPr>
                </pic:pic>
              </a:graphicData>
            </a:graphic>
          </wp:inline>
        </w:drawing>
      </w:r>
    </w:p>
    <w:p w14:paraId="4565C72D" w14:textId="77777777" w:rsidR="00A14B9B" w:rsidRPr="00A91287" w:rsidRDefault="00A14B9B" w:rsidP="00A91287">
      <w:pPr>
        <w:pStyle w:val="UZEIZdroj"/>
      </w:pPr>
      <w:r w:rsidRPr="00A91287">
        <w:t>Zdroj: Analýza potřeb měst a obcí – financování 2018, Svaz měst a obcí České republiky</w:t>
      </w:r>
    </w:p>
    <w:p w14:paraId="6C96E56F" w14:textId="0845CC87" w:rsidR="00A14B9B" w:rsidRPr="002A0D4F" w:rsidRDefault="00A14B9B" w:rsidP="00047501">
      <w:pPr>
        <w:pStyle w:val="UZEINormaln"/>
      </w:pPr>
      <w:r w:rsidRPr="002A0D4F">
        <w:rPr>
          <w:color w:val="000000" w:themeColor="text1"/>
        </w:rPr>
        <w:t>Z obrázku (</w:t>
      </w:r>
      <w:r w:rsidR="00047501">
        <w:rPr>
          <w:color w:val="000000" w:themeColor="text1"/>
        </w:rPr>
        <w:fldChar w:fldCharType="begin"/>
      </w:r>
      <w:r w:rsidR="00047501">
        <w:rPr>
          <w:color w:val="000000" w:themeColor="text1"/>
        </w:rPr>
        <w:instrText xml:space="preserve"> REF _Ref81775447 \r \h  \* MERGEFORMAT </w:instrText>
      </w:r>
      <w:r w:rsidR="00047501">
        <w:rPr>
          <w:color w:val="000000" w:themeColor="text1"/>
        </w:rPr>
      </w:r>
      <w:r w:rsidR="00047501">
        <w:rPr>
          <w:color w:val="000000" w:themeColor="text1"/>
        </w:rPr>
        <w:fldChar w:fldCharType="separate"/>
      </w:r>
      <w:r w:rsidR="00047501">
        <w:rPr>
          <w:color w:val="000000" w:themeColor="text1"/>
        </w:rPr>
        <w:t>Obrázek 90</w:t>
      </w:r>
      <w:r w:rsidR="00047501">
        <w:rPr>
          <w:color w:val="000000" w:themeColor="text1"/>
        </w:rPr>
        <w:fldChar w:fldCharType="end"/>
      </w:r>
      <w:r w:rsidRPr="002A0D4F">
        <w:rPr>
          <w:color w:val="000000" w:themeColor="text1"/>
        </w:rPr>
        <w:t xml:space="preserve">) je </w:t>
      </w:r>
      <w:r w:rsidRPr="002A0D4F">
        <w:t>patrné, že kvalita pozemní infrastruktury je problémem ve většině krajů ČR.</w:t>
      </w:r>
    </w:p>
    <w:p w14:paraId="73ECB63A" w14:textId="77777777" w:rsidR="00A14B9B" w:rsidRPr="002A0D4F" w:rsidRDefault="00A14B9B" w:rsidP="00047501">
      <w:pPr>
        <w:pStyle w:val="UZEINormaln"/>
      </w:pPr>
      <w:r w:rsidRPr="002A0D4F">
        <w:t>Další problémy malých obcí:</w:t>
      </w:r>
    </w:p>
    <w:p w14:paraId="5B17C648" w14:textId="77777777" w:rsidR="00A14B9B" w:rsidRPr="002A0D4F" w:rsidRDefault="00A14B9B" w:rsidP="00047501">
      <w:pPr>
        <w:pStyle w:val="UZEIOdrky"/>
      </w:pPr>
      <w:r w:rsidRPr="002A0D4F">
        <w:t>Dopravní dostupnost malých obcí – téměř polovina obcí do 3 tis. není o víkendech obsluhována veřejnou dopravou. Nejhorší napojení na dopravní sítě je v Karlovarském, Libereckém a Jihočeském kraji – chybějí železnice a silniční alternativy. Obzvláště v Libereckém kraji chybí moderní elektrifikovaná trať. (MMR ČR 2019 - Strategie regionálního rozvoje 2021</w:t>
      </w:r>
      <w:proofErr w:type="gramStart"/>
      <w:r w:rsidRPr="002A0D4F">
        <w:t>+ )</w:t>
      </w:r>
      <w:proofErr w:type="gramEnd"/>
      <w:r w:rsidRPr="002A0D4F">
        <w:t>. Z hlediska veřejné dopravy je na tom nejhůře Plzeňský, Jihočeský a kraj Vysočina. V polovině malých obcích pod 3000 obyvatel není o víkendu veřejná doprava. Špatnou dopravní obslužnost uvedlo jako problém přes 60 % respondentů v analýze NS MAS.</w:t>
      </w:r>
    </w:p>
    <w:p w14:paraId="3A1E91B2" w14:textId="77777777" w:rsidR="00A14B9B" w:rsidRPr="002A0D4F" w:rsidRDefault="00A14B9B" w:rsidP="00047501">
      <w:pPr>
        <w:pStyle w:val="UZEIOdrky"/>
      </w:pPr>
      <w:r w:rsidRPr="002A0D4F">
        <w:t>Periferie – horší dostupnost internetu (brání práci výše kvalifikovaným lidem, kteří by mohli práci na počítači vykonávat lokálně, ačkoliv jsou zaměstnáni ve městech).</w:t>
      </w:r>
    </w:p>
    <w:p w14:paraId="41C835D3" w14:textId="77777777" w:rsidR="00A14B9B" w:rsidRPr="002A0D4F" w:rsidRDefault="00A14B9B" w:rsidP="00047501">
      <w:pPr>
        <w:pStyle w:val="UZEIOdrky"/>
      </w:pPr>
      <w:r w:rsidRPr="002A0D4F">
        <w:t>Jako výzvu lze považovat zlepšit vybavenost malých obcí občanskou a technickou vybaveností (tab. 1–6), problémem je pouze u nejmenších obcí (do 500 obyvatel). Z dlouhodobého hlediska se stav občanského vybavení obcí mírně zhoršuje. Během posledních deseti let došlo k mírnému úbytku škol v malých obcích. Chybějící občanskou vybavenost považuje za problém zhruba 30 % dotázaných obcí.</w:t>
      </w:r>
    </w:p>
    <w:p w14:paraId="38C5C987" w14:textId="77777777" w:rsidR="00A14B9B" w:rsidRPr="002A0D4F" w:rsidRDefault="00A14B9B" w:rsidP="00047501">
      <w:pPr>
        <w:pStyle w:val="UZEINormaln"/>
      </w:pPr>
      <w:proofErr w:type="gramStart"/>
      <w:r w:rsidRPr="002A0D4F">
        <w:t>Mechanizmus</w:t>
      </w:r>
      <w:proofErr w:type="gramEnd"/>
      <w:r w:rsidRPr="002A0D4F">
        <w:t xml:space="preserve"> a příčiny vzniku problému:</w:t>
      </w:r>
    </w:p>
    <w:p w14:paraId="16D10CC6" w14:textId="77777777" w:rsidR="00A14B9B" w:rsidRPr="002A0D4F" w:rsidRDefault="00A14B9B" w:rsidP="00047501">
      <w:pPr>
        <w:pStyle w:val="UZEIOdrky"/>
      </w:pPr>
      <w:r w:rsidRPr="002A0D4F">
        <w:t>Závislost na dotacích u malých obcí – ve většině případů se problém bez dotace nevyřeší.</w:t>
      </w:r>
    </w:p>
    <w:p w14:paraId="6CE3BB67" w14:textId="77777777" w:rsidR="00A14B9B" w:rsidRPr="002A0D4F" w:rsidRDefault="00A14B9B" w:rsidP="00047501">
      <w:pPr>
        <w:pStyle w:val="UZEIOdrky"/>
      </w:pPr>
      <w:r w:rsidRPr="002A0D4F">
        <w:t>Nízké příjmy malých obcí – souvisí s klesajícím počtem obyvatel v obci, dalšími faktory jsou hustota zalidnění, věková struktura (školy – počet dětí v obci), u menších obcí jsou vyšší náklady na obyvatele (např. na budování sítí a infrastruktury), nejsou levnější a alternativní možnosti nebo není v silách starosty (chybí znalost, schopnost) je hledat.</w:t>
      </w:r>
    </w:p>
    <w:p w14:paraId="77995673" w14:textId="77777777" w:rsidR="00A14B9B" w:rsidRPr="002A0D4F" w:rsidRDefault="00A14B9B" w:rsidP="00047501">
      <w:pPr>
        <w:pStyle w:val="UZEIOdrky"/>
      </w:pPr>
      <w:r w:rsidRPr="002A0D4F">
        <w:t xml:space="preserve">Nízká sociální participace obyvatel, malá </w:t>
      </w:r>
      <w:proofErr w:type="spellStart"/>
      <w:r w:rsidRPr="002A0D4F">
        <w:t>zapojenost</w:t>
      </w:r>
      <w:proofErr w:type="spellEnd"/>
      <w:r w:rsidRPr="002A0D4F">
        <w:t xml:space="preserve"> a nízká aktivita obyvatel, nepříznivá demografická struktura populace (starší obyvatelé)</w:t>
      </w:r>
    </w:p>
    <w:p w14:paraId="509679AE" w14:textId="77777777" w:rsidR="00A14B9B" w:rsidRPr="002A0D4F" w:rsidRDefault="00A14B9B" w:rsidP="00047501">
      <w:pPr>
        <w:pStyle w:val="UZEIOdrky"/>
      </w:pPr>
      <w:r w:rsidRPr="002A0D4F">
        <w:lastRenderedPageBreak/>
        <w:t>Rozdrobenost malých obcí (specifikum ČR), vysoký podíl velmi malých obcí, obce s vyšším počtem obyvatel jsou územně oddělená venkovská sídla.</w:t>
      </w:r>
    </w:p>
    <w:p w14:paraId="37C6E473" w14:textId="77777777" w:rsidR="00A14B9B" w:rsidRPr="002A0D4F" w:rsidRDefault="00A14B9B" w:rsidP="00047501">
      <w:pPr>
        <w:pStyle w:val="UZEINormaln"/>
      </w:pPr>
      <w:r w:rsidRPr="002A0D4F">
        <w:t>Rozsah a vývojový trend problému:</w:t>
      </w:r>
    </w:p>
    <w:p w14:paraId="6436DA41" w14:textId="77777777" w:rsidR="00A14B9B" w:rsidRPr="002A0D4F" w:rsidRDefault="00A14B9B" w:rsidP="00047501">
      <w:pPr>
        <w:pStyle w:val="UZEIOdrky"/>
      </w:pPr>
      <w:r w:rsidRPr="002A0D4F">
        <w:t>Problém s chybějící občanskou vybaveností často souvisí s nedostupností obce -&gt; omezování dopravy, rušení linek, snižování počtu spojů -&gt; lidé jsou nuceni používat osobní automobily, je to výhodnější, rychlejší -&gt; ubývají spoje = začarovaný kruh.</w:t>
      </w:r>
    </w:p>
    <w:p w14:paraId="275FDE95" w14:textId="77777777" w:rsidR="00A14B9B" w:rsidRPr="002A0D4F" w:rsidRDefault="00A14B9B" w:rsidP="00047501">
      <w:pPr>
        <w:pStyle w:val="UZEIOdrky"/>
      </w:pPr>
      <w:r w:rsidRPr="002A0D4F">
        <w:t>Vybavenost nejmenších obcí (do 500 obyvatel a méně), nemají veřejný vodovod         a kanalizaci. Voda ze studní nemusí kvalitou odpovídat parametrům pitné vody, dotýká se jí problém sucha, v zemědělských oblastech jsou problémem pesticidy.</w:t>
      </w:r>
    </w:p>
    <w:p w14:paraId="23EAD458" w14:textId="77777777" w:rsidR="00A14B9B" w:rsidRPr="002A0D4F" w:rsidRDefault="00A14B9B" w:rsidP="00047501">
      <w:pPr>
        <w:pStyle w:val="UZEIOdrky"/>
      </w:pPr>
      <w:r w:rsidRPr="002A0D4F">
        <w:t xml:space="preserve">Občanská vybavenost – problém suburbanizace – přibývá nových rodin v malých obcích v blízkosti velkých měst, obce nejsou vybaveny, většina lidí dojíždí do měst, do škol, školek (problém hl. Středočeského kraje). </w:t>
      </w:r>
    </w:p>
    <w:p w14:paraId="02E1021F" w14:textId="77777777" w:rsidR="00A14B9B" w:rsidRPr="002A0D4F" w:rsidRDefault="00A14B9B" w:rsidP="00047501">
      <w:pPr>
        <w:pStyle w:val="UZEIOdrky"/>
      </w:pPr>
      <w:r w:rsidRPr="002A0D4F">
        <w:t>U malých obcí je prakticky nereálné, aby splnily podmínky ekonomické efektivnosti pro získání dotace z národních zdrojů (pro technické vybavení obce).</w:t>
      </w:r>
    </w:p>
    <w:p w14:paraId="6542B075" w14:textId="77777777" w:rsidR="00A14B9B" w:rsidRPr="00047501" w:rsidRDefault="00A14B9B" w:rsidP="00047501">
      <w:pPr>
        <w:pStyle w:val="UZEINormaln"/>
        <w:rPr>
          <w:rFonts w:eastAsiaTheme="majorEastAsia"/>
          <w:b/>
          <w:bCs/>
        </w:rPr>
      </w:pPr>
      <w:r w:rsidRPr="00047501">
        <w:rPr>
          <w:rFonts w:eastAsiaTheme="majorEastAsia"/>
          <w:b/>
          <w:bCs/>
        </w:rPr>
        <w:t>Statistická analýza</w:t>
      </w:r>
    </w:p>
    <w:p w14:paraId="4A787001" w14:textId="77777777" w:rsidR="00A14B9B" w:rsidRPr="002A0D4F" w:rsidRDefault="00A14B9B" w:rsidP="00047501">
      <w:pPr>
        <w:pStyle w:val="UZEINormaln"/>
        <w:rPr>
          <w:rFonts w:eastAsiaTheme="majorEastAsia"/>
        </w:rPr>
      </w:pPr>
      <w:r w:rsidRPr="002A0D4F">
        <w:rPr>
          <w:rFonts w:eastAsiaTheme="majorEastAsia"/>
        </w:rPr>
        <w:t>OBČANSKÁ VYBAVENOST VENKOVSKÝCH OBCÍ</w:t>
      </w:r>
    </w:p>
    <w:p w14:paraId="096DBC6B" w14:textId="77777777" w:rsidR="00A14B9B" w:rsidRPr="002A0D4F" w:rsidRDefault="00A14B9B" w:rsidP="00047501">
      <w:pPr>
        <w:pStyle w:val="UZEINormaln"/>
      </w:pPr>
      <w:r w:rsidRPr="002A0D4F">
        <w:t>Do základní občanské vybavenosti obcí je zařazena pošta, základní škola a zdravotnické zařízení. Za venkovské obce jsou považovány obce s méně než 2 000 obyvateli.</w:t>
      </w:r>
    </w:p>
    <w:p w14:paraId="51E2177B" w14:textId="7A5B2E44" w:rsidR="00A14B9B" w:rsidRPr="00047501" w:rsidRDefault="00047501" w:rsidP="00047501">
      <w:pPr>
        <w:pStyle w:val="UZEITaB"/>
        <w:rPr>
          <w:rFonts w:eastAsiaTheme="minorEastAsia"/>
        </w:rPr>
      </w:pPr>
      <w:bookmarkStart w:id="903" w:name="_Toc25920043"/>
      <w:r>
        <w:rPr>
          <w:rFonts w:eastAsiaTheme="minorEastAsia"/>
        </w:rPr>
        <w:t xml:space="preserve"> </w:t>
      </w:r>
      <w:bookmarkStart w:id="904" w:name="_Toc81815366"/>
      <w:bookmarkStart w:id="905" w:name="_Toc81817044"/>
      <w:bookmarkStart w:id="906" w:name="_Toc81817557"/>
      <w:r w:rsidR="00A14B9B" w:rsidRPr="00047501">
        <w:rPr>
          <w:rFonts w:eastAsiaTheme="minorEastAsia"/>
        </w:rPr>
        <w:t>Občanská vybavenost venkovských obcí v roce 2016</w:t>
      </w:r>
      <w:bookmarkEnd w:id="903"/>
      <w:bookmarkEnd w:id="904"/>
      <w:bookmarkEnd w:id="905"/>
      <w:bookmarkEnd w:id="906"/>
    </w:p>
    <w:p w14:paraId="69ABB5E1" w14:textId="77777777" w:rsidR="00A14B9B" w:rsidRPr="002A0D4F" w:rsidRDefault="00A14B9B" w:rsidP="00A14B9B">
      <w:pPr>
        <w:rPr>
          <w:lang w:val="cs-CZ"/>
        </w:rPr>
      </w:pPr>
      <w:r w:rsidRPr="002A0D4F">
        <w:rPr>
          <w:noProof/>
          <w:lang w:val="cs-CZ" w:eastAsia="cs-CZ"/>
        </w:rPr>
        <w:drawing>
          <wp:inline distT="0" distB="0" distL="0" distR="0" wp14:anchorId="282B1992" wp14:editId="1880ABD7">
            <wp:extent cx="5760720" cy="2502288"/>
            <wp:effectExtent l="0" t="0" r="0" b="0"/>
            <wp:docPr id="42" name="Obrázek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bwMode="auto">
                    <a:xfrm>
                      <a:off x="0" y="0"/>
                      <a:ext cx="5760720" cy="2502288"/>
                    </a:xfrm>
                    <a:prstGeom prst="rect">
                      <a:avLst/>
                    </a:prstGeom>
                    <a:noFill/>
                    <a:ln>
                      <a:noFill/>
                    </a:ln>
                  </pic:spPr>
                </pic:pic>
              </a:graphicData>
            </a:graphic>
          </wp:inline>
        </w:drawing>
      </w:r>
    </w:p>
    <w:p w14:paraId="7B6D5DAA" w14:textId="77777777" w:rsidR="00A14B9B" w:rsidRPr="002A0D4F" w:rsidRDefault="00A14B9B" w:rsidP="00047501">
      <w:pPr>
        <w:pStyle w:val="UZEIZdroj"/>
      </w:pPr>
      <w:r w:rsidRPr="002A0D4F">
        <w:t>Zdroj: ČSÚ (Veřejná databáze)</w:t>
      </w:r>
    </w:p>
    <w:p w14:paraId="2DAF364C" w14:textId="139ABAA4" w:rsidR="00A14B9B" w:rsidRPr="002A0D4F" w:rsidRDefault="00A14B9B" w:rsidP="00047501">
      <w:pPr>
        <w:pStyle w:val="UZEINormaln"/>
      </w:pPr>
      <w:r w:rsidRPr="002A0D4F">
        <w:t>Nejlépe vybavené obce občanským vybavením má Moravskoslezský kraj. Poštou a základní školou má vybaveno kolem 60 % obcí, zdravotnickým zařízením polovinu svých obcí. Naopak nejhůře vybavené obce jsou v kraji Vysočina, nejvyšší podíl vybavenosti je školou, a to pouze 26 %. Zdravotnické zařízení má pouze 17 % obcí s méně než 2 000 obyvateli.</w:t>
      </w:r>
    </w:p>
    <w:p w14:paraId="35C2DF0C" w14:textId="754A7CCB" w:rsidR="00A14B9B" w:rsidRPr="002A0D4F" w:rsidRDefault="00A14B9B" w:rsidP="00047501">
      <w:pPr>
        <w:pStyle w:val="UZEINormaln"/>
      </w:pPr>
      <w:r w:rsidRPr="002A0D4F">
        <w:t xml:space="preserve">Na velice dobré úrovni je vybavenost obcí službou Czech point, který se nachází ve většině případů na pobočkách České pošty nebo na obecních úřadech. Analýza Podpora obslužnosti venkova poskytnutá </w:t>
      </w:r>
      <w:proofErr w:type="spellStart"/>
      <w:r w:rsidRPr="002A0D4F">
        <w:t>MZe</w:t>
      </w:r>
      <w:proofErr w:type="spellEnd"/>
      <w:r w:rsidRPr="002A0D4F">
        <w:t xml:space="preserve"> uvádí, že Czech pointem je v současnosti vybaveno 92 % obcí.</w:t>
      </w:r>
    </w:p>
    <w:p w14:paraId="52C3DCA3" w14:textId="77777777" w:rsidR="00047501" w:rsidRDefault="00047501">
      <w:pPr>
        <w:spacing w:after="160" w:line="259" w:lineRule="auto"/>
        <w:jc w:val="left"/>
        <w:rPr>
          <w:rFonts w:eastAsiaTheme="minorEastAsia" w:cs="Arial"/>
          <w:b/>
          <w:color w:val="000000" w:themeColor="text1"/>
          <w:sz w:val="20"/>
          <w:szCs w:val="20"/>
          <w:lang w:val="cs-CZ" w:eastAsia="cs-CZ"/>
        </w:rPr>
      </w:pPr>
      <w:bookmarkStart w:id="907" w:name="_Toc25920044"/>
      <w:r>
        <w:rPr>
          <w:rFonts w:eastAsiaTheme="minorEastAsia"/>
        </w:rPr>
        <w:br w:type="page"/>
      </w:r>
    </w:p>
    <w:p w14:paraId="0FF3963F" w14:textId="38C4036A" w:rsidR="00A14B9B" w:rsidRPr="00047501" w:rsidRDefault="00047501" w:rsidP="00047501">
      <w:pPr>
        <w:pStyle w:val="UZEITaB"/>
        <w:rPr>
          <w:rFonts w:eastAsiaTheme="minorEastAsia"/>
        </w:rPr>
      </w:pPr>
      <w:r w:rsidRPr="00047501">
        <w:rPr>
          <w:rFonts w:eastAsiaTheme="minorEastAsia"/>
        </w:rPr>
        <w:lastRenderedPageBreak/>
        <w:t xml:space="preserve"> </w:t>
      </w:r>
      <w:bookmarkStart w:id="908" w:name="_Toc81815367"/>
      <w:bookmarkStart w:id="909" w:name="_Toc81817045"/>
      <w:bookmarkStart w:id="910" w:name="_Toc81817558"/>
      <w:r w:rsidR="00A14B9B" w:rsidRPr="00047501">
        <w:rPr>
          <w:rFonts w:eastAsiaTheme="minorEastAsia"/>
        </w:rPr>
        <w:t>Občanská vybavenost obcí v roce 2016</w:t>
      </w:r>
      <w:bookmarkEnd w:id="907"/>
      <w:bookmarkEnd w:id="908"/>
      <w:bookmarkEnd w:id="909"/>
      <w:bookmarkEnd w:id="910"/>
    </w:p>
    <w:p w14:paraId="0ED79BEC" w14:textId="77777777" w:rsidR="00A14B9B" w:rsidRPr="002A0D4F" w:rsidRDefault="00A14B9B" w:rsidP="00A14B9B">
      <w:pPr>
        <w:rPr>
          <w:lang w:val="cs-CZ"/>
        </w:rPr>
      </w:pPr>
      <w:r w:rsidRPr="002A0D4F">
        <w:rPr>
          <w:noProof/>
          <w:lang w:val="cs-CZ" w:eastAsia="cs-CZ"/>
        </w:rPr>
        <w:drawing>
          <wp:inline distT="0" distB="0" distL="0" distR="0" wp14:anchorId="1B4D1A9E" wp14:editId="18082B5F">
            <wp:extent cx="3390900" cy="2864419"/>
            <wp:effectExtent l="0" t="0" r="0" b="0"/>
            <wp:docPr id="43" name="Obrázek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0">
                      <a:extLst>
                        <a:ext uri="{28A0092B-C50C-407E-A947-70E740481C1C}">
                          <a14:useLocalDpi xmlns:a14="http://schemas.microsoft.com/office/drawing/2010/main" val="0"/>
                        </a:ext>
                      </a:extLst>
                    </a:blip>
                    <a:srcRect/>
                    <a:stretch>
                      <a:fillRect/>
                    </a:stretch>
                  </pic:blipFill>
                  <pic:spPr bwMode="auto">
                    <a:xfrm>
                      <a:off x="0" y="0"/>
                      <a:ext cx="3404888" cy="2876235"/>
                    </a:xfrm>
                    <a:prstGeom prst="rect">
                      <a:avLst/>
                    </a:prstGeom>
                    <a:noFill/>
                    <a:ln>
                      <a:noFill/>
                    </a:ln>
                  </pic:spPr>
                </pic:pic>
              </a:graphicData>
            </a:graphic>
          </wp:inline>
        </w:drawing>
      </w:r>
    </w:p>
    <w:p w14:paraId="00856695" w14:textId="77777777" w:rsidR="00A14B9B" w:rsidRPr="002A0D4F" w:rsidRDefault="00A14B9B" w:rsidP="00047501">
      <w:pPr>
        <w:pStyle w:val="UZEIZdroj"/>
      </w:pPr>
      <w:r w:rsidRPr="002A0D4F">
        <w:t>Zdroj: ČSÚ (Veřejná databáze)</w:t>
      </w:r>
    </w:p>
    <w:p w14:paraId="18BD1E4D" w14:textId="77777777" w:rsidR="00A14B9B" w:rsidRPr="00047501" w:rsidRDefault="00A14B9B" w:rsidP="00047501">
      <w:pPr>
        <w:pStyle w:val="UZEINormaln"/>
      </w:pPr>
      <w:r w:rsidRPr="00047501">
        <w:t>Při porovnání vybavenosti venkovských obcí (do 2 000 obyvatel) a všech obcí, je ve většině krajů vybavenost venkovských obcí nižší o 10 % než když jsou do podílu zahrnuty všechny obce. Nejmenší rozdíly jsou v kraji Vysočina a v Olomouckém kraji, což může být způsobeno vysokým podílem malých obcí v kraji. Opačným případem je Moravskoslezský kraj, kdy je rozdíl v podílu vybavenosti venkovských obcí a všech obcí nejvyšší, z důvodu nízkého podílu venkovských obcí v kraji.</w:t>
      </w:r>
    </w:p>
    <w:p w14:paraId="2A401DFB" w14:textId="77777777" w:rsidR="00A14B9B" w:rsidRPr="00047501" w:rsidRDefault="00A14B9B" w:rsidP="00047501">
      <w:pPr>
        <w:pStyle w:val="UZEINormaln"/>
        <w:rPr>
          <w:rFonts w:eastAsiaTheme="majorEastAsia"/>
        </w:rPr>
      </w:pPr>
      <w:r w:rsidRPr="00047501">
        <w:rPr>
          <w:rFonts w:eastAsiaTheme="majorEastAsia"/>
        </w:rPr>
        <w:t>TECHNICKÁ VYBAVENOST VE VENKOVSKÝCH OBCÍ</w:t>
      </w:r>
    </w:p>
    <w:p w14:paraId="78CAF963" w14:textId="77777777" w:rsidR="00A14B9B" w:rsidRPr="00047501" w:rsidRDefault="00A14B9B" w:rsidP="00047501">
      <w:pPr>
        <w:pStyle w:val="UZEINormaln"/>
      </w:pPr>
      <w:r w:rsidRPr="00047501">
        <w:t>Do technické vybavenosti obcí patří možnost připojení bytů na veřejnou kanalizaci, veřejná kanalizace s možností napojení na ČOV, veřejný vodovod a plynofikace. Dalším druhem technické vybavenosti je dostupnost připojení k internetu.</w:t>
      </w:r>
    </w:p>
    <w:p w14:paraId="0F5E644D" w14:textId="77777777" w:rsidR="00A14B9B" w:rsidRPr="002A0D4F" w:rsidRDefault="00A14B9B" w:rsidP="00047501">
      <w:pPr>
        <w:pStyle w:val="UZEINormaln"/>
        <w:numPr>
          <w:ilvl w:val="0"/>
          <w:numId w:val="65"/>
        </w:numPr>
      </w:pPr>
      <w:r w:rsidRPr="002A0D4F">
        <w:t>Obce, ve kterých se nacházejí byty napojené na veřejnou kanalizaci</w:t>
      </w:r>
    </w:p>
    <w:p w14:paraId="333AA1B5" w14:textId="17AA72A3" w:rsidR="00A14B9B" w:rsidRPr="00047501" w:rsidRDefault="00047501" w:rsidP="00047501">
      <w:pPr>
        <w:pStyle w:val="UZEITaB"/>
        <w:rPr>
          <w:rFonts w:eastAsiaTheme="minorEastAsia"/>
        </w:rPr>
      </w:pPr>
      <w:bookmarkStart w:id="911" w:name="_Toc25920045"/>
      <w:r w:rsidRPr="00047501">
        <w:rPr>
          <w:rFonts w:eastAsiaTheme="minorEastAsia"/>
        </w:rPr>
        <w:t xml:space="preserve"> </w:t>
      </w:r>
      <w:bookmarkStart w:id="912" w:name="_Toc81815368"/>
      <w:bookmarkStart w:id="913" w:name="_Toc81817046"/>
      <w:bookmarkStart w:id="914" w:name="_Toc81817559"/>
      <w:r w:rsidR="00A14B9B" w:rsidRPr="00047501">
        <w:rPr>
          <w:rFonts w:eastAsiaTheme="minorEastAsia"/>
        </w:rPr>
        <w:t>Podíl obcí vybavených kanalizací v roce 2016</w:t>
      </w:r>
      <w:bookmarkEnd w:id="911"/>
      <w:bookmarkEnd w:id="912"/>
      <w:bookmarkEnd w:id="913"/>
      <w:bookmarkEnd w:id="914"/>
    </w:p>
    <w:p w14:paraId="6B5A7E62" w14:textId="77777777" w:rsidR="00A14B9B" w:rsidRPr="002A0D4F" w:rsidRDefault="00A14B9B" w:rsidP="00A14B9B">
      <w:pPr>
        <w:rPr>
          <w:lang w:val="cs-CZ"/>
        </w:rPr>
      </w:pPr>
      <w:r w:rsidRPr="002A0D4F">
        <w:rPr>
          <w:noProof/>
          <w:lang w:val="cs-CZ" w:eastAsia="cs-CZ"/>
        </w:rPr>
        <w:drawing>
          <wp:inline distT="0" distB="0" distL="0" distR="0" wp14:anchorId="23296177" wp14:editId="41224AA0">
            <wp:extent cx="4210050" cy="2918847"/>
            <wp:effectExtent l="0" t="0" r="0" b="0"/>
            <wp:docPr id="44" name="Obrázek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1">
                      <a:extLst>
                        <a:ext uri="{28A0092B-C50C-407E-A947-70E740481C1C}">
                          <a14:useLocalDpi xmlns:a14="http://schemas.microsoft.com/office/drawing/2010/main" val="0"/>
                        </a:ext>
                      </a:extLst>
                    </a:blip>
                    <a:srcRect/>
                    <a:stretch>
                      <a:fillRect/>
                    </a:stretch>
                  </pic:blipFill>
                  <pic:spPr bwMode="auto">
                    <a:xfrm>
                      <a:off x="0" y="0"/>
                      <a:ext cx="4214456" cy="2921901"/>
                    </a:xfrm>
                    <a:prstGeom prst="rect">
                      <a:avLst/>
                    </a:prstGeom>
                    <a:noFill/>
                    <a:ln>
                      <a:noFill/>
                    </a:ln>
                  </pic:spPr>
                </pic:pic>
              </a:graphicData>
            </a:graphic>
          </wp:inline>
        </w:drawing>
      </w:r>
    </w:p>
    <w:p w14:paraId="09AF6972" w14:textId="77777777" w:rsidR="00A14B9B" w:rsidRPr="002A0D4F" w:rsidRDefault="00A14B9B" w:rsidP="00047501">
      <w:pPr>
        <w:pStyle w:val="UZEIZdroj"/>
      </w:pPr>
      <w:r w:rsidRPr="002A0D4F">
        <w:t>Zdroj: ČSÚ (Veřejná databáze)</w:t>
      </w:r>
    </w:p>
    <w:p w14:paraId="296CE700" w14:textId="4CEE06D5" w:rsidR="00A14B9B" w:rsidRPr="002A0D4F" w:rsidRDefault="00A14B9B" w:rsidP="00047501">
      <w:pPr>
        <w:pStyle w:val="UZEINormaln"/>
      </w:pPr>
      <w:r w:rsidRPr="002A0D4F">
        <w:lastRenderedPageBreak/>
        <w:t>V Česku je připojeno na veřejnou kanalizaci průměrně 75 % venkovských obcí (ČSÚ, 2016). Nejvyšší podíl venkovských obcí napojených na veřejnou kanalizaci je v</w:t>
      </w:r>
      <w:r w:rsidR="00047501">
        <w:t> </w:t>
      </w:r>
      <w:r w:rsidRPr="002A0D4F">
        <w:t>Karlovarské</w:t>
      </w:r>
      <w:r w:rsidR="00047501">
        <w:t xml:space="preserve"> </w:t>
      </w:r>
      <w:r w:rsidRPr="002A0D4F">
        <w:t>a Zlínském kraji (92 %). Nejméně obcí s veřejnou kanalizací je v</w:t>
      </w:r>
      <w:r w:rsidR="00047501">
        <w:t> </w:t>
      </w:r>
      <w:r w:rsidRPr="002A0D4F">
        <w:t>Pardubickém</w:t>
      </w:r>
      <w:r w:rsidR="00047501">
        <w:t xml:space="preserve"> </w:t>
      </w:r>
      <w:r w:rsidRPr="002A0D4F">
        <w:t>a Středočeském kraji (61 %). Rozdíl mezi podílem vybavených malých obcí a všech obcí kanalizací je ve většině krajů do 4 %, pouze u Libereckého a Moravskoslezského tvoří přes</w:t>
      </w:r>
      <w:r w:rsidR="009E7F45">
        <w:t xml:space="preserve"> </w:t>
      </w:r>
      <w:r w:rsidRPr="002A0D4F">
        <w:t>9 %.</w:t>
      </w:r>
    </w:p>
    <w:p w14:paraId="17CA9AF4" w14:textId="77777777" w:rsidR="00A14B9B" w:rsidRPr="002A0D4F" w:rsidRDefault="00A14B9B" w:rsidP="009E7F45">
      <w:pPr>
        <w:pStyle w:val="UZEINormaln"/>
        <w:numPr>
          <w:ilvl w:val="0"/>
          <w:numId w:val="65"/>
        </w:numPr>
      </w:pPr>
      <w:r w:rsidRPr="002A0D4F">
        <w:t>Obce, ve kterých se nachází byty napojené na veřejnou kanalizaci s napojením na ČOV</w:t>
      </w:r>
    </w:p>
    <w:p w14:paraId="52A72E66" w14:textId="03D6ECD2" w:rsidR="00A14B9B" w:rsidRPr="009E7F45" w:rsidRDefault="009E7F45" w:rsidP="009E7F45">
      <w:pPr>
        <w:pStyle w:val="UZEITaB"/>
        <w:rPr>
          <w:rFonts w:eastAsiaTheme="minorEastAsia"/>
        </w:rPr>
      </w:pPr>
      <w:bookmarkStart w:id="915" w:name="_Toc25920046"/>
      <w:r w:rsidRPr="009E7F45">
        <w:rPr>
          <w:rFonts w:eastAsiaTheme="minorEastAsia"/>
        </w:rPr>
        <w:t xml:space="preserve"> </w:t>
      </w:r>
      <w:bookmarkStart w:id="916" w:name="_Toc81815369"/>
      <w:bookmarkStart w:id="917" w:name="_Toc81817047"/>
      <w:bookmarkStart w:id="918" w:name="_Toc81817560"/>
      <w:r w:rsidR="00A14B9B" w:rsidRPr="009E7F45">
        <w:rPr>
          <w:rFonts w:eastAsiaTheme="minorEastAsia"/>
        </w:rPr>
        <w:t>Podíl obcí vybavených kanalizací s napojením na ČOV v roce 2016</w:t>
      </w:r>
      <w:bookmarkEnd w:id="915"/>
      <w:bookmarkEnd w:id="916"/>
      <w:bookmarkEnd w:id="917"/>
      <w:bookmarkEnd w:id="918"/>
    </w:p>
    <w:p w14:paraId="72ABDBE3" w14:textId="77777777" w:rsidR="00A14B9B" w:rsidRPr="002A0D4F" w:rsidRDefault="00A14B9B" w:rsidP="00A14B9B">
      <w:pPr>
        <w:rPr>
          <w:lang w:val="cs-CZ"/>
        </w:rPr>
      </w:pPr>
      <w:r w:rsidRPr="002A0D4F">
        <w:rPr>
          <w:noProof/>
          <w:lang w:val="cs-CZ" w:eastAsia="cs-CZ"/>
        </w:rPr>
        <w:drawing>
          <wp:inline distT="0" distB="0" distL="0" distR="0" wp14:anchorId="0912CE2F" wp14:editId="71ADF3F5">
            <wp:extent cx="4276353" cy="2895600"/>
            <wp:effectExtent l="0" t="0" r="0" b="0"/>
            <wp:docPr id="45" name="Obrázek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2">
                      <a:extLst>
                        <a:ext uri="{28A0092B-C50C-407E-A947-70E740481C1C}">
                          <a14:useLocalDpi xmlns:a14="http://schemas.microsoft.com/office/drawing/2010/main" val="0"/>
                        </a:ext>
                      </a:extLst>
                    </a:blip>
                    <a:srcRect/>
                    <a:stretch>
                      <a:fillRect/>
                    </a:stretch>
                  </pic:blipFill>
                  <pic:spPr bwMode="auto">
                    <a:xfrm>
                      <a:off x="0" y="0"/>
                      <a:ext cx="4280875" cy="2898662"/>
                    </a:xfrm>
                    <a:prstGeom prst="rect">
                      <a:avLst/>
                    </a:prstGeom>
                    <a:noFill/>
                    <a:ln>
                      <a:noFill/>
                    </a:ln>
                  </pic:spPr>
                </pic:pic>
              </a:graphicData>
            </a:graphic>
          </wp:inline>
        </w:drawing>
      </w:r>
    </w:p>
    <w:p w14:paraId="461F95B1" w14:textId="77777777" w:rsidR="00A14B9B" w:rsidRPr="002A0D4F" w:rsidRDefault="00A14B9B" w:rsidP="009E7F45">
      <w:pPr>
        <w:pStyle w:val="UZEIZdroj"/>
      </w:pPr>
      <w:r w:rsidRPr="002A0D4F">
        <w:t>Zdroj: ČSÚ (Veřejná databáze)</w:t>
      </w:r>
    </w:p>
    <w:p w14:paraId="44BE7573" w14:textId="77777777" w:rsidR="00A14B9B" w:rsidRPr="009E7F45" w:rsidRDefault="00A14B9B" w:rsidP="009E7F45">
      <w:pPr>
        <w:pStyle w:val="UZEINormaln"/>
      </w:pPr>
      <w:r w:rsidRPr="009E7F45">
        <w:t>Necelá polovina venkovských obcí v Česku je vybavena kanalizací s napojením na ČOV. Nejvyšší podíl obcí s vlastní ČOV má Karlovarský kraj, a to 80 %. Naopak nejnižší podíl obcí vybavených kanalizací s napojením na ČOV má kraj Vysočina, pouhých 34 %.</w:t>
      </w:r>
    </w:p>
    <w:p w14:paraId="4FB2FF32" w14:textId="77777777" w:rsidR="00A14B9B" w:rsidRPr="002A0D4F" w:rsidRDefault="00A14B9B" w:rsidP="009E7F45">
      <w:pPr>
        <w:pStyle w:val="UZEINormaln"/>
        <w:numPr>
          <w:ilvl w:val="0"/>
          <w:numId w:val="65"/>
        </w:numPr>
      </w:pPr>
      <w:r w:rsidRPr="002A0D4F">
        <w:t xml:space="preserve">Obce, ve kterých se nachází byty napojené na veřejný vodovod </w:t>
      </w:r>
    </w:p>
    <w:p w14:paraId="724DFB86" w14:textId="1B1EBDF0" w:rsidR="00A14B9B" w:rsidRPr="009E7F45" w:rsidRDefault="009E7F45" w:rsidP="009E7F45">
      <w:pPr>
        <w:pStyle w:val="UZEITaB"/>
        <w:rPr>
          <w:rFonts w:eastAsiaTheme="minorEastAsia"/>
        </w:rPr>
      </w:pPr>
      <w:bookmarkStart w:id="919" w:name="_Toc25920047"/>
      <w:r w:rsidRPr="009E7F45">
        <w:rPr>
          <w:rFonts w:eastAsiaTheme="minorEastAsia"/>
        </w:rPr>
        <w:t xml:space="preserve"> </w:t>
      </w:r>
      <w:bookmarkStart w:id="920" w:name="_Toc81815370"/>
      <w:bookmarkStart w:id="921" w:name="_Toc81817048"/>
      <w:bookmarkStart w:id="922" w:name="_Toc81817561"/>
      <w:r w:rsidR="00A14B9B" w:rsidRPr="009E7F45">
        <w:rPr>
          <w:rFonts w:eastAsiaTheme="minorEastAsia"/>
        </w:rPr>
        <w:t>Podíl obcí vybavených veřejným vodovodem v roce 2016</w:t>
      </w:r>
      <w:bookmarkEnd w:id="919"/>
      <w:bookmarkEnd w:id="920"/>
      <w:bookmarkEnd w:id="921"/>
      <w:bookmarkEnd w:id="922"/>
    </w:p>
    <w:p w14:paraId="34B72DEE" w14:textId="77777777" w:rsidR="00A14B9B" w:rsidRPr="002A0D4F" w:rsidRDefault="00A14B9B" w:rsidP="00A14B9B">
      <w:pPr>
        <w:rPr>
          <w:lang w:val="cs-CZ"/>
        </w:rPr>
      </w:pPr>
      <w:r w:rsidRPr="002A0D4F">
        <w:rPr>
          <w:noProof/>
          <w:lang w:val="cs-CZ" w:eastAsia="cs-CZ"/>
        </w:rPr>
        <w:drawing>
          <wp:inline distT="0" distB="0" distL="0" distR="0" wp14:anchorId="1100120E" wp14:editId="1A0AB913">
            <wp:extent cx="4314825" cy="3149915"/>
            <wp:effectExtent l="0" t="0" r="0" b="0"/>
            <wp:docPr id="49" name="Obrázek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3">
                      <a:extLst>
                        <a:ext uri="{28A0092B-C50C-407E-A947-70E740481C1C}">
                          <a14:useLocalDpi xmlns:a14="http://schemas.microsoft.com/office/drawing/2010/main" val="0"/>
                        </a:ext>
                      </a:extLst>
                    </a:blip>
                    <a:srcRect/>
                    <a:stretch>
                      <a:fillRect/>
                    </a:stretch>
                  </pic:blipFill>
                  <pic:spPr bwMode="auto">
                    <a:xfrm>
                      <a:off x="0" y="0"/>
                      <a:ext cx="4318091" cy="3152299"/>
                    </a:xfrm>
                    <a:prstGeom prst="rect">
                      <a:avLst/>
                    </a:prstGeom>
                    <a:noFill/>
                    <a:ln>
                      <a:noFill/>
                    </a:ln>
                  </pic:spPr>
                </pic:pic>
              </a:graphicData>
            </a:graphic>
          </wp:inline>
        </w:drawing>
      </w:r>
    </w:p>
    <w:p w14:paraId="7269CCD0" w14:textId="77777777" w:rsidR="00A14B9B" w:rsidRPr="002A0D4F" w:rsidRDefault="00A14B9B" w:rsidP="009E7F45">
      <w:pPr>
        <w:pStyle w:val="UZEIZdroj"/>
      </w:pPr>
      <w:r w:rsidRPr="002A0D4F">
        <w:t>Zdroj: ČSÚ (Veřejná databáze)</w:t>
      </w:r>
    </w:p>
    <w:p w14:paraId="5FE34118" w14:textId="77777777" w:rsidR="00A14B9B" w:rsidRPr="002A0D4F" w:rsidRDefault="00A14B9B" w:rsidP="009E7F45">
      <w:pPr>
        <w:pStyle w:val="UZEINormaln"/>
      </w:pPr>
      <w:r w:rsidRPr="002A0D4F">
        <w:lastRenderedPageBreak/>
        <w:t>Na veřejný vodovod je napojeno 87 % obcí s méně než 2 000 obyvateli. Nejvyšší podíl napojených venkovských obcí má Moravskoslezský kraj. Další kraje, které mají napojeno více než 90 % obcí jsou Karlovarský, Ústecký, Liberecký, Pardubický, Jihomoravský, Olomoucký a Zlínský. Nejmenší podíl obcí napojených na veřejný vodovod má Plzeňský kraj (72 %).</w:t>
      </w:r>
    </w:p>
    <w:p w14:paraId="740A893C" w14:textId="77777777" w:rsidR="00A14B9B" w:rsidRPr="002A0D4F" w:rsidRDefault="00A14B9B" w:rsidP="009E7F45">
      <w:pPr>
        <w:pStyle w:val="UZEINormaln"/>
        <w:numPr>
          <w:ilvl w:val="0"/>
          <w:numId w:val="65"/>
        </w:numPr>
      </w:pPr>
      <w:r w:rsidRPr="002A0D4F">
        <w:t>Obce, ve kterých se nachází byty napojené na veřejný rozvod plynu</w:t>
      </w:r>
    </w:p>
    <w:p w14:paraId="533FB42A" w14:textId="48FCEE43" w:rsidR="00A14B9B" w:rsidRPr="009E7F45" w:rsidRDefault="009E7F45" w:rsidP="009E7F45">
      <w:pPr>
        <w:pStyle w:val="UZEITaB"/>
        <w:rPr>
          <w:rFonts w:eastAsiaTheme="minorEastAsia"/>
        </w:rPr>
      </w:pPr>
      <w:bookmarkStart w:id="923" w:name="_Toc25920048"/>
      <w:r w:rsidRPr="009E7F45">
        <w:rPr>
          <w:rFonts w:eastAsiaTheme="minorEastAsia"/>
        </w:rPr>
        <w:t xml:space="preserve"> </w:t>
      </w:r>
      <w:bookmarkStart w:id="924" w:name="_Toc81815371"/>
      <w:bookmarkStart w:id="925" w:name="_Toc81817049"/>
      <w:bookmarkStart w:id="926" w:name="_Toc81817562"/>
      <w:r w:rsidR="00A14B9B" w:rsidRPr="009E7F45">
        <w:rPr>
          <w:rFonts w:eastAsiaTheme="minorEastAsia"/>
        </w:rPr>
        <w:t>Podíl obcí vybavených plynofikací v roce 2016</w:t>
      </w:r>
      <w:bookmarkEnd w:id="923"/>
      <w:bookmarkEnd w:id="924"/>
      <w:bookmarkEnd w:id="925"/>
      <w:bookmarkEnd w:id="926"/>
    </w:p>
    <w:p w14:paraId="4DEF825A" w14:textId="77777777" w:rsidR="00A14B9B" w:rsidRPr="002A0D4F" w:rsidRDefault="00A14B9B" w:rsidP="00A14B9B">
      <w:pPr>
        <w:rPr>
          <w:lang w:val="cs-CZ"/>
        </w:rPr>
      </w:pPr>
      <w:r w:rsidRPr="002A0D4F">
        <w:rPr>
          <w:noProof/>
          <w:lang w:val="cs-CZ" w:eastAsia="cs-CZ"/>
        </w:rPr>
        <w:drawing>
          <wp:inline distT="0" distB="0" distL="0" distR="0" wp14:anchorId="79477FC5" wp14:editId="46FDA552">
            <wp:extent cx="4410075" cy="3057525"/>
            <wp:effectExtent l="0" t="0" r="9525" b="9525"/>
            <wp:docPr id="50" name="Obrázek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4">
                      <a:extLst>
                        <a:ext uri="{28A0092B-C50C-407E-A947-70E740481C1C}">
                          <a14:useLocalDpi xmlns:a14="http://schemas.microsoft.com/office/drawing/2010/main" val="0"/>
                        </a:ext>
                      </a:extLst>
                    </a:blip>
                    <a:srcRect/>
                    <a:stretch>
                      <a:fillRect/>
                    </a:stretch>
                  </pic:blipFill>
                  <pic:spPr bwMode="auto">
                    <a:xfrm>
                      <a:off x="0" y="0"/>
                      <a:ext cx="4410075" cy="3057525"/>
                    </a:xfrm>
                    <a:prstGeom prst="rect">
                      <a:avLst/>
                    </a:prstGeom>
                    <a:noFill/>
                    <a:ln>
                      <a:noFill/>
                    </a:ln>
                  </pic:spPr>
                </pic:pic>
              </a:graphicData>
            </a:graphic>
          </wp:inline>
        </w:drawing>
      </w:r>
    </w:p>
    <w:p w14:paraId="7868A164" w14:textId="77777777" w:rsidR="00A14B9B" w:rsidRPr="002A0D4F" w:rsidRDefault="00A14B9B" w:rsidP="009E7F45">
      <w:pPr>
        <w:pStyle w:val="UZEIZdroj"/>
      </w:pPr>
      <w:r w:rsidRPr="002A0D4F">
        <w:t>Zdroj: ČSÚ (Veřejná databáze)</w:t>
      </w:r>
    </w:p>
    <w:p w14:paraId="61046C57" w14:textId="77777777" w:rsidR="00A14B9B" w:rsidRPr="002A0D4F" w:rsidRDefault="00A14B9B" w:rsidP="009E7F45">
      <w:pPr>
        <w:pStyle w:val="UZEINormaln"/>
      </w:pPr>
      <w:r w:rsidRPr="002A0D4F">
        <w:t>Plynofikací disponuje necelých 60 % venkovských obcí v Česku. Nejmenší podíl malých obcí připojených k plynu má Středočeský, Jihočeský a Liberecký kraj (zhruba 35 %). Naopak kolem 90 % malých obcí připojených k plynu je v Jihomoravském, Olomouckém a Zlínském kraji.</w:t>
      </w:r>
    </w:p>
    <w:p w14:paraId="01BD3EEB" w14:textId="77777777" w:rsidR="00A14B9B" w:rsidRPr="009E7F45" w:rsidRDefault="00A14B9B" w:rsidP="009E7F45">
      <w:pPr>
        <w:pStyle w:val="UZEINormaln"/>
        <w:rPr>
          <w:rFonts w:eastAsiaTheme="majorEastAsia"/>
          <w:b/>
          <w:bCs/>
        </w:rPr>
      </w:pPr>
      <w:r w:rsidRPr="009E7F45">
        <w:rPr>
          <w:rFonts w:eastAsiaTheme="majorEastAsia"/>
          <w:b/>
          <w:bCs/>
        </w:rPr>
        <w:t>Porovnání roku 2016 s rokem 2006</w:t>
      </w:r>
    </w:p>
    <w:p w14:paraId="542373C5" w14:textId="77777777" w:rsidR="00A14B9B" w:rsidRPr="002A0D4F" w:rsidRDefault="00A14B9B" w:rsidP="009E7F45">
      <w:pPr>
        <w:pStyle w:val="UZEINormaln"/>
      </w:pPr>
      <w:r w:rsidRPr="002A0D4F">
        <w:t>Podíl obcí vybavených kanalizační sítí napojených na ČOV oproti roku 2006 (viz 18_Příloha analýza venkov) vzrostl průměrně o 20 % v každém kraji. Došlo k tomu díky dotačnímu programu z minulého programového období. Podíl obcí napojených na veřejný vodovod se taktéž mírně navýšil v každém kraji (kolem 5 %). Stejně tak vybavenost obcí plynovým rozvodem mírně vzrostl, kromě Pardubického, Jihomoravského a Zlínského kraje, kde se naopak snížil v řádech jednoho procenta.</w:t>
      </w:r>
    </w:p>
    <w:p w14:paraId="4B9994FE" w14:textId="77777777" w:rsidR="00A14B9B" w:rsidRPr="002A0D4F" w:rsidRDefault="00A14B9B" w:rsidP="009E7F45">
      <w:pPr>
        <w:pStyle w:val="UZEINormaln"/>
      </w:pPr>
      <w:r w:rsidRPr="002A0D4F">
        <w:rPr>
          <w:b/>
          <w:bCs/>
        </w:rPr>
        <w:t>Tříděný odpad v krajích ČR</w:t>
      </w:r>
    </w:p>
    <w:p w14:paraId="5DF5A81E" w14:textId="3CBBEE3A" w:rsidR="00A14B9B" w:rsidRDefault="00A14B9B" w:rsidP="009E7F45">
      <w:pPr>
        <w:pStyle w:val="UZEINormaln"/>
      </w:pPr>
      <w:r w:rsidRPr="002A0D4F">
        <w:t xml:space="preserve">Podíl odděleně sbíraných složek, jako je papír, sklo či plasty, činil v převážně venkovských oblastech v průměru 17 %, což je o 0,7 p. b. více, než v oblastech převážně městských a zároveň o 0,6 p. b. více, než je republikový průměr (16,4 %). Nejvíce třídili obyvatelé Zlínského kraje, kde byl podíl odděleně sbíraných složek 20,9 %. Nejméně potom v kraji Středočeském, kde byl podíl odděleně sbíraných složek na celkové produkci komunálního odpadu 13,9 %. Celkově se dle dat ČSÚ ukázalo, že oblasti smíšené jsou na tom z hlediska třídění odpadu nejhůře – průměr v těchto krajích je 15,8 %, tedy o 0,4 p. b. méně, než je republikový průměr (viz </w:t>
      </w:r>
      <w:r w:rsidR="009E7F45">
        <w:fldChar w:fldCharType="begin"/>
      </w:r>
      <w:r w:rsidR="009E7F45">
        <w:instrText xml:space="preserve"> REF _Ref81775867 \r \h </w:instrText>
      </w:r>
      <w:r w:rsidR="009E7F45">
        <w:fldChar w:fldCharType="separate"/>
      </w:r>
      <w:r w:rsidR="009E7F45">
        <w:t>Obrázek 91</w:t>
      </w:r>
      <w:r w:rsidR="009E7F45">
        <w:fldChar w:fldCharType="end"/>
      </w:r>
      <w:r w:rsidRPr="002A0D4F">
        <w:t>).</w:t>
      </w:r>
    </w:p>
    <w:p w14:paraId="56B69B1B" w14:textId="77777777" w:rsidR="00DB3A55" w:rsidRDefault="00DB3A55">
      <w:pPr>
        <w:spacing w:after="160" w:line="259" w:lineRule="auto"/>
        <w:jc w:val="left"/>
        <w:rPr>
          <w:rStyle w:val="UZEIObrChar"/>
          <w:rFonts w:eastAsiaTheme="minorHAnsi"/>
        </w:rPr>
      </w:pPr>
      <w:bookmarkStart w:id="927" w:name="_Toc525727668"/>
      <w:bookmarkStart w:id="928" w:name="_Toc525735955"/>
      <w:bookmarkStart w:id="929" w:name="_Ref81775867"/>
      <w:bookmarkStart w:id="930" w:name="_Toc25919931"/>
      <w:r>
        <w:rPr>
          <w:rStyle w:val="UZEIObrChar"/>
          <w:rFonts w:eastAsiaTheme="minorHAnsi"/>
          <w:b w:val="0"/>
        </w:rPr>
        <w:br w:type="page"/>
      </w:r>
    </w:p>
    <w:p w14:paraId="0249E861" w14:textId="3974F3B8" w:rsidR="009E7F45" w:rsidRPr="009E7F45" w:rsidRDefault="00A14B9B" w:rsidP="009E7F45">
      <w:pPr>
        <w:pStyle w:val="UZEIObr"/>
      </w:pPr>
      <w:bookmarkStart w:id="931" w:name="_Toc81815472"/>
      <w:bookmarkStart w:id="932" w:name="_Toc81817677"/>
      <w:r w:rsidRPr="009E7F45">
        <w:rPr>
          <w:rStyle w:val="UZEIObrChar"/>
          <w:b/>
        </w:rPr>
        <w:lastRenderedPageBreak/>
        <w:t>Podíl odděleně sbíraných složek na celkové produkci komunálního odpadu v krajích ČR</w:t>
      </w:r>
      <w:bookmarkEnd w:id="927"/>
      <w:bookmarkEnd w:id="928"/>
      <w:bookmarkEnd w:id="929"/>
      <w:bookmarkEnd w:id="931"/>
      <w:bookmarkEnd w:id="932"/>
    </w:p>
    <w:p w14:paraId="343F6A8E" w14:textId="10AF04BC" w:rsidR="00A14B9B" w:rsidRPr="002A0D4F" w:rsidRDefault="00A14B9B" w:rsidP="009E7F45">
      <w:pPr>
        <w:pStyle w:val="UZEIZdroj"/>
        <w:rPr>
          <w:b/>
          <w:bCs/>
          <w:sz w:val="22"/>
          <w:szCs w:val="22"/>
        </w:rPr>
      </w:pPr>
      <w:r w:rsidRPr="002A0D4F">
        <w:rPr>
          <w:noProof/>
          <w:lang w:eastAsia="cs-CZ"/>
        </w:rPr>
        <w:drawing>
          <wp:inline distT="0" distB="0" distL="0" distR="0" wp14:anchorId="0BBC2544" wp14:editId="0A36D3AE">
            <wp:extent cx="5591175" cy="2619375"/>
            <wp:effectExtent l="0" t="0" r="9525" b="9525"/>
            <wp:docPr id="220497244" name="Picture 875335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5335593"/>
                    <pic:cNvPicPr/>
                  </pic:nvPicPr>
                  <pic:blipFill>
                    <a:blip r:embed="rId195">
                      <a:extLst>
                        <a:ext uri="{28A0092B-C50C-407E-A947-70E740481C1C}">
                          <a14:useLocalDpi xmlns:a14="http://schemas.microsoft.com/office/drawing/2010/main" val="0"/>
                        </a:ext>
                      </a:extLst>
                    </a:blip>
                    <a:stretch>
                      <a:fillRect/>
                    </a:stretch>
                  </pic:blipFill>
                  <pic:spPr>
                    <a:xfrm>
                      <a:off x="0" y="0"/>
                      <a:ext cx="5591177" cy="2619376"/>
                    </a:xfrm>
                    <a:prstGeom prst="rect">
                      <a:avLst/>
                    </a:prstGeom>
                  </pic:spPr>
                </pic:pic>
              </a:graphicData>
            </a:graphic>
          </wp:inline>
        </w:drawing>
      </w:r>
      <w:r w:rsidRPr="002A0D4F">
        <w:t>Zdroj: ČSÚ, 2019</w:t>
      </w:r>
      <w:bookmarkEnd w:id="930"/>
    </w:p>
    <w:p w14:paraId="720E39F1" w14:textId="48C2C379" w:rsidR="00A14B9B" w:rsidRPr="009E7F45" w:rsidRDefault="00A14B9B" w:rsidP="009E7F45">
      <w:pPr>
        <w:pStyle w:val="UZEINormaln"/>
        <w:rPr>
          <w:rFonts w:eastAsiaTheme="majorEastAsia"/>
        </w:rPr>
      </w:pPr>
      <w:r w:rsidRPr="009E7F45">
        <w:rPr>
          <w:rFonts w:eastAsiaTheme="majorEastAsia"/>
        </w:rPr>
        <w:t>INFORMAČNÍ TECHNOLOGIE</w:t>
      </w:r>
    </w:p>
    <w:p w14:paraId="26D1D1DB" w14:textId="49EAA9C6" w:rsidR="00A14B9B" w:rsidRPr="009E7F45" w:rsidRDefault="00B750C6" w:rsidP="009E7F45">
      <w:pPr>
        <w:pStyle w:val="UZEITaB"/>
        <w:rPr>
          <w:rFonts w:eastAsiaTheme="minorEastAsia"/>
        </w:rPr>
      </w:pPr>
      <w:bookmarkStart w:id="933" w:name="_Toc25920049"/>
      <w:bookmarkStart w:id="934" w:name="_Toc81815372"/>
      <w:bookmarkStart w:id="935" w:name="_Toc81817050"/>
      <w:bookmarkStart w:id="936" w:name="_Toc81817563"/>
      <w:r w:rsidRPr="002A0D4F">
        <w:rPr>
          <w:noProof/>
        </w:rPr>
        <w:drawing>
          <wp:anchor distT="0" distB="0" distL="114300" distR="114300" simplePos="0" relativeHeight="251659266" behindDoc="0" locked="0" layoutInCell="1" allowOverlap="1" wp14:anchorId="67B15FFC" wp14:editId="4A7FF987">
            <wp:simplePos x="0" y="0"/>
            <wp:positionH relativeFrom="margin">
              <wp:align>right</wp:align>
            </wp:positionH>
            <wp:positionV relativeFrom="paragraph">
              <wp:posOffset>221615</wp:posOffset>
            </wp:positionV>
            <wp:extent cx="5730875" cy="1817370"/>
            <wp:effectExtent l="0" t="0" r="3175" b="0"/>
            <wp:wrapTopAndBottom/>
            <wp:docPr id="51" name="Obrázek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96">
                      <a:extLst>
                        <a:ext uri="{28A0092B-C50C-407E-A947-70E740481C1C}">
                          <a14:useLocalDpi xmlns:a14="http://schemas.microsoft.com/office/drawing/2010/main" val="0"/>
                        </a:ext>
                      </a:extLst>
                    </a:blip>
                    <a:srcRect/>
                    <a:stretch>
                      <a:fillRect/>
                    </a:stretch>
                  </pic:blipFill>
                  <pic:spPr bwMode="auto">
                    <a:xfrm>
                      <a:off x="0" y="0"/>
                      <a:ext cx="5730875" cy="181737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DD7845">
        <w:rPr>
          <w:rFonts w:eastAsiaTheme="minorEastAsia"/>
        </w:rPr>
        <w:t xml:space="preserve"> </w:t>
      </w:r>
      <w:r w:rsidR="00A14B9B" w:rsidRPr="009E7F45">
        <w:rPr>
          <w:rFonts w:eastAsiaTheme="minorEastAsia"/>
        </w:rPr>
        <w:t>Domácnosti s připojením k internetu (%) 2009-2019</w:t>
      </w:r>
      <w:bookmarkEnd w:id="933"/>
      <w:bookmarkEnd w:id="934"/>
      <w:bookmarkEnd w:id="935"/>
      <w:bookmarkEnd w:id="936"/>
    </w:p>
    <w:p w14:paraId="5A6C8969" w14:textId="63152F10" w:rsidR="00A14B9B" w:rsidRPr="002A0D4F" w:rsidRDefault="00A14B9B" w:rsidP="00A14B9B">
      <w:pPr>
        <w:rPr>
          <w:lang w:val="cs-CZ"/>
        </w:rPr>
      </w:pPr>
      <w:r w:rsidRPr="002A0D4F">
        <w:rPr>
          <w:noProof/>
          <w:lang w:val="cs-CZ" w:eastAsia="cs-CZ"/>
        </w:rPr>
        <w:drawing>
          <wp:inline distT="0" distB="0" distL="0" distR="0" wp14:anchorId="1D48B10F" wp14:editId="08BD4F4A">
            <wp:extent cx="5753098" cy="1695450"/>
            <wp:effectExtent l="0" t="0" r="0" b="0"/>
            <wp:docPr id="947267364" name="Picture 1109780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9780011"/>
                    <pic:cNvPicPr/>
                  </pic:nvPicPr>
                  <pic:blipFill>
                    <a:blip r:embed="rId197">
                      <a:extLst>
                        <a:ext uri="{28A0092B-C50C-407E-A947-70E740481C1C}">
                          <a14:useLocalDpi xmlns:a14="http://schemas.microsoft.com/office/drawing/2010/main" val="0"/>
                        </a:ext>
                      </a:extLst>
                    </a:blip>
                    <a:stretch>
                      <a:fillRect/>
                    </a:stretch>
                  </pic:blipFill>
                  <pic:spPr>
                    <a:xfrm>
                      <a:off x="0" y="0"/>
                      <a:ext cx="5753098" cy="1695450"/>
                    </a:xfrm>
                    <a:prstGeom prst="rect">
                      <a:avLst/>
                    </a:prstGeom>
                  </pic:spPr>
                </pic:pic>
              </a:graphicData>
            </a:graphic>
          </wp:inline>
        </w:drawing>
      </w:r>
      <w:r w:rsidRPr="002A0D4F">
        <w:rPr>
          <w:noProof/>
          <w:lang w:val="cs-CZ" w:eastAsia="cs-CZ"/>
        </w:rPr>
        <w:drawing>
          <wp:inline distT="0" distB="0" distL="0" distR="0" wp14:anchorId="61977E42" wp14:editId="0BD3828C">
            <wp:extent cx="5753098" cy="1695450"/>
            <wp:effectExtent l="0" t="0" r="0" b="0"/>
            <wp:docPr id="275182877" name="Obrázek 2751828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75182877"/>
                    <pic:cNvPicPr/>
                  </pic:nvPicPr>
                  <pic:blipFill>
                    <a:blip r:embed="rId198">
                      <a:extLst>
                        <a:ext uri="{28A0092B-C50C-407E-A947-70E740481C1C}">
                          <a14:useLocalDpi xmlns:a14="http://schemas.microsoft.com/office/drawing/2010/main" val="0"/>
                        </a:ext>
                      </a:extLst>
                    </a:blip>
                    <a:stretch>
                      <a:fillRect/>
                    </a:stretch>
                  </pic:blipFill>
                  <pic:spPr>
                    <a:xfrm>
                      <a:off x="0" y="0"/>
                      <a:ext cx="5753098" cy="1695450"/>
                    </a:xfrm>
                    <a:prstGeom prst="rect">
                      <a:avLst/>
                    </a:prstGeom>
                  </pic:spPr>
                </pic:pic>
              </a:graphicData>
            </a:graphic>
          </wp:inline>
        </w:drawing>
      </w:r>
    </w:p>
    <w:p w14:paraId="10E06C98" w14:textId="77777777" w:rsidR="00A14B9B" w:rsidRPr="00B750C6" w:rsidRDefault="00A14B9B" w:rsidP="00B750C6">
      <w:pPr>
        <w:pStyle w:val="UZEIZdroj"/>
        <w:spacing w:after="60"/>
        <w:rPr>
          <w:sz w:val="18"/>
          <w:szCs w:val="18"/>
        </w:rPr>
      </w:pPr>
      <w:r w:rsidRPr="00B750C6">
        <w:rPr>
          <w:sz w:val="18"/>
          <w:szCs w:val="18"/>
        </w:rPr>
        <w:t>Zdroj: ČSÚ (Veřejná databáze)</w:t>
      </w:r>
    </w:p>
    <w:p w14:paraId="41CF3D0A" w14:textId="77777777" w:rsidR="00A14B9B" w:rsidRPr="002A0D4F" w:rsidRDefault="00A14B9B" w:rsidP="00DD7845">
      <w:pPr>
        <w:pStyle w:val="UZEINormaln"/>
      </w:pPr>
      <w:r w:rsidRPr="002A0D4F">
        <w:lastRenderedPageBreak/>
        <w:t>Ve vybavenosti informačními technologiemi lze v posledních deseti letech sledovat několikanásobný růst ve všech krajích v ČR. Nejvíce domácností je k internetu připojeno ve Zlínském kraji – v roce 2019 83,6 % (nepočítáme hl. m. Prahu). Nejméně v Ústeckém a Olomouckém kraji (74,8 % a 76,3 %). Domácnosti s připojením k internetu jsou považovány za všechny obce v kraji.</w:t>
      </w:r>
    </w:p>
    <w:p w14:paraId="2CA10F27" w14:textId="77777777" w:rsidR="00A14B9B" w:rsidRPr="002A0D4F" w:rsidRDefault="00A14B9B" w:rsidP="00DD7845">
      <w:pPr>
        <w:pStyle w:val="UZEINormaln"/>
        <w:rPr>
          <w:b/>
        </w:rPr>
      </w:pPr>
      <w:r w:rsidRPr="002A0D4F">
        <w:rPr>
          <w:b/>
        </w:rPr>
        <w:t>Vysokorychlostní internet</w:t>
      </w:r>
    </w:p>
    <w:p w14:paraId="5ACB8F66" w14:textId="20245868" w:rsidR="00A14B9B" w:rsidRPr="002A0D4F" w:rsidRDefault="00E01FDA" w:rsidP="00DD7845">
      <w:pPr>
        <w:pStyle w:val="UZEINormaln"/>
      </w:pPr>
      <w:r>
        <w:fldChar w:fldCharType="begin"/>
      </w:r>
      <w:r>
        <w:instrText xml:space="preserve"> REF _Ref81776022 \r \h </w:instrText>
      </w:r>
      <w:r>
        <w:fldChar w:fldCharType="separate"/>
      </w:r>
      <w:r>
        <w:t>Obrázek 92</w:t>
      </w:r>
      <w:r>
        <w:fldChar w:fldCharType="end"/>
      </w:r>
      <w:r w:rsidR="00A14B9B" w:rsidRPr="002A0D4F">
        <w:t xml:space="preserve"> ukazuje pokrytí území veřejné širokopásmové mobilní sítě dle typologie městských a venkovských regionů (NUTS3) a dle operátora. Nejlépe z pohledu pokrytí mobilní sítě LTE</w:t>
      </w:r>
      <w:r w:rsidR="00DD7845">
        <w:rPr>
          <w:rStyle w:val="Znakapoznpodarou"/>
        </w:rPr>
        <w:footnoteReference w:id="29"/>
      </w:r>
      <w:r w:rsidR="00A14B9B" w:rsidRPr="002A0D4F">
        <w:t>jsou na tom regiony převážně městské, kde je pokryto zhruba 98,5 % území všemi třemi operátory. V převážně venkovských regionech je pokrytí o něco horší, zde hodnoty dosahují pro operátory T-Mobile a O2 zhruba 95,4 %, v případě operátora Vodafone poté pouze 92,7 %. Nejmenší pokrytí území je v regionech smíšených, kde se hodnoty pohybují okolo 93,5 %.</w:t>
      </w:r>
    </w:p>
    <w:p w14:paraId="71294597" w14:textId="099ACDD3" w:rsidR="00A14B9B" w:rsidRPr="00DD7845" w:rsidRDefault="00A14B9B" w:rsidP="00DD7845">
      <w:pPr>
        <w:pStyle w:val="UZEIObr"/>
        <w:ind w:left="0" w:firstLine="0"/>
      </w:pPr>
      <w:bookmarkStart w:id="937" w:name="_Toc525727669"/>
      <w:bookmarkStart w:id="938" w:name="_Toc525735956"/>
      <w:bookmarkStart w:id="939" w:name="_Toc25919932"/>
      <w:bookmarkStart w:id="940" w:name="_Ref81776022"/>
      <w:bookmarkStart w:id="941" w:name="_Toc81815473"/>
      <w:bookmarkStart w:id="942" w:name="_Toc81817678"/>
      <w:r w:rsidRPr="00DD7845">
        <w:t>Pokrytí území veřejné širokopásmové mobilní sítě dle typologie městských a venkovských regionů (NUTS3) a operátora (data k 15. 4. 2021)</w:t>
      </w:r>
      <w:bookmarkEnd w:id="937"/>
      <w:bookmarkEnd w:id="938"/>
      <w:bookmarkEnd w:id="939"/>
      <w:bookmarkEnd w:id="940"/>
      <w:bookmarkEnd w:id="941"/>
      <w:bookmarkEnd w:id="942"/>
    </w:p>
    <w:p w14:paraId="08C98E9E" w14:textId="7AFF0CB6" w:rsidR="00A14B9B" w:rsidRPr="002A0D4F" w:rsidRDefault="00A14B9B" w:rsidP="00A14B9B">
      <w:pPr>
        <w:spacing w:after="240"/>
        <w:rPr>
          <w:lang w:val="cs-CZ"/>
        </w:rPr>
      </w:pPr>
      <w:r w:rsidRPr="002A0D4F">
        <w:rPr>
          <w:noProof/>
          <w:lang w:val="cs-CZ" w:eastAsia="cs-CZ"/>
        </w:rPr>
        <w:drawing>
          <wp:inline distT="0" distB="0" distL="0" distR="0" wp14:anchorId="4C43DCCC" wp14:editId="627A50D4">
            <wp:extent cx="4552950" cy="2743200"/>
            <wp:effectExtent l="0" t="0" r="0" b="0"/>
            <wp:docPr id="2133440489" name="Obrázek 2133440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133440489"/>
                    <pic:cNvPicPr/>
                  </pic:nvPicPr>
                  <pic:blipFill>
                    <a:blip r:embed="rId199">
                      <a:extLst>
                        <a:ext uri="{28A0092B-C50C-407E-A947-70E740481C1C}">
                          <a14:useLocalDpi xmlns:a14="http://schemas.microsoft.com/office/drawing/2010/main" val="0"/>
                        </a:ext>
                      </a:extLst>
                    </a:blip>
                    <a:stretch>
                      <a:fillRect/>
                    </a:stretch>
                  </pic:blipFill>
                  <pic:spPr>
                    <a:xfrm>
                      <a:off x="0" y="0"/>
                      <a:ext cx="4552950" cy="2743200"/>
                    </a:xfrm>
                    <a:prstGeom prst="rect">
                      <a:avLst/>
                    </a:prstGeom>
                  </pic:spPr>
                </pic:pic>
              </a:graphicData>
            </a:graphic>
          </wp:inline>
        </w:drawing>
      </w:r>
    </w:p>
    <w:p w14:paraId="3770F6CD" w14:textId="77777777" w:rsidR="00A14B9B" w:rsidRPr="002A0D4F" w:rsidRDefault="00A14B9B" w:rsidP="00DD7845">
      <w:pPr>
        <w:pStyle w:val="UZEIZdroj"/>
      </w:pPr>
      <w:r w:rsidRPr="002A0D4F">
        <w:t>Zdroj: ČTÚ, 2021</w:t>
      </w:r>
    </w:p>
    <w:p w14:paraId="03B8E12E" w14:textId="77777777" w:rsidR="00A14B9B" w:rsidRPr="00E01FDA" w:rsidRDefault="00A14B9B" w:rsidP="00E01FDA">
      <w:pPr>
        <w:pStyle w:val="UZEINormaln"/>
        <w:rPr>
          <w:b/>
          <w:bCs/>
        </w:rPr>
      </w:pPr>
      <w:r w:rsidRPr="00E01FDA">
        <w:rPr>
          <w:b/>
          <w:bCs/>
        </w:rPr>
        <w:t>NGA přípojky</w:t>
      </w:r>
    </w:p>
    <w:p w14:paraId="66A358DB" w14:textId="77777777" w:rsidR="00A14B9B" w:rsidRPr="002A0D4F" w:rsidRDefault="00A14B9B" w:rsidP="00E01FDA">
      <w:pPr>
        <w:pStyle w:val="UZEINormaln"/>
      </w:pPr>
      <w:r w:rsidRPr="002A0D4F">
        <w:t>Český telekomunikační úřad (dále jen „ČTÚ“) provádí prostřednictvím svého systému Elektronického sběru dat pravidelně každý rok sběr dat o existenci sítí elektronických komunikací se zaměřením na identifikaci tzv. NGA přípojek umožňujících poskytování služeb přístupu k internetu o rychlosti 30 Mbit/s a více, a to v geografickém členění na jednotlivá adresní místa podle Registru územní identifikace, adres a nemovitostí (RÚIAN).</w:t>
      </w:r>
    </w:p>
    <w:p w14:paraId="1BF06D74" w14:textId="77777777" w:rsidR="000874AE" w:rsidRDefault="000874AE">
      <w:pPr>
        <w:spacing w:after="160" w:line="259" w:lineRule="auto"/>
        <w:jc w:val="left"/>
        <w:rPr>
          <w:rFonts w:eastAsia="Times New Roman" w:cstheme="minorHAnsi"/>
          <w:color w:val="000000"/>
          <w:szCs w:val="24"/>
          <w:lang w:val="cs-CZ" w:eastAsia="cs-CZ"/>
        </w:rPr>
      </w:pPr>
      <w:r>
        <w:rPr>
          <w:color w:val="000000"/>
        </w:rPr>
        <w:br w:type="page"/>
      </w:r>
    </w:p>
    <w:p w14:paraId="2394BDC6" w14:textId="00DF91FE" w:rsidR="00A14B9B" w:rsidRPr="002A0D4F" w:rsidRDefault="00A14B9B" w:rsidP="00E01FDA">
      <w:pPr>
        <w:pStyle w:val="UZEINormaln"/>
        <w:rPr>
          <w:color w:val="000000"/>
        </w:rPr>
      </w:pPr>
      <w:r w:rsidRPr="002A0D4F">
        <w:rPr>
          <w:color w:val="000000"/>
        </w:rPr>
        <w:lastRenderedPageBreak/>
        <w:t>Stručně řečeno, na základě získaných dat se určí na úrovni základních sídelních jednotek, o jakou barvu ZSJ jde:</w:t>
      </w:r>
    </w:p>
    <w:p w14:paraId="1C412435" w14:textId="77777777" w:rsidR="00A14B9B" w:rsidRPr="002A0D4F" w:rsidRDefault="00A14B9B" w:rsidP="00E01FDA">
      <w:pPr>
        <w:pStyle w:val="UZEIOdrky"/>
      </w:pPr>
      <w:r w:rsidRPr="002A0D4F">
        <w:rPr>
          <w:b/>
          <w:bCs/>
        </w:rPr>
        <w:t>Bílé ZSJ</w:t>
      </w:r>
      <w:r w:rsidRPr="002A0D4F">
        <w:t> budou takové, kde má nebo do tří let bude mít méně než 50 % adresních míst přípojku NGA. Jde o součet přípojek všech poskytovatelů. </w:t>
      </w:r>
    </w:p>
    <w:p w14:paraId="0A16BF7A" w14:textId="77777777" w:rsidR="00A14B9B" w:rsidRPr="002A0D4F" w:rsidRDefault="00A14B9B" w:rsidP="00E01FDA">
      <w:pPr>
        <w:pStyle w:val="UZEIOdrky"/>
      </w:pPr>
      <w:r w:rsidRPr="002A0D4F">
        <w:rPr>
          <w:b/>
          <w:bCs/>
        </w:rPr>
        <w:t>Šedé ZSJ</w:t>
      </w:r>
      <w:r w:rsidRPr="002A0D4F">
        <w:t> jsou takové, kde má alespoň 50 % adresních míst přípojku NGA (nebo ji bude mít do tří let) a současně platí, že tyto přípojky jsou od jednoho poskytovatele internetu.</w:t>
      </w:r>
    </w:p>
    <w:p w14:paraId="25BC63F8" w14:textId="77777777" w:rsidR="00A14B9B" w:rsidRPr="002A0D4F" w:rsidRDefault="00A14B9B" w:rsidP="00E01FDA">
      <w:pPr>
        <w:pStyle w:val="UZEIOdrky"/>
      </w:pPr>
      <w:r w:rsidRPr="002A0D4F">
        <w:rPr>
          <w:b/>
          <w:bCs/>
        </w:rPr>
        <w:t>Černé ZSJ</w:t>
      </w:r>
      <w:r w:rsidRPr="002A0D4F">
        <w:t> jsou takové, kde je alespoň 50% penetrace sítěmi NGA (nebo plány na takové pokrytí do tří let) a působí tam nejméně dva poskytovatelé NGA. A je jedno, jaký mají podíl, zda jde o 99,9 %: 0,1 % nebo jiný poměr.</w:t>
      </w:r>
    </w:p>
    <w:p w14:paraId="77E62180" w14:textId="0D6E92D8" w:rsidR="00A14B9B" w:rsidRPr="002A0D4F" w:rsidRDefault="00A14B9B" w:rsidP="00E01FDA">
      <w:pPr>
        <w:pStyle w:val="UZEINormaln"/>
      </w:pPr>
      <w:r w:rsidRPr="002A0D4F">
        <w:t xml:space="preserve">Na </w:t>
      </w:r>
      <w:r w:rsidR="00DD6940">
        <w:fldChar w:fldCharType="begin"/>
      </w:r>
      <w:r w:rsidR="00DD6940">
        <w:instrText xml:space="preserve"> REF _Ref81776128 \r \h </w:instrText>
      </w:r>
      <w:r w:rsidR="00DD6940">
        <w:fldChar w:fldCharType="separate"/>
      </w:r>
      <w:r w:rsidR="00DD6940">
        <w:t>Obrázek 93</w:t>
      </w:r>
      <w:r w:rsidR="00DD6940">
        <w:fldChar w:fldCharType="end"/>
      </w:r>
      <w:r w:rsidR="00DD6940">
        <w:t xml:space="preserve"> </w:t>
      </w:r>
      <w:r w:rsidRPr="002A0D4F">
        <w:t>si lze všimnout, že nejvíce bílých základních sídelních jednotek (takových, kde má nebo do tří let bude mít méně než 50 % adresních míst přípojku NGA) se nachází v regionech smíšených (33,4 %), méně v regionech převážně venkovských (29 %) a nejméně v převážně městských regionech (16,7 %). V převážně městských regionech je zároveň nejvíce černých základních sídelních jednotek, tedy takových, kde je alespoň 50% penetrace sítěmi NGA (nebo existují plány na takové pokrytí do tří let) a působí tam nejméně dva poskytovatelé NGA. Hůře z pohledu identifikace NGA přípojek (umožňujících poskytování služeb přístupu k internetu o rychlosti 30 Mbit/s a více) než regiony městské jsou na tom regiony převážně venkovské, nejhůře potom regiony smíšené.</w:t>
      </w:r>
    </w:p>
    <w:p w14:paraId="529E8FE8" w14:textId="77777777" w:rsidR="000C1ECF" w:rsidRDefault="000C1ECF">
      <w:pPr>
        <w:spacing w:after="160" w:line="259" w:lineRule="auto"/>
        <w:jc w:val="left"/>
        <w:rPr>
          <w:rFonts w:eastAsia="Times New Roman" w:cs="Arial"/>
          <w:b/>
          <w:noProof/>
          <w:sz w:val="20"/>
          <w:szCs w:val="20"/>
          <w:lang w:val="cs-CZ" w:eastAsia="cs-CZ"/>
        </w:rPr>
      </w:pPr>
      <w:bookmarkStart w:id="943" w:name="_Toc525727670"/>
      <w:bookmarkStart w:id="944" w:name="_Toc525735957"/>
      <w:bookmarkStart w:id="945" w:name="_Toc25919933"/>
      <w:bookmarkStart w:id="946" w:name="_Ref81776128"/>
      <w:r>
        <w:br w:type="page"/>
      </w:r>
    </w:p>
    <w:p w14:paraId="42AEEFEC" w14:textId="1E2027AB" w:rsidR="004600D5" w:rsidRDefault="00A14B9B" w:rsidP="00B65952">
      <w:pPr>
        <w:pStyle w:val="UZEIObr"/>
        <w:ind w:left="0" w:firstLine="0"/>
      </w:pPr>
      <w:bookmarkStart w:id="947" w:name="_Toc81815474"/>
      <w:bookmarkStart w:id="948" w:name="_Toc81817679"/>
      <w:r w:rsidRPr="00E01FDA">
        <w:lastRenderedPageBreak/>
        <w:t>Podíl bílých, šedých a černých ZSJ na celkových ZSJ dle typologie městských a venkovských regionů (NUTS3) v roce 2019</w:t>
      </w:r>
      <w:bookmarkEnd w:id="943"/>
      <w:bookmarkEnd w:id="944"/>
      <w:bookmarkEnd w:id="945"/>
      <w:bookmarkEnd w:id="947"/>
      <w:bookmarkEnd w:id="948"/>
    </w:p>
    <w:p w14:paraId="621BD3C7" w14:textId="4C370C85" w:rsidR="00A14B9B" w:rsidRPr="002A0D4F" w:rsidRDefault="00A14B9B" w:rsidP="004600D5">
      <w:pPr>
        <w:pStyle w:val="UZEINormaln"/>
      </w:pPr>
      <w:r w:rsidRPr="002A0D4F">
        <w:rPr>
          <w:noProof/>
        </w:rPr>
        <w:drawing>
          <wp:inline distT="0" distB="0" distL="0" distR="0" wp14:anchorId="097BC33D" wp14:editId="6BFDB60D">
            <wp:extent cx="5429250" cy="2867025"/>
            <wp:effectExtent l="0" t="0" r="0" b="0"/>
            <wp:docPr id="1804605949" name="Picture 1673093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3093189"/>
                    <pic:cNvPicPr/>
                  </pic:nvPicPr>
                  <pic:blipFill>
                    <a:blip r:embed="rId200">
                      <a:extLst>
                        <a:ext uri="{28A0092B-C50C-407E-A947-70E740481C1C}">
                          <a14:useLocalDpi xmlns:a14="http://schemas.microsoft.com/office/drawing/2010/main" val="0"/>
                        </a:ext>
                      </a:extLst>
                    </a:blip>
                    <a:stretch>
                      <a:fillRect/>
                    </a:stretch>
                  </pic:blipFill>
                  <pic:spPr>
                    <a:xfrm>
                      <a:off x="0" y="0"/>
                      <a:ext cx="5429250" cy="2867025"/>
                    </a:xfrm>
                    <a:prstGeom prst="rect">
                      <a:avLst/>
                    </a:prstGeom>
                  </pic:spPr>
                </pic:pic>
              </a:graphicData>
            </a:graphic>
          </wp:inline>
        </w:drawing>
      </w:r>
      <w:bookmarkEnd w:id="946"/>
    </w:p>
    <w:p w14:paraId="60987047" w14:textId="77777777" w:rsidR="00A14B9B" w:rsidRPr="002A0D4F" w:rsidRDefault="00A14B9B" w:rsidP="00A14B9B">
      <w:pPr>
        <w:spacing w:after="240"/>
        <w:rPr>
          <w:lang w:val="cs-CZ"/>
        </w:rPr>
      </w:pPr>
      <w:r w:rsidRPr="002A0D4F">
        <w:rPr>
          <w:noProof/>
          <w:lang w:val="cs-CZ" w:eastAsia="cs-CZ"/>
        </w:rPr>
        <w:drawing>
          <wp:inline distT="0" distB="0" distL="0" distR="0" wp14:anchorId="7F3E0814" wp14:editId="09C8F51C">
            <wp:extent cx="5448302" cy="2895600"/>
            <wp:effectExtent l="0" t="0" r="0" b="0"/>
            <wp:docPr id="1101675256" name="Obrázek 1101675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101675256"/>
                    <pic:cNvPicPr/>
                  </pic:nvPicPr>
                  <pic:blipFill>
                    <a:blip r:embed="rId201">
                      <a:extLst>
                        <a:ext uri="{28A0092B-C50C-407E-A947-70E740481C1C}">
                          <a14:useLocalDpi xmlns:a14="http://schemas.microsoft.com/office/drawing/2010/main" val="0"/>
                        </a:ext>
                      </a:extLst>
                    </a:blip>
                    <a:stretch>
                      <a:fillRect/>
                    </a:stretch>
                  </pic:blipFill>
                  <pic:spPr>
                    <a:xfrm>
                      <a:off x="0" y="0"/>
                      <a:ext cx="5448302" cy="2895600"/>
                    </a:xfrm>
                    <a:prstGeom prst="rect">
                      <a:avLst/>
                    </a:prstGeom>
                  </pic:spPr>
                </pic:pic>
              </a:graphicData>
            </a:graphic>
          </wp:inline>
        </w:drawing>
      </w:r>
    </w:p>
    <w:p w14:paraId="53183EB7" w14:textId="77777777" w:rsidR="00A14B9B" w:rsidRPr="002A0D4F" w:rsidRDefault="00A14B9B" w:rsidP="00E01FDA">
      <w:pPr>
        <w:pStyle w:val="UZEIZdroj"/>
      </w:pPr>
      <w:r w:rsidRPr="002A0D4F">
        <w:t>Zdroj: ČTÚ, 2021</w:t>
      </w:r>
    </w:p>
    <w:p w14:paraId="642AD409" w14:textId="7E6D0098" w:rsidR="00A14B9B" w:rsidRPr="002A0D4F" w:rsidRDefault="00A14B9B" w:rsidP="00DD6940">
      <w:pPr>
        <w:pStyle w:val="UZEINormaln"/>
      </w:pPr>
      <w:r w:rsidRPr="002A0D4F">
        <w:t>Dle posledního sběru dat ČTÚ (stav pokrytí ČR vysokorychlostními sítěmi přístupu k internetu), je nejméně ZSJ s pokrytím menším než 40/50 % v regionech převážně městských (2 273 jednotek), téměř dvojnásobné množství v regionech převážně venkovských (4 432) a nejvíce v regionech smíšených, s počtem 4 908 jednotek (</w:t>
      </w:r>
      <w:r w:rsidR="00DD6940">
        <w:fldChar w:fldCharType="begin"/>
      </w:r>
      <w:r w:rsidR="00DD6940">
        <w:instrText xml:space="preserve"> REF _Ref81776190 \r \h </w:instrText>
      </w:r>
      <w:r w:rsidR="00DD6940">
        <w:fldChar w:fldCharType="separate"/>
      </w:r>
      <w:r w:rsidR="00DD6940">
        <w:t>Obrázek 94</w:t>
      </w:r>
      <w:r w:rsidR="00DD6940">
        <w:fldChar w:fldCharType="end"/>
      </w:r>
      <w:r w:rsidRPr="002A0D4F">
        <w:t>).</w:t>
      </w:r>
    </w:p>
    <w:p w14:paraId="23F18E2E" w14:textId="77777777" w:rsidR="00DD6940" w:rsidRDefault="00DD6940">
      <w:pPr>
        <w:spacing w:after="160" w:line="259" w:lineRule="auto"/>
        <w:jc w:val="left"/>
        <w:rPr>
          <w:rFonts w:eastAsia="Times New Roman" w:cs="Arial"/>
          <w:b/>
          <w:noProof/>
          <w:sz w:val="20"/>
          <w:szCs w:val="20"/>
          <w:lang w:val="cs-CZ" w:eastAsia="cs-CZ"/>
        </w:rPr>
      </w:pPr>
      <w:bookmarkStart w:id="949" w:name="_Toc525727671"/>
      <w:bookmarkStart w:id="950" w:name="_Toc525735958"/>
      <w:bookmarkStart w:id="951" w:name="_Toc25919934"/>
      <w:r>
        <w:br w:type="page"/>
      </w:r>
    </w:p>
    <w:p w14:paraId="5A154A24" w14:textId="1FB5FE82" w:rsidR="00A14B9B" w:rsidRPr="00DD6940" w:rsidRDefault="00A14B9B" w:rsidP="00DD6940">
      <w:pPr>
        <w:pStyle w:val="UZEIObr"/>
        <w:ind w:left="0" w:firstLine="0"/>
      </w:pPr>
      <w:bookmarkStart w:id="952" w:name="_Ref81776190"/>
      <w:bookmarkStart w:id="953" w:name="_Toc81815475"/>
      <w:bookmarkStart w:id="954" w:name="_Toc81817680"/>
      <w:r w:rsidRPr="00DD6940">
        <w:lastRenderedPageBreak/>
        <w:t>Počet ZSJ s pokrytím NGA menším, než 40/50 % dle typologie městských a venkovských regionů (NUTS3) v roce 2016</w:t>
      </w:r>
      <w:bookmarkEnd w:id="949"/>
      <w:bookmarkEnd w:id="950"/>
      <w:bookmarkEnd w:id="951"/>
      <w:bookmarkEnd w:id="952"/>
      <w:bookmarkEnd w:id="953"/>
      <w:bookmarkEnd w:id="954"/>
    </w:p>
    <w:p w14:paraId="7DCA1DFE" w14:textId="77777777" w:rsidR="00A14B9B" w:rsidRPr="002A0D4F" w:rsidRDefault="00A14B9B" w:rsidP="00DD6940">
      <w:pPr>
        <w:pStyle w:val="UZEIZdroj"/>
      </w:pPr>
      <w:r w:rsidRPr="002A0D4F">
        <w:rPr>
          <w:noProof/>
          <w:lang w:eastAsia="cs-CZ"/>
        </w:rPr>
        <w:drawing>
          <wp:inline distT="0" distB="0" distL="0" distR="0" wp14:anchorId="7D6FE0CD" wp14:editId="48100A10">
            <wp:extent cx="4572000" cy="2743200"/>
            <wp:effectExtent l="0" t="0" r="0" b="0"/>
            <wp:docPr id="67" name="Graf 67">
              <a:extLst xmlns:a="http://schemas.openxmlformats.org/drawingml/2006/main">
                <a:ext uri="{FF2B5EF4-FFF2-40B4-BE49-F238E27FC236}">
                  <a16:creationId xmlns:a16="http://schemas.microsoft.com/office/drawing/2014/main" id="{F9A135C4-15B3-4BC4-B6A0-F36E493841C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02"/>
              </a:graphicData>
            </a:graphic>
          </wp:inline>
        </w:drawing>
      </w:r>
      <w:r w:rsidRPr="002A0D4F">
        <w:br/>
        <w:t>Zdroj: MPO, 2016</w:t>
      </w:r>
      <w:bookmarkStart w:id="955" w:name="_Hlk25741784"/>
    </w:p>
    <w:p w14:paraId="2D70C2BA" w14:textId="77777777" w:rsidR="00A14B9B" w:rsidRPr="00DD6940" w:rsidRDefault="00A14B9B" w:rsidP="00DD6940">
      <w:pPr>
        <w:pStyle w:val="UZEINormaln"/>
        <w:rPr>
          <w:rFonts w:asciiTheme="majorHAnsi" w:hAnsiTheme="majorHAnsi"/>
          <w:b/>
          <w:bCs/>
          <w:i/>
          <w:sz w:val="18"/>
          <w:szCs w:val="18"/>
        </w:rPr>
      </w:pPr>
      <w:r w:rsidRPr="00DD6940">
        <w:rPr>
          <w:b/>
          <w:bCs/>
        </w:rPr>
        <w:t xml:space="preserve">Dopravní infrastruktura – analýza polních cest </w:t>
      </w:r>
    </w:p>
    <w:p w14:paraId="59EB2027" w14:textId="77777777" w:rsidR="00A14B9B" w:rsidRPr="00DD6940" w:rsidRDefault="00A14B9B" w:rsidP="00DD6940">
      <w:pPr>
        <w:pStyle w:val="UZEINormaln"/>
        <w:rPr>
          <w:b/>
          <w:bCs/>
        </w:rPr>
      </w:pPr>
      <w:r w:rsidRPr="00DD6940">
        <w:rPr>
          <w:b/>
          <w:bCs/>
        </w:rPr>
        <w:t>Podklady a cíl analýzy</w:t>
      </w:r>
    </w:p>
    <w:p w14:paraId="2C3D560E" w14:textId="77777777" w:rsidR="00A14B9B" w:rsidRPr="002A0D4F" w:rsidRDefault="00A14B9B" w:rsidP="00DD6940">
      <w:pPr>
        <w:pStyle w:val="UZEINormaln"/>
      </w:pPr>
      <w:r w:rsidRPr="002A0D4F">
        <w:t>Analýza polních cest vychází z dat, které byly pro tyto účely poskytnuty Státním pozemkovým úřadem v Praze (SPÚ). Jedná se o dva datové soubory, přičemž v jednom z nich jsou uvedeny polní cesty realizované včetně jejich délky a nákladů na vybudování a v druhém jsou pak polní cesty navržené a stávající taktéž s délkou ale bez nákladů na realizaci, které u těchto cest nejsou známé. Polní cesty označené jako realizované jsou takové cesty, které byly navržené v plánu společných zařízení (PSZ) a následně byly realizované. Polní cesty navržené a stávající jsou cesty, které jsou uvedeny v PSZ v pozemkové úpravě, přičemž platí, že cesty navržené jsou jen návrhy, a cesty stávající jsou polní cesty, které již existovaly v době zpracování PSZ a byly do něj zakresleny (tyto cesty jsou starší, než když byla cesta navržena v PSZ).</w:t>
      </w:r>
    </w:p>
    <w:p w14:paraId="481B216A" w14:textId="77777777" w:rsidR="00A14B9B" w:rsidRPr="002A0D4F" w:rsidRDefault="00A14B9B" w:rsidP="00DD6940">
      <w:pPr>
        <w:pStyle w:val="UZEINormaln"/>
      </w:pPr>
      <w:r w:rsidRPr="002A0D4F">
        <w:t>Cílem je vyhodnotit dostupná data k polním cestám a s ohledem na případné možnosti podpory v rámci nového období SZP.</w:t>
      </w:r>
    </w:p>
    <w:p w14:paraId="7D305096" w14:textId="77777777" w:rsidR="00A14B9B" w:rsidRPr="00DD6940" w:rsidRDefault="00A14B9B" w:rsidP="00DD6940">
      <w:pPr>
        <w:pStyle w:val="UZEINormaln"/>
        <w:rPr>
          <w:b/>
          <w:bCs/>
        </w:rPr>
      </w:pPr>
      <w:r w:rsidRPr="00DD6940">
        <w:rPr>
          <w:b/>
          <w:bCs/>
        </w:rPr>
        <w:t>Polní cesty</w:t>
      </w:r>
    </w:p>
    <w:p w14:paraId="41907E42" w14:textId="77777777" w:rsidR="00A14B9B" w:rsidRPr="002A0D4F" w:rsidRDefault="00A14B9B" w:rsidP="00DD6940">
      <w:pPr>
        <w:pStyle w:val="UZEINormaln"/>
      </w:pPr>
      <w:r w:rsidRPr="002A0D4F">
        <w:t xml:space="preserve">Podle zákon č.13/1997 o pozemních komunikacích (ve znění pozdějších předpisů) se pozemní komunikace dělí na čtyři kategorie dálnice, silnice, místní komunikace a účelové komunikace. Polní cesty spadají do kategorie účelových komunikací (stejně jako cesty lesní). Podle ČSN 73 6109 je polní cesta definována jako účelová komunikace, která slouží hlavně k zemědělské dopravě, ale může plnit i jinou dopravní funkci např. jako cyklostezka nebo turistická stezka, vždy se však jedná o komunikaci směrově nerozdělenou zpevněnou či nezpevněnou. Jako polní cesty jsou kromě cest mezi poli označovány i jiné cesty ve volné krajině. Účelem polních cest je zpřístupnění pozemků jejich vlastníkům pro účely zemědělské výroby a dopravy a jejich napojení na stávající síť pozemních komunikací, ale i zpřístupnění krajiny a propojení důležitých bodů ve volné krajině s ohledem na vedení turistických tras. </w:t>
      </w:r>
    </w:p>
    <w:p w14:paraId="5F4875E1" w14:textId="77777777" w:rsidR="00A14B9B" w:rsidRPr="002A0D4F" w:rsidRDefault="00A14B9B" w:rsidP="00DD6940">
      <w:pPr>
        <w:pStyle w:val="UZEINormaln"/>
      </w:pPr>
      <w:r w:rsidRPr="002A0D4F">
        <w:t xml:space="preserve">Podle typu se polní cesty dělí do třech různých kategorií na hlavní, vedlejší a doplňkové. Hlavní polní cesty se obvykle navrhují v šířce 4 až 7 metrů jako cesty jednopruhové nebo dvoupruhové, obvykle zpevněné s celoroční sjízdností, napojené na místní komunikace nebo silnice. Vedlejší polní cesty se obvykle napojují na hlavní polní cesty, ale mohou být napojeny </w:t>
      </w:r>
      <w:r w:rsidRPr="002A0D4F">
        <w:lastRenderedPageBreak/>
        <w:t xml:space="preserve">i na místní komunikace. Oproti hlavním polním cestám jsou užší, převážné jednopruhové a jejich navrhovaná šířka je mezi 3,5 až 4,5 metry. U doplňkových cest se šířka zpravidla pohybuje mezi 3 až 3,5 metry, jedná se o jednopruhové, nezpevněné cesty, které nemusí být celoročně sjízdné.  Polní cesty lze dále dělit podle povrchu, který byl použit při jejich výstavbě. </w:t>
      </w:r>
    </w:p>
    <w:p w14:paraId="7DDB694E" w14:textId="77777777" w:rsidR="00A14B9B" w:rsidRPr="00DD6940" w:rsidRDefault="00A14B9B" w:rsidP="00DD6940">
      <w:pPr>
        <w:pStyle w:val="UZEINormaln"/>
        <w:rPr>
          <w:b/>
          <w:bCs/>
        </w:rPr>
      </w:pPr>
      <w:r w:rsidRPr="00DD6940">
        <w:rPr>
          <w:b/>
          <w:bCs/>
        </w:rPr>
        <w:t>Polní cesty realizované</w:t>
      </w:r>
    </w:p>
    <w:p w14:paraId="6563D10A" w14:textId="55EA2963" w:rsidR="00A14B9B" w:rsidRPr="002A0D4F" w:rsidRDefault="00A14B9B" w:rsidP="00DD6940">
      <w:pPr>
        <w:pStyle w:val="UZEINormaln"/>
        <w:rPr>
          <w:iCs/>
        </w:rPr>
      </w:pPr>
      <w:r w:rsidRPr="002A0D4F">
        <w:t>Z poskytnutých dat byly vyčísleny počty a délky cesty, které byly realizované v období let 1994–2020.  Celkem se jedná o 4449 cest v délce 3 126 kilometrů</w:t>
      </w:r>
      <w:r w:rsidRPr="002A0D4F">
        <w:rPr>
          <w:rStyle w:val="Znakapoznpodarou"/>
        </w:rPr>
        <w:footnoteReference w:id="30"/>
      </w:r>
      <w:r w:rsidRPr="002A0D4F">
        <w:t>.  U cest realizovaných jsou známé i náklady na jejich výstavbu. V </w:t>
      </w:r>
      <w:r w:rsidR="00DD6940">
        <w:fldChar w:fldCharType="begin"/>
      </w:r>
      <w:r w:rsidR="00DD6940">
        <w:instrText xml:space="preserve"> REF _Ref81776283 \r \h </w:instrText>
      </w:r>
      <w:r w:rsidR="00DD6940">
        <w:fldChar w:fldCharType="separate"/>
      </w:r>
      <w:r w:rsidR="00DD6940">
        <w:t>Tabulka 57</w:t>
      </w:r>
      <w:r w:rsidR="00DD6940">
        <w:fldChar w:fldCharType="end"/>
      </w:r>
      <w:r w:rsidR="00DD6940">
        <w:t xml:space="preserve"> </w:t>
      </w:r>
      <w:r w:rsidRPr="002A0D4F">
        <w:t>jsou</w:t>
      </w:r>
      <w:r w:rsidRPr="002A0D4F">
        <w:rPr>
          <w:i/>
          <w:iCs/>
          <w:sz w:val="18"/>
          <w:szCs w:val="18"/>
        </w:rPr>
        <w:t xml:space="preserve"> </w:t>
      </w:r>
      <w:r w:rsidRPr="002A0D4F">
        <w:t>vyčísleny počty, náklady a délky realizovaných cest na území jednotlivých krajů. Z dostupných dat vyplývá, že nejvíce cest bylo v uvedeném období realizováno v Jihočeském kraji, naopak nejméně (bez ohledu na hlavní město Praha) tomu bylo v kraji Moravskoslezském.</w:t>
      </w:r>
    </w:p>
    <w:p w14:paraId="5E42F16D" w14:textId="104BBECA" w:rsidR="00A14B9B" w:rsidRPr="00DD6940" w:rsidRDefault="00DD6940" w:rsidP="00DD6940">
      <w:pPr>
        <w:pStyle w:val="UZEITaB"/>
        <w:rPr>
          <w:rFonts w:eastAsiaTheme="minorEastAsia"/>
        </w:rPr>
      </w:pPr>
      <w:bookmarkStart w:id="956" w:name="_Toc25920050"/>
      <w:r w:rsidRPr="00DD6940">
        <w:rPr>
          <w:rFonts w:eastAsiaTheme="minorEastAsia"/>
        </w:rPr>
        <w:t xml:space="preserve"> </w:t>
      </w:r>
      <w:bookmarkStart w:id="957" w:name="_Ref81776283"/>
      <w:bookmarkStart w:id="958" w:name="_Toc81815373"/>
      <w:bookmarkStart w:id="959" w:name="_Toc81817051"/>
      <w:bookmarkStart w:id="960" w:name="_Toc81817564"/>
      <w:r w:rsidR="00A14B9B" w:rsidRPr="00DD6940">
        <w:rPr>
          <w:rFonts w:eastAsiaTheme="minorEastAsia"/>
        </w:rPr>
        <w:t>Realizované polní cesty v jednotlivých krajích</w:t>
      </w:r>
      <w:bookmarkEnd w:id="956"/>
      <w:bookmarkEnd w:id="957"/>
      <w:bookmarkEnd w:id="958"/>
      <w:bookmarkEnd w:id="959"/>
      <w:bookmarkEnd w:id="960"/>
    </w:p>
    <w:tbl>
      <w:tblPr>
        <w:tblStyle w:val="Mkatabulky"/>
        <w:tblW w:w="5000" w:type="pct"/>
        <w:tblLook w:val="04A0" w:firstRow="1" w:lastRow="0" w:firstColumn="1" w:lastColumn="0" w:noHBand="0" w:noVBand="1"/>
      </w:tblPr>
      <w:tblGrid>
        <w:gridCol w:w="2254"/>
        <w:gridCol w:w="2254"/>
        <w:gridCol w:w="2254"/>
        <w:gridCol w:w="2254"/>
      </w:tblGrid>
      <w:tr w:rsidR="00A14B9B" w:rsidRPr="002A0D4F" w14:paraId="4763025A" w14:textId="77777777" w:rsidTr="00DB1D1D">
        <w:trPr>
          <w:trHeight w:val="270"/>
        </w:trPr>
        <w:tc>
          <w:tcPr>
            <w:tcW w:w="1250" w:type="pct"/>
            <w:noWrap/>
            <w:hideMark/>
          </w:tcPr>
          <w:p w14:paraId="4934CEF2" w14:textId="77777777" w:rsidR="00A14B9B" w:rsidRPr="002A0D4F" w:rsidRDefault="00A14B9B" w:rsidP="00DB1D1D">
            <w:pPr>
              <w:jc w:val="center"/>
              <w:rPr>
                <w:rFonts w:cstheme="minorHAnsi"/>
                <w:b/>
                <w:bCs/>
                <w:sz w:val="20"/>
                <w:szCs w:val="20"/>
              </w:rPr>
            </w:pPr>
            <w:r w:rsidRPr="002A0D4F">
              <w:rPr>
                <w:rFonts w:cstheme="minorHAnsi"/>
                <w:b/>
                <w:bCs/>
                <w:sz w:val="20"/>
                <w:szCs w:val="20"/>
              </w:rPr>
              <w:t>Název kraje</w:t>
            </w:r>
          </w:p>
        </w:tc>
        <w:tc>
          <w:tcPr>
            <w:tcW w:w="1250" w:type="pct"/>
            <w:noWrap/>
            <w:hideMark/>
          </w:tcPr>
          <w:p w14:paraId="09F3E66B" w14:textId="77777777" w:rsidR="00A14B9B" w:rsidRPr="002A0D4F" w:rsidRDefault="00A14B9B" w:rsidP="00DB1D1D">
            <w:pPr>
              <w:jc w:val="center"/>
              <w:rPr>
                <w:rFonts w:cstheme="minorHAnsi"/>
                <w:b/>
                <w:bCs/>
                <w:sz w:val="20"/>
                <w:szCs w:val="20"/>
              </w:rPr>
            </w:pPr>
            <w:r w:rsidRPr="002A0D4F">
              <w:rPr>
                <w:rFonts w:cstheme="minorHAnsi"/>
                <w:b/>
                <w:bCs/>
                <w:sz w:val="20"/>
                <w:szCs w:val="20"/>
              </w:rPr>
              <w:t>Počet</w:t>
            </w:r>
          </w:p>
        </w:tc>
        <w:tc>
          <w:tcPr>
            <w:tcW w:w="1250" w:type="pct"/>
            <w:noWrap/>
            <w:hideMark/>
          </w:tcPr>
          <w:p w14:paraId="6CDB5BCD" w14:textId="77777777" w:rsidR="00A14B9B" w:rsidRPr="002A0D4F" w:rsidRDefault="00A14B9B" w:rsidP="00DB1D1D">
            <w:pPr>
              <w:jc w:val="center"/>
              <w:rPr>
                <w:rFonts w:cstheme="minorHAnsi"/>
                <w:b/>
                <w:bCs/>
                <w:sz w:val="20"/>
                <w:szCs w:val="20"/>
              </w:rPr>
            </w:pPr>
            <w:r w:rsidRPr="002A0D4F">
              <w:rPr>
                <w:rFonts w:cstheme="minorHAnsi"/>
                <w:b/>
                <w:bCs/>
                <w:sz w:val="20"/>
                <w:szCs w:val="20"/>
              </w:rPr>
              <w:t>Náklady (mil.)</w:t>
            </w:r>
          </w:p>
        </w:tc>
        <w:tc>
          <w:tcPr>
            <w:tcW w:w="1250" w:type="pct"/>
            <w:noWrap/>
            <w:hideMark/>
          </w:tcPr>
          <w:p w14:paraId="365DCBDF" w14:textId="77777777" w:rsidR="00A14B9B" w:rsidRPr="002A0D4F" w:rsidRDefault="00A14B9B" w:rsidP="00DB1D1D">
            <w:pPr>
              <w:jc w:val="center"/>
              <w:rPr>
                <w:rFonts w:cstheme="minorHAnsi"/>
                <w:b/>
                <w:bCs/>
                <w:sz w:val="20"/>
                <w:szCs w:val="20"/>
              </w:rPr>
            </w:pPr>
            <w:r w:rsidRPr="002A0D4F">
              <w:rPr>
                <w:rFonts w:cstheme="minorHAnsi"/>
                <w:b/>
                <w:bCs/>
                <w:sz w:val="20"/>
                <w:szCs w:val="20"/>
              </w:rPr>
              <w:t>Délka cest (km)*</w:t>
            </w:r>
          </w:p>
        </w:tc>
      </w:tr>
      <w:tr w:rsidR="00A14B9B" w:rsidRPr="002A0D4F" w14:paraId="7B096F28" w14:textId="77777777" w:rsidTr="00DB1D1D">
        <w:trPr>
          <w:trHeight w:val="270"/>
        </w:trPr>
        <w:tc>
          <w:tcPr>
            <w:tcW w:w="1250" w:type="pct"/>
            <w:hideMark/>
          </w:tcPr>
          <w:p w14:paraId="3C5E1674" w14:textId="77777777" w:rsidR="00A14B9B" w:rsidRPr="002A0D4F" w:rsidRDefault="00A14B9B" w:rsidP="00DB1D1D">
            <w:pPr>
              <w:rPr>
                <w:rFonts w:cstheme="minorHAnsi"/>
                <w:sz w:val="20"/>
                <w:szCs w:val="20"/>
              </w:rPr>
            </w:pPr>
            <w:r w:rsidRPr="002A0D4F">
              <w:rPr>
                <w:rFonts w:cstheme="minorHAnsi"/>
                <w:sz w:val="20"/>
                <w:szCs w:val="20"/>
              </w:rPr>
              <w:t>Hlavní město Praha</w:t>
            </w:r>
          </w:p>
        </w:tc>
        <w:tc>
          <w:tcPr>
            <w:tcW w:w="1250" w:type="pct"/>
            <w:hideMark/>
          </w:tcPr>
          <w:p w14:paraId="00903F3B" w14:textId="77777777" w:rsidR="00A14B9B" w:rsidRPr="002A0D4F" w:rsidRDefault="00A14B9B" w:rsidP="00DB1D1D">
            <w:pPr>
              <w:jc w:val="right"/>
              <w:rPr>
                <w:rFonts w:cstheme="minorHAnsi"/>
                <w:sz w:val="20"/>
                <w:szCs w:val="20"/>
              </w:rPr>
            </w:pPr>
            <w:r w:rsidRPr="002A0D4F">
              <w:rPr>
                <w:rFonts w:cstheme="minorHAnsi"/>
                <w:sz w:val="20"/>
                <w:szCs w:val="20"/>
              </w:rPr>
              <w:t>8</w:t>
            </w:r>
          </w:p>
        </w:tc>
        <w:tc>
          <w:tcPr>
            <w:tcW w:w="1250" w:type="pct"/>
            <w:noWrap/>
            <w:hideMark/>
          </w:tcPr>
          <w:p w14:paraId="38D65ACE" w14:textId="77777777" w:rsidR="00A14B9B" w:rsidRPr="002A0D4F" w:rsidRDefault="00A14B9B" w:rsidP="00DB1D1D">
            <w:pPr>
              <w:jc w:val="right"/>
              <w:rPr>
                <w:rFonts w:cstheme="minorHAnsi"/>
                <w:sz w:val="20"/>
                <w:szCs w:val="20"/>
              </w:rPr>
            </w:pPr>
            <w:r w:rsidRPr="002A0D4F">
              <w:rPr>
                <w:rFonts w:cstheme="minorHAnsi"/>
                <w:sz w:val="20"/>
                <w:szCs w:val="20"/>
              </w:rPr>
              <w:t>28</w:t>
            </w:r>
          </w:p>
        </w:tc>
        <w:tc>
          <w:tcPr>
            <w:tcW w:w="1250" w:type="pct"/>
            <w:noWrap/>
            <w:hideMark/>
          </w:tcPr>
          <w:p w14:paraId="1266564C" w14:textId="77777777" w:rsidR="00A14B9B" w:rsidRPr="002A0D4F" w:rsidRDefault="00A14B9B" w:rsidP="00DB1D1D">
            <w:pPr>
              <w:jc w:val="right"/>
              <w:rPr>
                <w:rFonts w:cstheme="minorHAnsi"/>
                <w:sz w:val="20"/>
                <w:szCs w:val="20"/>
              </w:rPr>
            </w:pPr>
            <w:r w:rsidRPr="002A0D4F">
              <w:rPr>
                <w:rFonts w:cstheme="minorHAnsi"/>
                <w:sz w:val="20"/>
                <w:szCs w:val="20"/>
              </w:rPr>
              <w:t>5</w:t>
            </w:r>
          </w:p>
        </w:tc>
      </w:tr>
      <w:tr w:rsidR="00A14B9B" w:rsidRPr="002A0D4F" w14:paraId="7C0B7637" w14:textId="77777777" w:rsidTr="00DB1D1D">
        <w:trPr>
          <w:trHeight w:val="270"/>
        </w:trPr>
        <w:tc>
          <w:tcPr>
            <w:tcW w:w="1250" w:type="pct"/>
            <w:hideMark/>
          </w:tcPr>
          <w:p w14:paraId="33FA51A9" w14:textId="77777777" w:rsidR="00A14B9B" w:rsidRPr="002A0D4F" w:rsidRDefault="00A14B9B" w:rsidP="00DB1D1D">
            <w:pPr>
              <w:rPr>
                <w:rFonts w:cstheme="minorHAnsi"/>
                <w:sz w:val="20"/>
                <w:szCs w:val="20"/>
              </w:rPr>
            </w:pPr>
            <w:r w:rsidRPr="002A0D4F">
              <w:rPr>
                <w:rFonts w:cstheme="minorHAnsi"/>
                <w:sz w:val="20"/>
                <w:szCs w:val="20"/>
              </w:rPr>
              <w:t>Jihočeský kraj</w:t>
            </w:r>
          </w:p>
        </w:tc>
        <w:tc>
          <w:tcPr>
            <w:tcW w:w="1250" w:type="pct"/>
            <w:hideMark/>
          </w:tcPr>
          <w:p w14:paraId="251B8B40" w14:textId="77777777" w:rsidR="00A14B9B" w:rsidRPr="002A0D4F" w:rsidRDefault="00A14B9B" w:rsidP="00DB1D1D">
            <w:pPr>
              <w:jc w:val="right"/>
              <w:rPr>
                <w:rFonts w:cstheme="minorHAnsi"/>
                <w:sz w:val="20"/>
                <w:szCs w:val="20"/>
              </w:rPr>
            </w:pPr>
            <w:r w:rsidRPr="002A0D4F">
              <w:rPr>
                <w:rFonts w:cstheme="minorHAnsi"/>
                <w:sz w:val="20"/>
                <w:szCs w:val="20"/>
              </w:rPr>
              <w:t>840</w:t>
            </w:r>
          </w:p>
        </w:tc>
        <w:tc>
          <w:tcPr>
            <w:tcW w:w="1250" w:type="pct"/>
            <w:noWrap/>
            <w:hideMark/>
          </w:tcPr>
          <w:p w14:paraId="2CB9DB56" w14:textId="77777777" w:rsidR="00A14B9B" w:rsidRPr="002A0D4F" w:rsidRDefault="00A14B9B" w:rsidP="00DB1D1D">
            <w:pPr>
              <w:jc w:val="right"/>
              <w:rPr>
                <w:rFonts w:cstheme="minorHAnsi"/>
                <w:sz w:val="20"/>
                <w:szCs w:val="20"/>
              </w:rPr>
            </w:pPr>
            <w:r w:rsidRPr="002A0D4F">
              <w:rPr>
                <w:rFonts w:cstheme="minorHAnsi"/>
                <w:sz w:val="20"/>
                <w:szCs w:val="20"/>
              </w:rPr>
              <w:t>2 498</w:t>
            </w:r>
          </w:p>
        </w:tc>
        <w:tc>
          <w:tcPr>
            <w:tcW w:w="1250" w:type="pct"/>
            <w:noWrap/>
            <w:hideMark/>
          </w:tcPr>
          <w:p w14:paraId="712037D9" w14:textId="77777777" w:rsidR="00A14B9B" w:rsidRPr="002A0D4F" w:rsidRDefault="00A14B9B" w:rsidP="00DB1D1D">
            <w:pPr>
              <w:jc w:val="right"/>
              <w:rPr>
                <w:rFonts w:cstheme="minorHAnsi"/>
                <w:sz w:val="20"/>
                <w:szCs w:val="20"/>
              </w:rPr>
            </w:pPr>
            <w:r w:rsidRPr="002A0D4F">
              <w:rPr>
                <w:rFonts w:cstheme="minorHAnsi"/>
                <w:sz w:val="20"/>
                <w:szCs w:val="20"/>
              </w:rPr>
              <w:t>535</w:t>
            </w:r>
          </w:p>
        </w:tc>
      </w:tr>
      <w:tr w:rsidR="00A14B9B" w:rsidRPr="002A0D4F" w14:paraId="6C23EC89" w14:textId="77777777" w:rsidTr="00DB1D1D">
        <w:trPr>
          <w:trHeight w:val="270"/>
        </w:trPr>
        <w:tc>
          <w:tcPr>
            <w:tcW w:w="1250" w:type="pct"/>
            <w:hideMark/>
          </w:tcPr>
          <w:p w14:paraId="5EC31BE2" w14:textId="77777777" w:rsidR="00A14B9B" w:rsidRPr="002A0D4F" w:rsidRDefault="00A14B9B" w:rsidP="00DB1D1D">
            <w:pPr>
              <w:rPr>
                <w:rFonts w:cstheme="minorHAnsi"/>
                <w:sz w:val="20"/>
                <w:szCs w:val="20"/>
              </w:rPr>
            </w:pPr>
            <w:r w:rsidRPr="002A0D4F">
              <w:rPr>
                <w:rFonts w:cstheme="minorHAnsi"/>
                <w:sz w:val="20"/>
                <w:szCs w:val="20"/>
              </w:rPr>
              <w:t>Jihomoravský kraj</w:t>
            </w:r>
          </w:p>
        </w:tc>
        <w:tc>
          <w:tcPr>
            <w:tcW w:w="1250" w:type="pct"/>
            <w:hideMark/>
          </w:tcPr>
          <w:p w14:paraId="7E118956" w14:textId="77777777" w:rsidR="00A14B9B" w:rsidRPr="002A0D4F" w:rsidRDefault="00A14B9B" w:rsidP="00DB1D1D">
            <w:pPr>
              <w:jc w:val="right"/>
              <w:rPr>
                <w:rFonts w:cstheme="minorHAnsi"/>
                <w:sz w:val="20"/>
                <w:szCs w:val="20"/>
              </w:rPr>
            </w:pPr>
            <w:r w:rsidRPr="002A0D4F">
              <w:rPr>
                <w:rFonts w:cstheme="minorHAnsi"/>
                <w:sz w:val="20"/>
                <w:szCs w:val="20"/>
              </w:rPr>
              <w:t>406</w:t>
            </w:r>
          </w:p>
        </w:tc>
        <w:tc>
          <w:tcPr>
            <w:tcW w:w="1250" w:type="pct"/>
            <w:noWrap/>
            <w:hideMark/>
          </w:tcPr>
          <w:p w14:paraId="01CE9917" w14:textId="77777777" w:rsidR="00A14B9B" w:rsidRPr="002A0D4F" w:rsidRDefault="00A14B9B" w:rsidP="00DB1D1D">
            <w:pPr>
              <w:jc w:val="right"/>
              <w:rPr>
                <w:rFonts w:cstheme="minorHAnsi"/>
                <w:sz w:val="20"/>
                <w:szCs w:val="20"/>
              </w:rPr>
            </w:pPr>
            <w:r w:rsidRPr="002A0D4F">
              <w:rPr>
                <w:rFonts w:cstheme="minorHAnsi"/>
                <w:sz w:val="20"/>
                <w:szCs w:val="20"/>
              </w:rPr>
              <w:t>1 213</w:t>
            </w:r>
          </w:p>
        </w:tc>
        <w:tc>
          <w:tcPr>
            <w:tcW w:w="1250" w:type="pct"/>
            <w:noWrap/>
            <w:hideMark/>
          </w:tcPr>
          <w:p w14:paraId="6DD3A9BF" w14:textId="77777777" w:rsidR="00A14B9B" w:rsidRPr="002A0D4F" w:rsidRDefault="00A14B9B" w:rsidP="00DB1D1D">
            <w:pPr>
              <w:jc w:val="right"/>
              <w:rPr>
                <w:rFonts w:cstheme="minorHAnsi"/>
                <w:sz w:val="20"/>
                <w:szCs w:val="20"/>
              </w:rPr>
            </w:pPr>
            <w:r w:rsidRPr="002A0D4F">
              <w:rPr>
                <w:rFonts w:cstheme="minorHAnsi"/>
                <w:sz w:val="20"/>
                <w:szCs w:val="20"/>
              </w:rPr>
              <w:t>284</w:t>
            </w:r>
          </w:p>
        </w:tc>
      </w:tr>
      <w:tr w:rsidR="00A14B9B" w:rsidRPr="002A0D4F" w14:paraId="184AA1C3" w14:textId="77777777" w:rsidTr="00DB1D1D">
        <w:trPr>
          <w:trHeight w:val="270"/>
        </w:trPr>
        <w:tc>
          <w:tcPr>
            <w:tcW w:w="1250" w:type="pct"/>
            <w:hideMark/>
          </w:tcPr>
          <w:p w14:paraId="3936471F" w14:textId="77777777" w:rsidR="00A14B9B" w:rsidRPr="002A0D4F" w:rsidRDefault="00A14B9B" w:rsidP="00DB1D1D">
            <w:pPr>
              <w:rPr>
                <w:rFonts w:cstheme="minorHAnsi"/>
                <w:sz w:val="20"/>
                <w:szCs w:val="20"/>
              </w:rPr>
            </w:pPr>
            <w:r w:rsidRPr="002A0D4F">
              <w:rPr>
                <w:rFonts w:cstheme="minorHAnsi"/>
                <w:sz w:val="20"/>
                <w:szCs w:val="20"/>
              </w:rPr>
              <w:t>Karlovarský kraj</w:t>
            </w:r>
          </w:p>
        </w:tc>
        <w:tc>
          <w:tcPr>
            <w:tcW w:w="1250" w:type="pct"/>
            <w:hideMark/>
          </w:tcPr>
          <w:p w14:paraId="725333C5" w14:textId="77777777" w:rsidR="00A14B9B" w:rsidRPr="002A0D4F" w:rsidRDefault="00A14B9B" w:rsidP="00DB1D1D">
            <w:pPr>
              <w:jc w:val="right"/>
              <w:rPr>
                <w:rFonts w:cstheme="minorHAnsi"/>
                <w:sz w:val="20"/>
                <w:szCs w:val="20"/>
              </w:rPr>
            </w:pPr>
            <w:r w:rsidRPr="002A0D4F">
              <w:rPr>
                <w:rFonts w:cstheme="minorHAnsi"/>
                <w:sz w:val="20"/>
                <w:szCs w:val="20"/>
              </w:rPr>
              <w:t>159</w:t>
            </w:r>
          </w:p>
        </w:tc>
        <w:tc>
          <w:tcPr>
            <w:tcW w:w="1250" w:type="pct"/>
            <w:noWrap/>
            <w:hideMark/>
          </w:tcPr>
          <w:p w14:paraId="7CF5FFA7" w14:textId="77777777" w:rsidR="00A14B9B" w:rsidRPr="002A0D4F" w:rsidRDefault="00A14B9B" w:rsidP="00DB1D1D">
            <w:pPr>
              <w:jc w:val="right"/>
              <w:rPr>
                <w:rFonts w:cstheme="minorHAnsi"/>
                <w:sz w:val="20"/>
                <w:szCs w:val="20"/>
              </w:rPr>
            </w:pPr>
            <w:r w:rsidRPr="002A0D4F">
              <w:rPr>
                <w:rFonts w:cstheme="minorHAnsi"/>
                <w:sz w:val="20"/>
                <w:szCs w:val="20"/>
              </w:rPr>
              <w:t>372</w:t>
            </w:r>
          </w:p>
        </w:tc>
        <w:tc>
          <w:tcPr>
            <w:tcW w:w="1250" w:type="pct"/>
            <w:noWrap/>
            <w:hideMark/>
          </w:tcPr>
          <w:p w14:paraId="045DA9E0" w14:textId="77777777" w:rsidR="00A14B9B" w:rsidRPr="002A0D4F" w:rsidRDefault="00A14B9B" w:rsidP="00DB1D1D">
            <w:pPr>
              <w:jc w:val="right"/>
              <w:rPr>
                <w:rFonts w:cstheme="minorHAnsi"/>
                <w:sz w:val="20"/>
                <w:szCs w:val="20"/>
              </w:rPr>
            </w:pPr>
            <w:r w:rsidRPr="002A0D4F">
              <w:rPr>
                <w:rFonts w:cstheme="minorHAnsi"/>
                <w:sz w:val="20"/>
                <w:szCs w:val="20"/>
              </w:rPr>
              <w:t>89</w:t>
            </w:r>
          </w:p>
        </w:tc>
      </w:tr>
      <w:tr w:rsidR="00A14B9B" w:rsidRPr="002A0D4F" w14:paraId="73B46A2B" w14:textId="77777777" w:rsidTr="00DB1D1D">
        <w:trPr>
          <w:trHeight w:val="270"/>
        </w:trPr>
        <w:tc>
          <w:tcPr>
            <w:tcW w:w="1250" w:type="pct"/>
            <w:hideMark/>
          </w:tcPr>
          <w:p w14:paraId="022C6FD7" w14:textId="77777777" w:rsidR="00A14B9B" w:rsidRPr="002A0D4F" w:rsidRDefault="00A14B9B" w:rsidP="00DB1D1D">
            <w:pPr>
              <w:rPr>
                <w:rFonts w:cstheme="minorHAnsi"/>
                <w:sz w:val="20"/>
                <w:szCs w:val="20"/>
              </w:rPr>
            </w:pPr>
            <w:r w:rsidRPr="002A0D4F">
              <w:rPr>
                <w:rFonts w:cstheme="minorHAnsi"/>
                <w:sz w:val="20"/>
                <w:szCs w:val="20"/>
              </w:rPr>
              <w:t>Kraj Vysočina</w:t>
            </w:r>
          </w:p>
        </w:tc>
        <w:tc>
          <w:tcPr>
            <w:tcW w:w="1250" w:type="pct"/>
            <w:hideMark/>
          </w:tcPr>
          <w:p w14:paraId="7DCB2ED8" w14:textId="77777777" w:rsidR="00A14B9B" w:rsidRPr="002A0D4F" w:rsidRDefault="00A14B9B" w:rsidP="00DB1D1D">
            <w:pPr>
              <w:jc w:val="right"/>
              <w:rPr>
                <w:rFonts w:cstheme="minorHAnsi"/>
                <w:sz w:val="20"/>
                <w:szCs w:val="20"/>
              </w:rPr>
            </w:pPr>
            <w:r w:rsidRPr="002A0D4F">
              <w:rPr>
                <w:rFonts w:cstheme="minorHAnsi"/>
                <w:sz w:val="20"/>
                <w:szCs w:val="20"/>
              </w:rPr>
              <w:t>371</w:t>
            </w:r>
          </w:p>
        </w:tc>
        <w:tc>
          <w:tcPr>
            <w:tcW w:w="1250" w:type="pct"/>
            <w:noWrap/>
            <w:hideMark/>
          </w:tcPr>
          <w:p w14:paraId="76D106F5" w14:textId="77777777" w:rsidR="00A14B9B" w:rsidRPr="002A0D4F" w:rsidRDefault="00A14B9B" w:rsidP="00DB1D1D">
            <w:pPr>
              <w:jc w:val="right"/>
              <w:rPr>
                <w:rFonts w:cstheme="minorHAnsi"/>
                <w:sz w:val="20"/>
                <w:szCs w:val="20"/>
              </w:rPr>
            </w:pPr>
            <w:r w:rsidRPr="002A0D4F">
              <w:rPr>
                <w:rFonts w:cstheme="minorHAnsi"/>
                <w:sz w:val="20"/>
                <w:szCs w:val="20"/>
              </w:rPr>
              <w:t>1 316</w:t>
            </w:r>
          </w:p>
        </w:tc>
        <w:tc>
          <w:tcPr>
            <w:tcW w:w="1250" w:type="pct"/>
            <w:noWrap/>
            <w:hideMark/>
          </w:tcPr>
          <w:p w14:paraId="4C04EAE6" w14:textId="77777777" w:rsidR="00A14B9B" w:rsidRPr="002A0D4F" w:rsidRDefault="00A14B9B" w:rsidP="00DB1D1D">
            <w:pPr>
              <w:jc w:val="right"/>
              <w:rPr>
                <w:rFonts w:cstheme="minorHAnsi"/>
                <w:sz w:val="20"/>
                <w:szCs w:val="20"/>
              </w:rPr>
            </w:pPr>
            <w:r w:rsidRPr="002A0D4F">
              <w:rPr>
                <w:rFonts w:cstheme="minorHAnsi"/>
                <w:sz w:val="20"/>
                <w:szCs w:val="20"/>
              </w:rPr>
              <w:t>285</w:t>
            </w:r>
          </w:p>
        </w:tc>
      </w:tr>
      <w:tr w:rsidR="00A14B9B" w:rsidRPr="002A0D4F" w14:paraId="2A82B33C" w14:textId="77777777" w:rsidTr="00DB1D1D">
        <w:trPr>
          <w:trHeight w:val="270"/>
        </w:trPr>
        <w:tc>
          <w:tcPr>
            <w:tcW w:w="1250" w:type="pct"/>
            <w:hideMark/>
          </w:tcPr>
          <w:p w14:paraId="6B59F40C" w14:textId="77777777" w:rsidR="00A14B9B" w:rsidRPr="002A0D4F" w:rsidRDefault="00A14B9B" w:rsidP="00DB1D1D">
            <w:pPr>
              <w:rPr>
                <w:rFonts w:cstheme="minorHAnsi"/>
                <w:sz w:val="20"/>
                <w:szCs w:val="20"/>
              </w:rPr>
            </w:pPr>
            <w:r w:rsidRPr="002A0D4F">
              <w:rPr>
                <w:rFonts w:cstheme="minorHAnsi"/>
                <w:sz w:val="20"/>
                <w:szCs w:val="20"/>
              </w:rPr>
              <w:t>Královéhradecký kraj</w:t>
            </w:r>
          </w:p>
        </w:tc>
        <w:tc>
          <w:tcPr>
            <w:tcW w:w="1250" w:type="pct"/>
            <w:hideMark/>
          </w:tcPr>
          <w:p w14:paraId="74F45715" w14:textId="77777777" w:rsidR="00A14B9B" w:rsidRPr="002A0D4F" w:rsidRDefault="00A14B9B" w:rsidP="00DB1D1D">
            <w:pPr>
              <w:jc w:val="right"/>
              <w:rPr>
                <w:rFonts w:cstheme="minorHAnsi"/>
                <w:sz w:val="20"/>
                <w:szCs w:val="20"/>
              </w:rPr>
            </w:pPr>
            <w:r w:rsidRPr="002A0D4F">
              <w:rPr>
                <w:rFonts w:cstheme="minorHAnsi"/>
                <w:sz w:val="20"/>
                <w:szCs w:val="20"/>
              </w:rPr>
              <w:t>403</w:t>
            </w:r>
          </w:p>
        </w:tc>
        <w:tc>
          <w:tcPr>
            <w:tcW w:w="1250" w:type="pct"/>
            <w:noWrap/>
            <w:hideMark/>
          </w:tcPr>
          <w:p w14:paraId="5CBDC207" w14:textId="77777777" w:rsidR="00A14B9B" w:rsidRPr="002A0D4F" w:rsidRDefault="00A14B9B" w:rsidP="00DB1D1D">
            <w:pPr>
              <w:jc w:val="right"/>
              <w:rPr>
                <w:rFonts w:cstheme="minorHAnsi"/>
                <w:sz w:val="20"/>
                <w:szCs w:val="20"/>
              </w:rPr>
            </w:pPr>
            <w:r w:rsidRPr="002A0D4F">
              <w:rPr>
                <w:rFonts w:cstheme="minorHAnsi"/>
                <w:sz w:val="20"/>
                <w:szCs w:val="20"/>
              </w:rPr>
              <w:t>1 061</w:t>
            </w:r>
          </w:p>
        </w:tc>
        <w:tc>
          <w:tcPr>
            <w:tcW w:w="1250" w:type="pct"/>
            <w:noWrap/>
            <w:hideMark/>
          </w:tcPr>
          <w:p w14:paraId="76C97B0E" w14:textId="77777777" w:rsidR="00A14B9B" w:rsidRPr="002A0D4F" w:rsidRDefault="00A14B9B" w:rsidP="00DB1D1D">
            <w:pPr>
              <w:jc w:val="right"/>
              <w:rPr>
                <w:rFonts w:cstheme="minorHAnsi"/>
                <w:sz w:val="20"/>
                <w:szCs w:val="20"/>
              </w:rPr>
            </w:pPr>
            <w:r w:rsidRPr="002A0D4F">
              <w:rPr>
                <w:rFonts w:cstheme="minorHAnsi"/>
                <w:sz w:val="20"/>
                <w:szCs w:val="20"/>
              </w:rPr>
              <w:t>285</w:t>
            </w:r>
          </w:p>
        </w:tc>
      </w:tr>
      <w:tr w:rsidR="00A14B9B" w:rsidRPr="002A0D4F" w14:paraId="2160CB53" w14:textId="77777777" w:rsidTr="00DB1D1D">
        <w:trPr>
          <w:trHeight w:val="270"/>
        </w:trPr>
        <w:tc>
          <w:tcPr>
            <w:tcW w:w="1250" w:type="pct"/>
            <w:hideMark/>
          </w:tcPr>
          <w:p w14:paraId="7322D50B" w14:textId="77777777" w:rsidR="00A14B9B" w:rsidRPr="002A0D4F" w:rsidRDefault="00A14B9B" w:rsidP="00DB1D1D">
            <w:pPr>
              <w:rPr>
                <w:rFonts w:cstheme="minorHAnsi"/>
                <w:sz w:val="20"/>
                <w:szCs w:val="20"/>
              </w:rPr>
            </w:pPr>
            <w:r w:rsidRPr="002A0D4F">
              <w:rPr>
                <w:rFonts w:cstheme="minorHAnsi"/>
                <w:sz w:val="20"/>
                <w:szCs w:val="20"/>
              </w:rPr>
              <w:t>Liberecký kraj</w:t>
            </w:r>
          </w:p>
        </w:tc>
        <w:tc>
          <w:tcPr>
            <w:tcW w:w="1250" w:type="pct"/>
            <w:hideMark/>
          </w:tcPr>
          <w:p w14:paraId="1A53F571" w14:textId="77777777" w:rsidR="00A14B9B" w:rsidRPr="002A0D4F" w:rsidRDefault="00A14B9B" w:rsidP="00DB1D1D">
            <w:pPr>
              <w:jc w:val="right"/>
              <w:rPr>
                <w:rFonts w:cstheme="minorHAnsi"/>
                <w:sz w:val="20"/>
                <w:szCs w:val="20"/>
              </w:rPr>
            </w:pPr>
            <w:r w:rsidRPr="002A0D4F">
              <w:rPr>
                <w:rFonts w:cstheme="minorHAnsi"/>
                <w:sz w:val="20"/>
                <w:szCs w:val="20"/>
              </w:rPr>
              <w:t>139</w:t>
            </w:r>
          </w:p>
        </w:tc>
        <w:tc>
          <w:tcPr>
            <w:tcW w:w="1250" w:type="pct"/>
            <w:noWrap/>
            <w:hideMark/>
          </w:tcPr>
          <w:p w14:paraId="21FBC000" w14:textId="77777777" w:rsidR="00A14B9B" w:rsidRPr="002A0D4F" w:rsidRDefault="00A14B9B" w:rsidP="00DB1D1D">
            <w:pPr>
              <w:jc w:val="right"/>
              <w:rPr>
                <w:rFonts w:cstheme="minorHAnsi"/>
                <w:sz w:val="20"/>
                <w:szCs w:val="20"/>
              </w:rPr>
            </w:pPr>
            <w:r w:rsidRPr="002A0D4F">
              <w:rPr>
                <w:rFonts w:cstheme="minorHAnsi"/>
                <w:sz w:val="20"/>
                <w:szCs w:val="20"/>
              </w:rPr>
              <w:t>284</w:t>
            </w:r>
          </w:p>
        </w:tc>
        <w:tc>
          <w:tcPr>
            <w:tcW w:w="1250" w:type="pct"/>
            <w:noWrap/>
            <w:hideMark/>
          </w:tcPr>
          <w:p w14:paraId="52019292" w14:textId="77777777" w:rsidR="00A14B9B" w:rsidRPr="002A0D4F" w:rsidRDefault="00A14B9B" w:rsidP="00DB1D1D">
            <w:pPr>
              <w:jc w:val="right"/>
              <w:rPr>
                <w:rFonts w:cstheme="minorHAnsi"/>
                <w:sz w:val="20"/>
                <w:szCs w:val="20"/>
              </w:rPr>
            </w:pPr>
            <w:r w:rsidRPr="002A0D4F">
              <w:rPr>
                <w:rFonts w:cstheme="minorHAnsi"/>
                <w:sz w:val="20"/>
                <w:szCs w:val="20"/>
              </w:rPr>
              <w:t>78</w:t>
            </w:r>
          </w:p>
        </w:tc>
      </w:tr>
      <w:tr w:rsidR="00A14B9B" w:rsidRPr="002A0D4F" w14:paraId="18CFEF43" w14:textId="77777777" w:rsidTr="00DB1D1D">
        <w:trPr>
          <w:trHeight w:val="270"/>
        </w:trPr>
        <w:tc>
          <w:tcPr>
            <w:tcW w:w="1250" w:type="pct"/>
            <w:hideMark/>
          </w:tcPr>
          <w:p w14:paraId="1964F24A" w14:textId="77777777" w:rsidR="00A14B9B" w:rsidRPr="002A0D4F" w:rsidRDefault="00A14B9B" w:rsidP="00DB1D1D">
            <w:pPr>
              <w:rPr>
                <w:rFonts w:cstheme="minorHAnsi"/>
                <w:sz w:val="20"/>
                <w:szCs w:val="20"/>
              </w:rPr>
            </w:pPr>
            <w:r w:rsidRPr="002A0D4F">
              <w:rPr>
                <w:rFonts w:cstheme="minorHAnsi"/>
                <w:sz w:val="20"/>
                <w:szCs w:val="20"/>
              </w:rPr>
              <w:t>Moravskoslezský kraj</w:t>
            </w:r>
          </w:p>
        </w:tc>
        <w:tc>
          <w:tcPr>
            <w:tcW w:w="1250" w:type="pct"/>
            <w:hideMark/>
          </w:tcPr>
          <w:p w14:paraId="50AFD121" w14:textId="77777777" w:rsidR="00A14B9B" w:rsidRPr="002A0D4F" w:rsidRDefault="00A14B9B" w:rsidP="00DB1D1D">
            <w:pPr>
              <w:jc w:val="right"/>
              <w:rPr>
                <w:rFonts w:cstheme="minorHAnsi"/>
                <w:sz w:val="20"/>
                <w:szCs w:val="20"/>
              </w:rPr>
            </w:pPr>
            <w:r w:rsidRPr="002A0D4F">
              <w:rPr>
                <w:rFonts w:cstheme="minorHAnsi"/>
                <w:sz w:val="20"/>
                <w:szCs w:val="20"/>
              </w:rPr>
              <w:t>104</w:t>
            </w:r>
          </w:p>
        </w:tc>
        <w:tc>
          <w:tcPr>
            <w:tcW w:w="1250" w:type="pct"/>
            <w:noWrap/>
            <w:hideMark/>
          </w:tcPr>
          <w:p w14:paraId="03F6CD70" w14:textId="77777777" w:rsidR="00A14B9B" w:rsidRPr="002A0D4F" w:rsidRDefault="00A14B9B" w:rsidP="00DB1D1D">
            <w:pPr>
              <w:jc w:val="right"/>
              <w:rPr>
                <w:rFonts w:cstheme="minorHAnsi"/>
                <w:sz w:val="20"/>
                <w:szCs w:val="20"/>
              </w:rPr>
            </w:pPr>
            <w:r w:rsidRPr="002A0D4F">
              <w:rPr>
                <w:rFonts w:cstheme="minorHAnsi"/>
                <w:sz w:val="20"/>
                <w:szCs w:val="20"/>
              </w:rPr>
              <w:t>273</w:t>
            </w:r>
          </w:p>
        </w:tc>
        <w:tc>
          <w:tcPr>
            <w:tcW w:w="1250" w:type="pct"/>
            <w:noWrap/>
            <w:hideMark/>
          </w:tcPr>
          <w:p w14:paraId="2E33EB20" w14:textId="77777777" w:rsidR="00A14B9B" w:rsidRPr="002A0D4F" w:rsidRDefault="00A14B9B" w:rsidP="00DB1D1D">
            <w:pPr>
              <w:jc w:val="right"/>
              <w:rPr>
                <w:rFonts w:cstheme="minorHAnsi"/>
                <w:sz w:val="20"/>
                <w:szCs w:val="20"/>
              </w:rPr>
            </w:pPr>
            <w:r w:rsidRPr="002A0D4F">
              <w:rPr>
                <w:rFonts w:cstheme="minorHAnsi"/>
                <w:sz w:val="20"/>
                <w:szCs w:val="20"/>
              </w:rPr>
              <w:t>73</w:t>
            </w:r>
          </w:p>
        </w:tc>
      </w:tr>
      <w:tr w:rsidR="00A14B9B" w:rsidRPr="002A0D4F" w14:paraId="2C9A5895" w14:textId="77777777" w:rsidTr="00DB1D1D">
        <w:trPr>
          <w:trHeight w:val="270"/>
        </w:trPr>
        <w:tc>
          <w:tcPr>
            <w:tcW w:w="1250" w:type="pct"/>
            <w:hideMark/>
          </w:tcPr>
          <w:p w14:paraId="7C1A9F80" w14:textId="77777777" w:rsidR="00A14B9B" w:rsidRPr="002A0D4F" w:rsidRDefault="00A14B9B" w:rsidP="00DB1D1D">
            <w:pPr>
              <w:rPr>
                <w:rFonts w:cstheme="minorHAnsi"/>
                <w:sz w:val="20"/>
                <w:szCs w:val="20"/>
              </w:rPr>
            </w:pPr>
            <w:r w:rsidRPr="002A0D4F">
              <w:rPr>
                <w:rFonts w:cstheme="minorHAnsi"/>
                <w:sz w:val="20"/>
                <w:szCs w:val="20"/>
              </w:rPr>
              <w:t>Olomoucký kraj</w:t>
            </w:r>
          </w:p>
        </w:tc>
        <w:tc>
          <w:tcPr>
            <w:tcW w:w="1250" w:type="pct"/>
            <w:hideMark/>
          </w:tcPr>
          <w:p w14:paraId="2465DA40" w14:textId="77777777" w:rsidR="00A14B9B" w:rsidRPr="002A0D4F" w:rsidRDefault="00A14B9B" w:rsidP="00DB1D1D">
            <w:pPr>
              <w:jc w:val="right"/>
              <w:rPr>
                <w:rFonts w:cstheme="minorHAnsi"/>
                <w:sz w:val="20"/>
                <w:szCs w:val="20"/>
              </w:rPr>
            </w:pPr>
            <w:r w:rsidRPr="002A0D4F">
              <w:rPr>
                <w:rFonts w:cstheme="minorHAnsi"/>
                <w:sz w:val="20"/>
                <w:szCs w:val="20"/>
              </w:rPr>
              <w:t>420</w:t>
            </w:r>
          </w:p>
        </w:tc>
        <w:tc>
          <w:tcPr>
            <w:tcW w:w="1250" w:type="pct"/>
            <w:noWrap/>
            <w:hideMark/>
          </w:tcPr>
          <w:p w14:paraId="7272A0B0" w14:textId="77777777" w:rsidR="00A14B9B" w:rsidRPr="002A0D4F" w:rsidRDefault="00A14B9B" w:rsidP="00DB1D1D">
            <w:pPr>
              <w:jc w:val="right"/>
              <w:rPr>
                <w:rFonts w:cstheme="minorHAnsi"/>
                <w:sz w:val="20"/>
                <w:szCs w:val="20"/>
              </w:rPr>
            </w:pPr>
            <w:r w:rsidRPr="002A0D4F">
              <w:rPr>
                <w:rFonts w:cstheme="minorHAnsi"/>
                <w:sz w:val="20"/>
                <w:szCs w:val="20"/>
              </w:rPr>
              <w:t>952</w:t>
            </w:r>
          </w:p>
        </w:tc>
        <w:tc>
          <w:tcPr>
            <w:tcW w:w="1250" w:type="pct"/>
            <w:noWrap/>
            <w:hideMark/>
          </w:tcPr>
          <w:p w14:paraId="328B7F2B" w14:textId="77777777" w:rsidR="00A14B9B" w:rsidRPr="002A0D4F" w:rsidRDefault="00A14B9B" w:rsidP="00DB1D1D">
            <w:pPr>
              <w:jc w:val="right"/>
              <w:rPr>
                <w:rFonts w:cstheme="minorHAnsi"/>
                <w:sz w:val="20"/>
                <w:szCs w:val="20"/>
              </w:rPr>
            </w:pPr>
            <w:r w:rsidRPr="002A0D4F">
              <w:rPr>
                <w:rFonts w:cstheme="minorHAnsi"/>
                <w:sz w:val="20"/>
                <w:szCs w:val="20"/>
              </w:rPr>
              <w:t>280</w:t>
            </w:r>
          </w:p>
        </w:tc>
      </w:tr>
      <w:tr w:rsidR="00A14B9B" w:rsidRPr="002A0D4F" w14:paraId="07028F92" w14:textId="77777777" w:rsidTr="00DB1D1D">
        <w:trPr>
          <w:trHeight w:val="270"/>
        </w:trPr>
        <w:tc>
          <w:tcPr>
            <w:tcW w:w="1250" w:type="pct"/>
            <w:hideMark/>
          </w:tcPr>
          <w:p w14:paraId="38451C4E" w14:textId="77777777" w:rsidR="00A14B9B" w:rsidRPr="002A0D4F" w:rsidRDefault="00A14B9B" w:rsidP="00DB1D1D">
            <w:pPr>
              <w:rPr>
                <w:rFonts w:cstheme="minorHAnsi"/>
                <w:sz w:val="20"/>
                <w:szCs w:val="20"/>
              </w:rPr>
            </w:pPr>
            <w:r w:rsidRPr="002A0D4F">
              <w:rPr>
                <w:rFonts w:cstheme="minorHAnsi"/>
                <w:sz w:val="20"/>
                <w:szCs w:val="20"/>
              </w:rPr>
              <w:t>Pardubický kraj</w:t>
            </w:r>
          </w:p>
        </w:tc>
        <w:tc>
          <w:tcPr>
            <w:tcW w:w="1250" w:type="pct"/>
            <w:hideMark/>
          </w:tcPr>
          <w:p w14:paraId="4E5B9D73" w14:textId="77777777" w:rsidR="00A14B9B" w:rsidRPr="002A0D4F" w:rsidRDefault="00A14B9B" w:rsidP="00DB1D1D">
            <w:pPr>
              <w:jc w:val="right"/>
              <w:rPr>
                <w:rFonts w:cstheme="minorHAnsi"/>
                <w:sz w:val="20"/>
                <w:szCs w:val="20"/>
              </w:rPr>
            </w:pPr>
            <w:r w:rsidRPr="002A0D4F">
              <w:rPr>
                <w:rFonts w:cstheme="minorHAnsi"/>
                <w:sz w:val="20"/>
                <w:szCs w:val="20"/>
              </w:rPr>
              <w:t>301</w:t>
            </w:r>
          </w:p>
        </w:tc>
        <w:tc>
          <w:tcPr>
            <w:tcW w:w="1250" w:type="pct"/>
            <w:noWrap/>
            <w:hideMark/>
          </w:tcPr>
          <w:p w14:paraId="2BB418B3" w14:textId="77777777" w:rsidR="00A14B9B" w:rsidRPr="002A0D4F" w:rsidRDefault="00A14B9B" w:rsidP="00DB1D1D">
            <w:pPr>
              <w:jc w:val="right"/>
              <w:rPr>
                <w:rFonts w:cstheme="minorHAnsi"/>
                <w:sz w:val="20"/>
                <w:szCs w:val="20"/>
              </w:rPr>
            </w:pPr>
            <w:r w:rsidRPr="002A0D4F">
              <w:rPr>
                <w:rFonts w:cstheme="minorHAnsi"/>
                <w:sz w:val="20"/>
                <w:szCs w:val="20"/>
              </w:rPr>
              <w:t>905</w:t>
            </w:r>
          </w:p>
        </w:tc>
        <w:tc>
          <w:tcPr>
            <w:tcW w:w="1250" w:type="pct"/>
            <w:noWrap/>
            <w:hideMark/>
          </w:tcPr>
          <w:p w14:paraId="37244F4A" w14:textId="77777777" w:rsidR="00A14B9B" w:rsidRPr="002A0D4F" w:rsidRDefault="00A14B9B" w:rsidP="00DB1D1D">
            <w:pPr>
              <w:jc w:val="right"/>
              <w:rPr>
                <w:rFonts w:cstheme="minorHAnsi"/>
                <w:sz w:val="20"/>
                <w:szCs w:val="20"/>
              </w:rPr>
            </w:pPr>
            <w:r w:rsidRPr="002A0D4F">
              <w:rPr>
                <w:rFonts w:cstheme="minorHAnsi"/>
                <w:sz w:val="20"/>
                <w:szCs w:val="20"/>
              </w:rPr>
              <w:t>237</w:t>
            </w:r>
          </w:p>
        </w:tc>
      </w:tr>
      <w:tr w:rsidR="00A14B9B" w:rsidRPr="002A0D4F" w14:paraId="78531570" w14:textId="77777777" w:rsidTr="00DB1D1D">
        <w:trPr>
          <w:trHeight w:val="270"/>
        </w:trPr>
        <w:tc>
          <w:tcPr>
            <w:tcW w:w="1250" w:type="pct"/>
            <w:hideMark/>
          </w:tcPr>
          <w:p w14:paraId="084A84AC" w14:textId="77777777" w:rsidR="00A14B9B" w:rsidRPr="002A0D4F" w:rsidRDefault="00A14B9B" w:rsidP="00DB1D1D">
            <w:pPr>
              <w:rPr>
                <w:rFonts w:cstheme="minorHAnsi"/>
                <w:sz w:val="20"/>
                <w:szCs w:val="20"/>
              </w:rPr>
            </w:pPr>
            <w:r w:rsidRPr="002A0D4F">
              <w:rPr>
                <w:rFonts w:cstheme="minorHAnsi"/>
                <w:sz w:val="20"/>
                <w:szCs w:val="20"/>
              </w:rPr>
              <w:t>Plzeňský kraj</w:t>
            </w:r>
          </w:p>
        </w:tc>
        <w:tc>
          <w:tcPr>
            <w:tcW w:w="1250" w:type="pct"/>
            <w:hideMark/>
          </w:tcPr>
          <w:p w14:paraId="2DD0698A" w14:textId="77777777" w:rsidR="00A14B9B" w:rsidRPr="002A0D4F" w:rsidRDefault="00A14B9B" w:rsidP="00DB1D1D">
            <w:pPr>
              <w:jc w:val="right"/>
              <w:rPr>
                <w:rFonts w:cstheme="minorHAnsi"/>
                <w:sz w:val="20"/>
                <w:szCs w:val="20"/>
              </w:rPr>
            </w:pPr>
            <w:r w:rsidRPr="002A0D4F">
              <w:rPr>
                <w:rFonts w:cstheme="minorHAnsi"/>
                <w:sz w:val="20"/>
                <w:szCs w:val="20"/>
              </w:rPr>
              <w:t>282</w:t>
            </w:r>
          </w:p>
        </w:tc>
        <w:tc>
          <w:tcPr>
            <w:tcW w:w="1250" w:type="pct"/>
            <w:noWrap/>
            <w:hideMark/>
          </w:tcPr>
          <w:p w14:paraId="2F6DAFAC" w14:textId="77777777" w:rsidR="00A14B9B" w:rsidRPr="002A0D4F" w:rsidRDefault="00A14B9B" w:rsidP="00DB1D1D">
            <w:pPr>
              <w:jc w:val="right"/>
              <w:rPr>
                <w:rFonts w:cstheme="minorHAnsi"/>
                <w:sz w:val="20"/>
                <w:szCs w:val="20"/>
              </w:rPr>
            </w:pPr>
            <w:r w:rsidRPr="002A0D4F">
              <w:rPr>
                <w:rFonts w:cstheme="minorHAnsi"/>
                <w:sz w:val="20"/>
                <w:szCs w:val="20"/>
              </w:rPr>
              <w:t>986</w:t>
            </w:r>
          </w:p>
        </w:tc>
        <w:tc>
          <w:tcPr>
            <w:tcW w:w="1250" w:type="pct"/>
            <w:noWrap/>
            <w:hideMark/>
          </w:tcPr>
          <w:p w14:paraId="1DF9197A" w14:textId="77777777" w:rsidR="00A14B9B" w:rsidRPr="002A0D4F" w:rsidRDefault="00A14B9B" w:rsidP="00DB1D1D">
            <w:pPr>
              <w:jc w:val="right"/>
              <w:rPr>
                <w:rFonts w:cstheme="minorHAnsi"/>
                <w:sz w:val="20"/>
                <w:szCs w:val="20"/>
              </w:rPr>
            </w:pPr>
            <w:r w:rsidRPr="002A0D4F">
              <w:rPr>
                <w:rFonts w:cstheme="minorHAnsi"/>
                <w:sz w:val="20"/>
                <w:szCs w:val="20"/>
              </w:rPr>
              <w:t>228</w:t>
            </w:r>
          </w:p>
        </w:tc>
      </w:tr>
      <w:tr w:rsidR="00A14B9B" w:rsidRPr="002A0D4F" w14:paraId="02048611" w14:textId="77777777" w:rsidTr="00DB1D1D">
        <w:trPr>
          <w:trHeight w:val="270"/>
        </w:trPr>
        <w:tc>
          <w:tcPr>
            <w:tcW w:w="1250" w:type="pct"/>
            <w:hideMark/>
          </w:tcPr>
          <w:p w14:paraId="266A6BC4" w14:textId="77777777" w:rsidR="00A14B9B" w:rsidRPr="002A0D4F" w:rsidRDefault="00A14B9B" w:rsidP="00DB1D1D">
            <w:pPr>
              <w:rPr>
                <w:rFonts w:cstheme="minorHAnsi"/>
                <w:sz w:val="20"/>
                <w:szCs w:val="20"/>
              </w:rPr>
            </w:pPr>
            <w:r w:rsidRPr="002A0D4F">
              <w:rPr>
                <w:rFonts w:cstheme="minorHAnsi"/>
                <w:sz w:val="20"/>
                <w:szCs w:val="20"/>
              </w:rPr>
              <w:t>Středočeský kraj</w:t>
            </w:r>
          </w:p>
        </w:tc>
        <w:tc>
          <w:tcPr>
            <w:tcW w:w="1250" w:type="pct"/>
            <w:hideMark/>
          </w:tcPr>
          <w:p w14:paraId="5BB4FE44" w14:textId="77777777" w:rsidR="00A14B9B" w:rsidRPr="002A0D4F" w:rsidRDefault="00A14B9B" w:rsidP="00DB1D1D">
            <w:pPr>
              <w:jc w:val="right"/>
              <w:rPr>
                <w:rFonts w:cstheme="minorHAnsi"/>
                <w:sz w:val="20"/>
                <w:szCs w:val="20"/>
              </w:rPr>
            </w:pPr>
            <w:r w:rsidRPr="002A0D4F">
              <w:rPr>
                <w:rFonts w:cstheme="minorHAnsi"/>
                <w:sz w:val="20"/>
                <w:szCs w:val="20"/>
              </w:rPr>
              <w:t>613</w:t>
            </w:r>
          </w:p>
        </w:tc>
        <w:tc>
          <w:tcPr>
            <w:tcW w:w="1250" w:type="pct"/>
            <w:noWrap/>
            <w:hideMark/>
          </w:tcPr>
          <w:p w14:paraId="498B5C28" w14:textId="77777777" w:rsidR="00A14B9B" w:rsidRPr="002A0D4F" w:rsidRDefault="00A14B9B" w:rsidP="00DB1D1D">
            <w:pPr>
              <w:jc w:val="right"/>
              <w:rPr>
                <w:rFonts w:cstheme="minorHAnsi"/>
                <w:sz w:val="20"/>
                <w:szCs w:val="20"/>
              </w:rPr>
            </w:pPr>
            <w:r w:rsidRPr="002A0D4F">
              <w:rPr>
                <w:rFonts w:cstheme="minorHAnsi"/>
                <w:sz w:val="20"/>
                <w:szCs w:val="20"/>
              </w:rPr>
              <w:t>1 794</w:t>
            </w:r>
          </w:p>
        </w:tc>
        <w:tc>
          <w:tcPr>
            <w:tcW w:w="1250" w:type="pct"/>
            <w:noWrap/>
            <w:hideMark/>
          </w:tcPr>
          <w:p w14:paraId="025B4220" w14:textId="77777777" w:rsidR="00A14B9B" w:rsidRPr="002A0D4F" w:rsidRDefault="00A14B9B" w:rsidP="00DB1D1D">
            <w:pPr>
              <w:jc w:val="right"/>
              <w:rPr>
                <w:rFonts w:cstheme="minorHAnsi"/>
                <w:sz w:val="20"/>
                <w:szCs w:val="20"/>
              </w:rPr>
            </w:pPr>
            <w:r w:rsidRPr="002A0D4F">
              <w:rPr>
                <w:rFonts w:cstheme="minorHAnsi"/>
                <w:sz w:val="20"/>
                <w:szCs w:val="20"/>
              </w:rPr>
              <w:t>461</w:t>
            </w:r>
          </w:p>
        </w:tc>
      </w:tr>
      <w:tr w:rsidR="00A14B9B" w:rsidRPr="002A0D4F" w14:paraId="6AF8706A" w14:textId="77777777" w:rsidTr="00DB1D1D">
        <w:trPr>
          <w:trHeight w:val="270"/>
        </w:trPr>
        <w:tc>
          <w:tcPr>
            <w:tcW w:w="1250" w:type="pct"/>
            <w:hideMark/>
          </w:tcPr>
          <w:p w14:paraId="0297F5C0" w14:textId="77777777" w:rsidR="00A14B9B" w:rsidRPr="002A0D4F" w:rsidRDefault="00A14B9B" w:rsidP="00DB1D1D">
            <w:pPr>
              <w:rPr>
                <w:rFonts w:cstheme="minorHAnsi"/>
                <w:sz w:val="20"/>
                <w:szCs w:val="20"/>
              </w:rPr>
            </w:pPr>
            <w:r w:rsidRPr="002A0D4F">
              <w:rPr>
                <w:rFonts w:cstheme="minorHAnsi"/>
                <w:sz w:val="20"/>
                <w:szCs w:val="20"/>
              </w:rPr>
              <w:t>Ústecký kraj</w:t>
            </w:r>
          </w:p>
        </w:tc>
        <w:tc>
          <w:tcPr>
            <w:tcW w:w="1250" w:type="pct"/>
            <w:hideMark/>
          </w:tcPr>
          <w:p w14:paraId="1ABB7A60" w14:textId="77777777" w:rsidR="00A14B9B" w:rsidRPr="002A0D4F" w:rsidRDefault="00A14B9B" w:rsidP="00DB1D1D">
            <w:pPr>
              <w:jc w:val="right"/>
              <w:rPr>
                <w:rFonts w:cstheme="minorHAnsi"/>
                <w:sz w:val="20"/>
                <w:szCs w:val="20"/>
              </w:rPr>
            </w:pPr>
            <w:r w:rsidRPr="002A0D4F">
              <w:rPr>
                <w:rFonts w:cstheme="minorHAnsi"/>
                <w:sz w:val="20"/>
                <w:szCs w:val="20"/>
              </w:rPr>
              <w:t>198</w:t>
            </w:r>
          </w:p>
        </w:tc>
        <w:tc>
          <w:tcPr>
            <w:tcW w:w="1250" w:type="pct"/>
            <w:noWrap/>
            <w:hideMark/>
          </w:tcPr>
          <w:p w14:paraId="2552667F" w14:textId="77777777" w:rsidR="00A14B9B" w:rsidRPr="002A0D4F" w:rsidRDefault="00A14B9B" w:rsidP="00DB1D1D">
            <w:pPr>
              <w:jc w:val="right"/>
              <w:rPr>
                <w:rFonts w:cstheme="minorHAnsi"/>
                <w:sz w:val="20"/>
                <w:szCs w:val="20"/>
              </w:rPr>
            </w:pPr>
            <w:r w:rsidRPr="002A0D4F">
              <w:rPr>
                <w:rFonts w:cstheme="minorHAnsi"/>
                <w:sz w:val="20"/>
                <w:szCs w:val="20"/>
              </w:rPr>
              <w:t>399</w:t>
            </w:r>
          </w:p>
        </w:tc>
        <w:tc>
          <w:tcPr>
            <w:tcW w:w="1250" w:type="pct"/>
            <w:noWrap/>
            <w:hideMark/>
          </w:tcPr>
          <w:p w14:paraId="6532DA95" w14:textId="77777777" w:rsidR="00A14B9B" w:rsidRPr="002A0D4F" w:rsidRDefault="00A14B9B" w:rsidP="00DB1D1D">
            <w:pPr>
              <w:jc w:val="right"/>
              <w:rPr>
                <w:rFonts w:cstheme="minorHAnsi"/>
                <w:sz w:val="20"/>
                <w:szCs w:val="20"/>
              </w:rPr>
            </w:pPr>
            <w:r w:rsidRPr="002A0D4F">
              <w:rPr>
                <w:rFonts w:cstheme="minorHAnsi"/>
                <w:sz w:val="20"/>
                <w:szCs w:val="20"/>
              </w:rPr>
              <w:t>133</w:t>
            </w:r>
          </w:p>
        </w:tc>
      </w:tr>
      <w:tr w:rsidR="00A14B9B" w:rsidRPr="002A0D4F" w14:paraId="1555B753" w14:textId="77777777" w:rsidTr="00DB1D1D">
        <w:trPr>
          <w:trHeight w:val="270"/>
        </w:trPr>
        <w:tc>
          <w:tcPr>
            <w:tcW w:w="1250" w:type="pct"/>
            <w:hideMark/>
          </w:tcPr>
          <w:p w14:paraId="57FD726A" w14:textId="77777777" w:rsidR="00A14B9B" w:rsidRPr="002A0D4F" w:rsidRDefault="00A14B9B" w:rsidP="00DB1D1D">
            <w:pPr>
              <w:rPr>
                <w:rFonts w:cstheme="minorHAnsi"/>
                <w:sz w:val="20"/>
                <w:szCs w:val="20"/>
              </w:rPr>
            </w:pPr>
            <w:r w:rsidRPr="002A0D4F">
              <w:rPr>
                <w:rFonts w:cstheme="minorHAnsi"/>
                <w:sz w:val="20"/>
                <w:szCs w:val="20"/>
              </w:rPr>
              <w:t>Zlínský kraj</w:t>
            </w:r>
          </w:p>
        </w:tc>
        <w:tc>
          <w:tcPr>
            <w:tcW w:w="1250" w:type="pct"/>
            <w:hideMark/>
          </w:tcPr>
          <w:p w14:paraId="311B3988" w14:textId="77777777" w:rsidR="00A14B9B" w:rsidRPr="002A0D4F" w:rsidRDefault="00A14B9B" w:rsidP="00DB1D1D">
            <w:pPr>
              <w:jc w:val="right"/>
              <w:rPr>
                <w:rFonts w:cstheme="minorHAnsi"/>
                <w:sz w:val="20"/>
                <w:szCs w:val="20"/>
              </w:rPr>
            </w:pPr>
            <w:r w:rsidRPr="002A0D4F">
              <w:rPr>
                <w:rFonts w:cstheme="minorHAnsi"/>
                <w:sz w:val="20"/>
                <w:szCs w:val="20"/>
              </w:rPr>
              <w:t>194</w:t>
            </w:r>
          </w:p>
        </w:tc>
        <w:tc>
          <w:tcPr>
            <w:tcW w:w="1250" w:type="pct"/>
            <w:noWrap/>
            <w:hideMark/>
          </w:tcPr>
          <w:p w14:paraId="7C7AD4E5" w14:textId="77777777" w:rsidR="00A14B9B" w:rsidRPr="002A0D4F" w:rsidRDefault="00A14B9B" w:rsidP="00DB1D1D">
            <w:pPr>
              <w:jc w:val="right"/>
              <w:rPr>
                <w:rFonts w:cstheme="minorHAnsi"/>
                <w:sz w:val="20"/>
                <w:szCs w:val="20"/>
              </w:rPr>
            </w:pPr>
            <w:r w:rsidRPr="002A0D4F">
              <w:rPr>
                <w:rFonts w:cstheme="minorHAnsi"/>
                <w:sz w:val="20"/>
                <w:szCs w:val="20"/>
              </w:rPr>
              <w:t>567</w:t>
            </w:r>
          </w:p>
        </w:tc>
        <w:tc>
          <w:tcPr>
            <w:tcW w:w="1250" w:type="pct"/>
            <w:noWrap/>
            <w:hideMark/>
          </w:tcPr>
          <w:p w14:paraId="0F4641C4" w14:textId="77777777" w:rsidR="00A14B9B" w:rsidRPr="002A0D4F" w:rsidRDefault="00A14B9B" w:rsidP="00DB1D1D">
            <w:pPr>
              <w:jc w:val="right"/>
              <w:rPr>
                <w:rFonts w:cstheme="minorHAnsi"/>
                <w:sz w:val="20"/>
                <w:szCs w:val="20"/>
              </w:rPr>
            </w:pPr>
            <w:r w:rsidRPr="002A0D4F">
              <w:rPr>
                <w:rFonts w:cstheme="minorHAnsi"/>
                <w:sz w:val="20"/>
                <w:szCs w:val="20"/>
              </w:rPr>
              <w:t>147</w:t>
            </w:r>
          </w:p>
        </w:tc>
      </w:tr>
      <w:tr w:rsidR="00A14B9B" w:rsidRPr="002A0D4F" w14:paraId="79B6099F" w14:textId="77777777" w:rsidTr="00DB1D1D">
        <w:trPr>
          <w:trHeight w:val="270"/>
        </w:trPr>
        <w:tc>
          <w:tcPr>
            <w:tcW w:w="1250" w:type="pct"/>
            <w:hideMark/>
          </w:tcPr>
          <w:p w14:paraId="1466AAB2" w14:textId="77777777" w:rsidR="00A14B9B" w:rsidRPr="002A0D4F" w:rsidRDefault="00A14B9B" w:rsidP="00DB1D1D">
            <w:pPr>
              <w:rPr>
                <w:rFonts w:cstheme="minorHAnsi"/>
                <w:sz w:val="20"/>
                <w:szCs w:val="20"/>
              </w:rPr>
            </w:pPr>
            <w:r w:rsidRPr="002A0D4F">
              <w:rPr>
                <w:sz w:val="20"/>
                <w:szCs w:val="20"/>
              </w:rPr>
              <w:t>nezjištěno</w:t>
            </w:r>
            <w:r w:rsidRPr="002A0D4F">
              <w:rPr>
                <w:rStyle w:val="Znakapoznpodarou"/>
                <w:sz w:val="20"/>
                <w:szCs w:val="20"/>
              </w:rPr>
              <w:footnoteReference w:id="31"/>
            </w:r>
          </w:p>
        </w:tc>
        <w:tc>
          <w:tcPr>
            <w:tcW w:w="1250" w:type="pct"/>
            <w:hideMark/>
          </w:tcPr>
          <w:p w14:paraId="41AF2357" w14:textId="77777777" w:rsidR="00A14B9B" w:rsidRPr="002A0D4F" w:rsidRDefault="00A14B9B" w:rsidP="00DB1D1D">
            <w:pPr>
              <w:jc w:val="right"/>
              <w:rPr>
                <w:rFonts w:cstheme="minorHAnsi"/>
                <w:sz w:val="20"/>
                <w:szCs w:val="20"/>
              </w:rPr>
            </w:pPr>
            <w:r w:rsidRPr="002A0D4F">
              <w:rPr>
                <w:rFonts w:cstheme="minorHAnsi"/>
                <w:sz w:val="20"/>
                <w:szCs w:val="20"/>
              </w:rPr>
              <w:t>11</w:t>
            </w:r>
          </w:p>
        </w:tc>
        <w:tc>
          <w:tcPr>
            <w:tcW w:w="1250" w:type="pct"/>
            <w:noWrap/>
            <w:hideMark/>
          </w:tcPr>
          <w:p w14:paraId="76EB8EAD" w14:textId="77777777" w:rsidR="00A14B9B" w:rsidRPr="002A0D4F" w:rsidRDefault="00A14B9B" w:rsidP="00DB1D1D">
            <w:pPr>
              <w:jc w:val="right"/>
              <w:rPr>
                <w:rFonts w:cstheme="minorHAnsi"/>
                <w:sz w:val="20"/>
                <w:szCs w:val="20"/>
              </w:rPr>
            </w:pPr>
            <w:r w:rsidRPr="002A0D4F">
              <w:rPr>
                <w:rFonts w:cstheme="minorHAnsi"/>
                <w:sz w:val="20"/>
                <w:szCs w:val="20"/>
              </w:rPr>
              <w:t>22</w:t>
            </w:r>
          </w:p>
        </w:tc>
        <w:tc>
          <w:tcPr>
            <w:tcW w:w="1250" w:type="pct"/>
            <w:noWrap/>
            <w:hideMark/>
          </w:tcPr>
          <w:p w14:paraId="45CD8D64" w14:textId="77777777" w:rsidR="00A14B9B" w:rsidRPr="002A0D4F" w:rsidRDefault="00A14B9B" w:rsidP="00DB1D1D">
            <w:pPr>
              <w:jc w:val="right"/>
              <w:rPr>
                <w:rFonts w:cstheme="minorHAnsi"/>
                <w:sz w:val="20"/>
                <w:szCs w:val="20"/>
              </w:rPr>
            </w:pPr>
            <w:r w:rsidRPr="002A0D4F">
              <w:rPr>
                <w:rFonts w:cstheme="minorHAnsi"/>
                <w:sz w:val="20"/>
                <w:szCs w:val="20"/>
              </w:rPr>
              <w:t>6</w:t>
            </w:r>
          </w:p>
        </w:tc>
      </w:tr>
      <w:tr w:rsidR="00A14B9B" w:rsidRPr="002A0D4F" w14:paraId="0AB63CBE" w14:textId="77777777" w:rsidTr="00DB1D1D">
        <w:trPr>
          <w:trHeight w:val="270"/>
        </w:trPr>
        <w:tc>
          <w:tcPr>
            <w:tcW w:w="1250" w:type="pct"/>
            <w:hideMark/>
          </w:tcPr>
          <w:p w14:paraId="579BFFDD" w14:textId="77777777" w:rsidR="00A14B9B" w:rsidRPr="002A0D4F" w:rsidRDefault="00A14B9B" w:rsidP="00DB1D1D">
            <w:pPr>
              <w:rPr>
                <w:rFonts w:cstheme="minorHAnsi"/>
                <w:b/>
                <w:bCs/>
                <w:sz w:val="20"/>
                <w:szCs w:val="20"/>
              </w:rPr>
            </w:pPr>
            <w:r w:rsidRPr="002A0D4F">
              <w:rPr>
                <w:rFonts w:cstheme="minorHAnsi"/>
                <w:b/>
                <w:bCs/>
                <w:sz w:val="20"/>
                <w:szCs w:val="20"/>
              </w:rPr>
              <w:t>Celkem</w:t>
            </w:r>
          </w:p>
        </w:tc>
        <w:tc>
          <w:tcPr>
            <w:tcW w:w="1250" w:type="pct"/>
            <w:hideMark/>
          </w:tcPr>
          <w:p w14:paraId="16B398BB" w14:textId="77777777" w:rsidR="00A14B9B" w:rsidRPr="002A0D4F" w:rsidRDefault="00A14B9B" w:rsidP="00DB1D1D">
            <w:pPr>
              <w:jc w:val="right"/>
              <w:rPr>
                <w:rFonts w:cstheme="minorHAnsi"/>
                <w:b/>
                <w:bCs/>
                <w:sz w:val="20"/>
                <w:szCs w:val="20"/>
              </w:rPr>
            </w:pPr>
            <w:r w:rsidRPr="002A0D4F">
              <w:rPr>
                <w:rFonts w:cstheme="minorHAnsi"/>
                <w:b/>
                <w:bCs/>
                <w:sz w:val="20"/>
                <w:szCs w:val="20"/>
              </w:rPr>
              <w:t>4 449</w:t>
            </w:r>
          </w:p>
        </w:tc>
        <w:tc>
          <w:tcPr>
            <w:tcW w:w="1250" w:type="pct"/>
            <w:hideMark/>
          </w:tcPr>
          <w:p w14:paraId="02F6F070" w14:textId="77777777" w:rsidR="00A14B9B" w:rsidRPr="002A0D4F" w:rsidRDefault="00A14B9B" w:rsidP="00DB1D1D">
            <w:pPr>
              <w:jc w:val="right"/>
              <w:rPr>
                <w:rFonts w:cstheme="minorHAnsi"/>
                <w:b/>
                <w:bCs/>
                <w:sz w:val="20"/>
                <w:szCs w:val="20"/>
              </w:rPr>
            </w:pPr>
            <w:r w:rsidRPr="002A0D4F">
              <w:rPr>
                <w:rFonts w:cstheme="minorHAnsi"/>
                <w:b/>
                <w:bCs/>
                <w:sz w:val="20"/>
                <w:szCs w:val="20"/>
              </w:rPr>
              <w:t>12 668</w:t>
            </w:r>
          </w:p>
        </w:tc>
        <w:tc>
          <w:tcPr>
            <w:tcW w:w="1250" w:type="pct"/>
            <w:noWrap/>
            <w:hideMark/>
          </w:tcPr>
          <w:p w14:paraId="5672BC7F" w14:textId="77777777" w:rsidR="00A14B9B" w:rsidRPr="002A0D4F" w:rsidRDefault="00A14B9B" w:rsidP="00DB1D1D">
            <w:pPr>
              <w:jc w:val="right"/>
              <w:rPr>
                <w:rFonts w:cstheme="minorHAnsi"/>
                <w:b/>
                <w:bCs/>
                <w:sz w:val="20"/>
                <w:szCs w:val="20"/>
              </w:rPr>
            </w:pPr>
            <w:r w:rsidRPr="002A0D4F">
              <w:rPr>
                <w:rFonts w:cstheme="minorHAnsi"/>
                <w:b/>
                <w:bCs/>
                <w:sz w:val="20"/>
                <w:szCs w:val="20"/>
              </w:rPr>
              <w:t>3 126</w:t>
            </w:r>
          </w:p>
        </w:tc>
      </w:tr>
    </w:tbl>
    <w:p w14:paraId="0C44FF05" w14:textId="77777777" w:rsidR="00A14B9B" w:rsidRPr="002A0D4F" w:rsidRDefault="00A14B9B" w:rsidP="00DD6940">
      <w:pPr>
        <w:pStyle w:val="UZEIZdroj"/>
      </w:pPr>
      <w:r w:rsidRPr="002A0D4F">
        <w:t>Zdroj: SPÚ, databáze polních cest realizovaných 1994-2020, vlastní zpracování</w:t>
      </w:r>
    </w:p>
    <w:p w14:paraId="4DF82CEC" w14:textId="77777777" w:rsidR="00A14B9B" w:rsidRPr="002A0D4F" w:rsidRDefault="00A14B9B" w:rsidP="00DD6940">
      <w:pPr>
        <w:pStyle w:val="UZEIZdroj"/>
      </w:pPr>
      <w:r w:rsidRPr="002A0D4F">
        <w:t>* Vypočteno z poskytnutých dat dle obvodu polygonu polní cesty</w:t>
      </w:r>
    </w:p>
    <w:p w14:paraId="661957BD" w14:textId="7EAA1535" w:rsidR="00A14B9B" w:rsidRPr="002A0D4F" w:rsidRDefault="00A14B9B" w:rsidP="00DD6940">
      <w:pPr>
        <w:pStyle w:val="UZEINormaln"/>
      </w:pPr>
      <w:r w:rsidRPr="002A0D4F">
        <w:t xml:space="preserve">Pro realizované polní cesty byly dále vyčísleny celkové náklady na výstavbu podle typu i povrchu cesty. Většina vybudovaných cest spadá do kategorie hlavní polní cesta podrobněji v </w:t>
      </w:r>
      <w:r w:rsidR="00DD6940">
        <w:fldChar w:fldCharType="begin"/>
      </w:r>
      <w:r w:rsidR="00DD6940">
        <w:instrText xml:space="preserve"> REF _Ref81776344 \r \h </w:instrText>
      </w:r>
      <w:r w:rsidR="00DD6940">
        <w:fldChar w:fldCharType="separate"/>
      </w:r>
      <w:r w:rsidR="00DD6940">
        <w:t>Tabulka 58</w:t>
      </w:r>
      <w:r w:rsidR="00DD6940">
        <w:fldChar w:fldCharType="end"/>
      </w:r>
      <w:r w:rsidR="00DD6940">
        <w:t xml:space="preserve"> </w:t>
      </w:r>
      <w:r w:rsidRPr="002A0D4F">
        <w:t xml:space="preserve">Z povrchů převládají cementobetonové polní cesty více v </w:t>
      </w:r>
      <w:r w:rsidR="00DD6940">
        <w:fldChar w:fldCharType="begin"/>
      </w:r>
      <w:r w:rsidR="00DD6940">
        <w:instrText xml:space="preserve"> REF _Ref81776351 \r \h </w:instrText>
      </w:r>
      <w:r w:rsidR="00DD6940">
        <w:fldChar w:fldCharType="separate"/>
      </w:r>
      <w:r w:rsidR="00DD6940">
        <w:t>Tabulka 59</w:t>
      </w:r>
      <w:r w:rsidR="00DD6940">
        <w:fldChar w:fldCharType="end"/>
      </w:r>
      <w:r w:rsidRPr="002A0D4F">
        <w:t xml:space="preserve">. </w:t>
      </w:r>
    </w:p>
    <w:p w14:paraId="3514A31A" w14:textId="3F405098" w:rsidR="00A14B9B" w:rsidRPr="00DD6940" w:rsidRDefault="00DD6940" w:rsidP="00DD6940">
      <w:pPr>
        <w:pStyle w:val="UZEITaB"/>
        <w:rPr>
          <w:rFonts w:eastAsiaTheme="minorEastAsia"/>
        </w:rPr>
      </w:pPr>
      <w:bookmarkStart w:id="961" w:name="_Toc25920051"/>
      <w:bookmarkStart w:id="962" w:name="_Ref81776344"/>
      <w:r>
        <w:rPr>
          <w:rFonts w:eastAsiaTheme="minorEastAsia"/>
        </w:rPr>
        <w:t xml:space="preserve"> </w:t>
      </w:r>
      <w:bookmarkStart w:id="963" w:name="_Ref81776539"/>
      <w:bookmarkStart w:id="964" w:name="_Toc81815374"/>
      <w:bookmarkStart w:id="965" w:name="_Toc81817052"/>
      <w:bookmarkStart w:id="966" w:name="_Toc81817565"/>
      <w:r w:rsidR="00A14B9B" w:rsidRPr="00DD6940">
        <w:rPr>
          <w:rFonts w:eastAsiaTheme="minorEastAsia"/>
        </w:rPr>
        <w:t>Náklady podle typu polní cesty</w:t>
      </w:r>
      <w:bookmarkEnd w:id="961"/>
      <w:bookmarkEnd w:id="962"/>
      <w:bookmarkEnd w:id="963"/>
      <w:bookmarkEnd w:id="964"/>
      <w:bookmarkEnd w:id="965"/>
      <w:bookmarkEnd w:id="966"/>
    </w:p>
    <w:tbl>
      <w:tblPr>
        <w:tblStyle w:val="Mkatabulky"/>
        <w:tblW w:w="5000" w:type="pct"/>
        <w:tblLook w:val="04A0" w:firstRow="1" w:lastRow="0" w:firstColumn="1" w:lastColumn="0" w:noHBand="0" w:noVBand="1"/>
      </w:tblPr>
      <w:tblGrid>
        <w:gridCol w:w="3006"/>
        <w:gridCol w:w="3004"/>
        <w:gridCol w:w="3006"/>
      </w:tblGrid>
      <w:tr w:rsidR="00A14B9B" w:rsidRPr="00DD6940" w14:paraId="48545F3B" w14:textId="77777777" w:rsidTr="00DB1D1D">
        <w:trPr>
          <w:trHeight w:val="270"/>
        </w:trPr>
        <w:tc>
          <w:tcPr>
            <w:tcW w:w="1667" w:type="pct"/>
            <w:noWrap/>
            <w:hideMark/>
          </w:tcPr>
          <w:p w14:paraId="73C1EEF0" w14:textId="77777777" w:rsidR="00A14B9B" w:rsidRPr="00DD6940" w:rsidRDefault="00A14B9B" w:rsidP="00DB1D1D">
            <w:pPr>
              <w:jc w:val="center"/>
              <w:rPr>
                <w:rFonts w:cs="Times New Roman"/>
                <w:b/>
                <w:bCs/>
                <w:sz w:val="22"/>
              </w:rPr>
            </w:pPr>
            <w:r w:rsidRPr="00DD6940">
              <w:rPr>
                <w:rFonts w:cs="Times New Roman"/>
                <w:b/>
                <w:bCs/>
                <w:sz w:val="22"/>
              </w:rPr>
              <w:t>Typ cesty</w:t>
            </w:r>
          </w:p>
        </w:tc>
        <w:tc>
          <w:tcPr>
            <w:tcW w:w="1666" w:type="pct"/>
            <w:noWrap/>
            <w:hideMark/>
          </w:tcPr>
          <w:p w14:paraId="71F86CDD" w14:textId="77777777" w:rsidR="00A14B9B" w:rsidRPr="00DD6940" w:rsidRDefault="00A14B9B" w:rsidP="00DB1D1D">
            <w:pPr>
              <w:jc w:val="center"/>
              <w:rPr>
                <w:rFonts w:cs="Times New Roman"/>
                <w:b/>
                <w:bCs/>
                <w:sz w:val="22"/>
              </w:rPr>
            </w:pPr>
            <w:r w:rsidRPr="00DD6940">
              <w:rPr>
                <w:rFonts w:cs="Times New Roman"/>
                <w:b/>
                <w:bCs/>
                <w:sz w:val="22"/>
              </w:rPr>
              <w:t>Náklady (mil.)</w:t>
            </w:r>
          </w:p>
        </w:tc>
        <w:tc>
          <w:tcPr>
            <w:tcW w:w="1667" w:type="pct"/>
            <w:noWrap/>
            <w:hideMark/>
          </w:tcPr>
          <w:p w14:paraId="627547E7" w14:textId="77777777" w:rsidR="00A14B9B" w:rsidRPr="00DD6940" w:rsidRDefault="00A14B9B" w:rsidP="00DB1D1D">
            <w:pPr>
              <w:jc w:val="center"/>
              <w:rPr>
                <w:rFonts w:cs="Times New Roman"/>
                <w:b/>
                <w:bCs/>
                <w:sz w:val="22"/>
              </w:rPr>
            </w:pPr>
            <w:r w:rsidRPr="00DD6940">
              <w:rPr>
                <w:rFonts w:cs="Times New Roman"/>
                <w:b/>
                <w:bCs/>
                <w:sz w:val="22"/>
              </w:rPr>
              <w:t>Délka cesty (km)*</w:t>
            </w:r>
          </w:p>
        </w:tc>
      </w:tr>
      <w:tr w:rsidR="00A14B9B" w:rsidRPr="00DD6940" w14:paraId="53FA8D4C" w14:textId="77777777" w:rsidTr="00DB1D1D">
        <w:trPr>
          <w:trHeight w:val="270"/>
        </w:trPr>
        <w:tc>
          <w:tcPr>
            <w:tcW w:w="1667" w:type="pct"/>
            <w:noWrap/>
            <w:hideMark/>
          </w:tcPr>
          <w:p w14:paraId="67D62D01" w14:textId="77777777" w:rsidR="00A14B9B" w:rsidRPr="00DD6940" w:rsidRDefault="00A14B9B" w:rsidP="00DB1D1D">
            <w:pPr>
              <w:rPr>
                <w:rFonts w:cs="Times New Roman"/>
                <w:sz w:val="22"/>
              </w:rPr>
            </w:pPr>
            <w:r w:rsidRPr="00DD6940">
              <w:rPr>
                <w:rFonts w:cs="Times New Roman"/>
                <w:sz w:val="22"/>
              </w:rPr>
              <w:t>Hlavní</w:t>
            </w:r>
          </w:p>
        </w:tc>
        <w:tc>
          <w:tcPr>
            <w:tcW w:w="1666" w:type="pct"/>
            <w:noWrap/>
            <w:hideMark/>
          </w:tcPr>
          <w:p w14:paraId="1E895FA6" w14:textId="77777777" w:rsidR="00A14B9B" w:rsidRPr="00DD6940" w:rsidRDefault="00A14B9B" w:rsidP="00DB1D1D">
            <w:pPr>
              <w:jc w:val="right"/>
              <w:rPr>
                <w:rFonts w:cs="Times New Roman"/>
                <w:sz w:val="22"/>
              </w:rPr>
            </w:pPr>
            <w:r w:rsidRPr="00DD6940">
              <w:rPr>
                <w:rFonts w:cs="Times New Roman"/>
                <w:sz w:val="22"/>
              </w:rPr>
              <w:t>8 192</w:t>
            </w:r>
          </w:p>
        </w:tc>
        <w:tc>
          <w:tcPr>
            <w:tcW w:w="1667" w:type="pct"/>
            <w:noWrap/>
            <w:hideMark/>
          </w:tcPr>
          <w:p w14:paraId="17272671" w14:textId="77777777" w:rsidR="00A14B9B" w:rsidRPr="00DD6940" w:rsidRDefault="00A14B9B" w:rsidP="00DB1D1D">
            <w:pPr>
              <w:jc w:val="right"/>
              <w:rPr>
                <w:rFonts w:cs="Times New Roman"/>
                <w:sz w:val="22"/>
              </w:rPr>
            </w:pPr>
            <w:r w:rsidRPr="00DD6940">
              <w:rPr>
                <w:rFonts w:cs="Times New Roman"/>
                <w:sz w:val="22"/>
              </w:rPr>
              <w:t>1 897</w:t>
            </w:r>
          </w:p>
        </w:tc>
      </w:tr>
      <w:tr w:rsidR="00A14B9B" w:rsidRPr="00DD6940" w14:paraId="60B38B9B" w14:textId="77777777" w:rsidTr="00DB1D1D">
        <w:trPr>
          <w:trHeight w:val="270"/>
        </w:trPr>
        <w:tc>
          <w:tcPr>
            <w:tcW w:w="1667" w:type="pct"/>
            <w:noWrap/>
            <w:hideMark/>
          </w:tcPr>
          <w:p w14:paraId="4E0B8B0E" w14:textId="77777777" w:rsidR="00A14B9B" w:rsidRPr="00DD6940" w:rsidRDefault="00A14B9B" w:rsidP="00DB1D1D">
            <w:pPr>
              <w:rPr>
                <w:rFonts w:cs="Times New Roman"/>
                <w:sz w:val="22"/>
              </w:rPr>
            </w:pPr>
            <w:r w:rsidRPr="00DD6940">
              <w:rPr>
                <w:rFonts w:cs="Times New Roman"/>
                <w:sz w:val="22"/>
              </w:rPr>
              <w:t>Vedlejší</w:t>
            </w:r>
          </w:p>
        </w:tc>
        <w:tc>
          <w:tcPr>
            <w:tcW w:w="1666" w:type="pct"/>
            <w:noWrap/>
            <w:hideMark/>
          </w:tcPr>
          <w:p w14:paraId="2BE267E3" w14:textId="77777777" w:rsidR="00A14B9B" w:rsidRPr="00DD6940" w:rsidRDefault="00A14B9B" w:rsidP="00DB1D1D">
            <w:pPr>
              <w:jc w:val="right"/>
              <w:rPr>
                <w:rFonts w:cs="Times New Roman"/>
                <w:sz w:val="22"/>
              </w:rPr>
            </w:pPr>
            <w:r w:rsidRPr="00DD6940">
              <w:rPr>
                <w:rFonts w:cs="Times New Roman"/>
                <w:sz w:val="22"/>
              </w:rPr>
              <w:t>3 712</w:t>
            </w:r>
          </w:p>
        </w:tc>
        <w:tc>
          <w:tcPr>
            <w:tcW w:w="1667" w:type="pct"/>
            <w:noWrap/>
            <w:hideMark/>
          </w:tcPr>
          <w:p w14:paraId="27B8341A" w14:textId="77777777" w:rsidR="00A14B9B" w:rsidRPr="00DD6940" w:rsidRDefault="00A14B9B" w:rsidP="00DB1D1D">
            <w:pPr>
              <w:jc w:val="right"/>
              <w:rPr>
                <w:rFonts w:cs="Times New Roman"/>
                <w:sz w:val="22"/>
              </w:rPr>
            </w:pPr>
            <w:r w:rsidRPr="00DD6940">
              <w:rPr>
                <w:rFonts w:cs="Times New Roman"/>
                <w:sz w:val="22"/>
              </w:rPr>
              <w:t>1 002</w:t>
            </w:r>
          </w:p>
        </w:tc>
      </w:tr>
      <w:tr w:rsidR="00A14B9B" w:rsidRPr="00DD6940" w14:paraId="10C523B2" w14:textId="77777777" w:rsidTr="00DB1D1D">
        <w:trPr>
          <w:trHeight w:val="270"/>
        </w:trPr>
        <w:tc>
          <w:tcPr>
            <w:tcW w:w="1667" w:type="pct"/>
            <w:noWrap/>
            <w:hideMark/>
          </w:tcPr>
          <w:p w14:paraId="62FFA20E" w14:textId="77777777" w:rsidR="00A14B9B" w:rsidRPr="00DD6940" w:rsidRDefault="00A14B9B" w:rsidP="00DB1D1D">
            <w:pPr>
              <w:rPr>
                <w:rFonts w:cs="Times New Roman"/>
                <w:sz w:val="22"/>
              </w:rPr>
            </w:pPr>
            <w:r w:rsidRPr="00DD6940">
              <w:rPr>
                <w:rFonts w:cs="Times New Roman"/>
                <w:sz w:val="22"/>
              </w:rPr>
              <w:t>Doplňková</w:t>
            </w:r>
          </w:p>
        </w:tc>
        <w:tc>
          <w:tcPr>
            <w:tcW w:w="1666" w:type="pct"/>
            <w:noWrap/>
            <w:hideMark/>
          </w:tcPr>
          <w:p w14:paraId="03F8F0BF" w14:textId="77777777" w:rsidR="00A14B9B" w:rsidRPr="00DD6940" w:rsidRDefault="00A14B9B" w:rsidP="00DB1D1D">
            <w:pPr>
              <w:jc w:val="right"/>
              <w:rPr>
                <w:rFonts w:cs="Times New Roman"/>
                <w:sz w:val="22"/>
              </w:rPr>
            </w:pPr>
            <w:r w:rsidRPr="00DD6940">
              <w:rPr>
                <w:rFonts w:cs="Times New Roman"/>
                <w:sz w:val="22"/>
              </w:rPr>
              <w:t>153</w:t>
            </w:r>
          </w:p>
        </w:tc>
        <w:tc>
          <w:tcPr>
            <w:tcW w:w="1667" w:type="pct"/>
            <w:noWrap/>
            <w:hideMark/>
          </w:tcPr>
          <w:p w14:paraId="003873F5" w14:textId="77777777" w:rsidR="00A14B9B" w:rsidRPr="00DD6940" w:rsidRDefault="00A14B9B" w:rsidP="00DB1D1D">
            <w:pPr>
              <w:jc w:val="right"/>
              <w:rPr>
                <w:rFonts w:cs="Times New Roman"/>
                <w:sz w:val="22"/>
              </w:rPr>
            </w:pPr>
            <w:r w:rsidRPr="00DD6940">
              <w:rPr>
                <w:rFonts w:cs="Times New Roman"/>
                <w:sz w:val="22"/>
              </w:rPr>
              <w:t>60</w:t>
            </w:r>
          </w:p>
        </w:tc>
      </w:tr>
      <w:tr w:rsidR="00A14B9B" w:rsidRPr="00DD6940" w14:paraId="72BDEDB8" w14:textId="77777777" w:rsidTr="00DB1D1D">
        <w:trPr>
          <w:trHeight w:val="270"/>
        </w:trPr>
        <w:tc>
          <w:tcPr>
            <w:tcW w:w="1667" w:type="pct"/>
            <w:noWrap/>
            <w:hideMark/>
          </w:tcPr>
          <w:p w14:paraId="75F72526" w14:textId="77777777" w:rsidR="00A14B9B" w:rsidRPr="00DD6940" w:rsidRDefault="00A14B9B" w:rsidP="00DB1D1D">
            <w:pPr>
              <w:rPr>
                <w:rFonts w:cs="Times New Roman"/>
                <w:sz w:val="22"/>
              </w:rPr>
            </w:pPr>
            <w:r w:rsidRPr="00DD6940">
              <w:rPr>
                <w:rFonts w:cs="Times New Roman"/>
                <w:sz w:val="22"/>
              </w:rPr>
              <w:t>Lesní</w:t>
            </w:r>
          </w:p>
        </w:tc>
        <w:tc>
          <w:tcPr>
            <w:tcW w:w="1666" w:type="pct"/>
            <w:noWrap/>
            <w:hideMark/>
          </w:tcPr>
          <w:p w14:paraId="255927EF" w14:textId="77777777" w:rsidR="00A14B9B" w:rsidRPr="00DD6940" w:rsidRDefault="00A14B9B" w:rsidP="00DB1D1D">
            <w:pPr>
              <w:jc w:val="right"/>
              <w:rPr>
                <w:rFonts w:cs="Times New Roman"/>
                <w:sz w:val="22"/>
              </w:rPr>
            </w:pPr>
            <w:r w:rsidRPr="00DD6940">
              <w:rPr>
                <w:rFonts w:cs="Times New Roman"/>
                <w:sz w:val="22"/>
              </w:rPr>
              <w:t>11</w:t>
            </w:r>
          </w:p>
        </w:tc>
        <w:tc>
          <w:tcPr>
            <w:tcW w:w="1667" w:type="pct"/>
            <w:noWrap/>
            <w:hideMark/>
          </w:tcPr>
          <w:p w14:paraId="685DD4E9" w14:textId="77777777" w:rsidR="00A14B9B" w:rsidRPr="00DD6940" w:rsidRDefault="00A14B9B" w:rsidP="00DB1D1D">
            <w:pPr>
              <w:jc w:val="right"/>
              <w:rPr>
                <w:rFonts w:cs="Times New Roman"/>
                <w:sz w:val="22"/>
              </w:rPr>
            </w:pPr>
            <w:r w:rsidRPr="00DD6940">
              <w:rPr>
                <w:rFonts w:cs="Times New Roman"/>
                <w:sz w:val="22"/>
              </w:rPr>
              <w:t>3</w:t>
            </w:r>
          </w:p>
        </w:tc>
      </w:tr>
      <w:tr w:rsidR="00A14B9B" w:rsidRPr="00DD6940" w14:paraId="62FA4815" w14:textId="77777777" w:rsidTr="00DB1D1D">
        <w:trPr>
          <w:trHeight w:val="270"/>
        </w:trPr>
        <w:tc>
          <w:tcPr>
            <w:tcW w:w="1667" w:type="pct"/>
            <w:noWrap/>
            <w:hideMark/>
          </w:tcPr>
          <w:p w14:paraId="7B55AE71" w14:textId="77777777" w:rsidR="00A14B9B" w:rsidRPr="00DD6940" w:rsidRDefault="00A14B9B" w:rsidP="00DB1D1D">
            <w:pPr>
              <w:rPr>
                <w:rFonts w:cs="Times New Roman"/>
                <w:sz w:val="22"/>
              </w:rPr>
            </w:pPr>
            <w:r w:rsidRPr="00DD6940">
              <w:rPr>
                <w:rFonts w:cs="Times New Roman"/>
                <w:sz w:val="22"/>
              </w:rPr>
              <w:t>Neuvedeno</w:t>
            </w:r>
          </w:p>
        </w:tc>
        <w:tc>
          <w:tcPr>
            <w:tcW w:w="1666" w:type="pct"/>
            <w:noWrap/>
            <w:hideMark/>
          </w:tcPr>
          <w:p w14:paraId="211215F8" w14:textId="77777777" w:rsidR="00A14B9B" w:rsidRPr="00DD6940" w:rsidRDefault="00A14B9B" w:rsidP="00DB1D1D">
            <w:pPr>
              <w:jc w:val="right"/>
              <w:rPr>
                <w:rFonts w:cs="Times New Roman"/>
                <w:sz w:val="22"/>
              </w:rPr>
            </w:pPr>
            <w:r w:rsidRPr="00DD6940">
              <w:rPr>
                <w:rFonts w:cs="Times New Roman"/>
                <w:sz w:val="22"/>
              </w:rPr>
              <w:t>601</w:t>
            </w:r>
          </w:p>
        </w:tc>
        <w:tc>
          <w:tcPr>
            <w:tcW w:w="1667" w:type="pct"/>
            <w:noWrap/>
            <w:hideMark/>
          </w:tcPr>
          <w:p w14:paraId="4DE19ABE" w14:textId="77777777" w:rsidR="00A14B9B" w:rsidRPr="00DD6940" w:rsidRDefault="00A14B9B" w:rsidP="00DB1D1D">
            <w:pPr>
              <w:jc w:val="right"/>
              <w:rPr>
                <w:rFonts w:cs="Times New Roman"/>
                <w:sz w:val="22"/>
              </w:rPr>
            </w:pPr>
            <w:r w:rsidRPr="00DD6940">
              <w:rPr>
                <w:rFonts w:cs="Times New Roman"/>
                <w:sz w:val="22"/>
              </w:rPr>
              <w:t>163</w:t>
            </w:r>
          </w:p>
        </w:tc>
      </w:tr>
    </w:tbl>
    <w:p w14:paraId="36AC3E66" w14:textId="77777777" w:rsidR="00A14B9B" w:rsidRPr="002A0D4F" w:rsidRDefault="00A14B9B" w:rsidP="00DD6940">
      <w:pPr>
        <w:pStyle w:val="UZEIZdroj"/>
      </w:pPr>
      <w:r w:rsidRPr="002A0D4F">
        <w:t xml:space="preserve"> Zdroj: SPÚ, databáze polních cest realizovaných 1994-2020, vlastní zpracování</w:t>
      </w:r>
      <w:r w:rsidRPr="002A0D4F">
        <w:br/>
        <w:t>* Vypočteno z poskytnutých dat z obvodu polygonu polní cesty</w:t>
      </w:r>
    </w:p>
    <w:p w14:paraId="08E290B2" w14:textId="77777777" w:rsidR="00A14B9B" w:rsidRPr="002A0D4F" w:rsidRDefault="00A14B9B" w:rsidP="00A14B9B">
      <w:pPr>
        <w:jc w:val="left"/>
        <w:rPr>
          <w:rFonts w:cstheme="minorHAnsi"/>
          <w:i/>
          <w:sz w:val="20"/>
          <w:szCs w:val="20"/>
          <w:lang w:val="cs-CZ"/>
        </w:rPr>
      </w:pPr>
    </w:p>
    <w:p w14:paraId="76D5B4A2" w14:textId="72B49C30" w:rsidR="00A14B9B" w:rsidRPr="00DD6940" w:rsidRDefault="001E75A8" w:rsidP="00DD6940">
      <w:pPr>
        <w:pStyle w:val="UZEITaB"/>
        <w:rPr>
          <w:rFonts w:eastAsiaTheme="minorEastAsia"/>
        </w:rPr>
      </w:pPr>
      <w:bookmarkStart w:id="967" w:name="_Toc25920052"/>
      <w:bookmarkStart w:id="968" w:name="_Ref81776351"/>
      <w:bookmarkStart w:id="969" w:name="_Ref81776545"/>
      <w:bookmarkStart w:id="970" w:name="_Toc81815375"/>
      <w:r w:rsidRPr="00DD6940">
        <w:rPr>
          <w:rFonts w:eastAsiaTheme="minorEastAsia"/>
        </w:rPr>
        <w:lastRenderedPageBreak/>
        <w:t xml:space="preserve"> </w:t>
      </w:r>
      <w:bookmarkStart w:id="971" w:name="_Toc81817053"/>
      <w:bookmarkStart w:id="972" w:name="_Toc81817566"/>
      <w:r w:rsidR="00A14B9B" w:rsidRPr="00DD6940">
        <w:rPr>
          <w:rFonts w:eastAsiaTheme="minorEastAsia"/>
        </w:rPr>
        <w:t>Náklady podle povrchu polní cesty</w:t>
      </w:r>
      <w:bookmarkEnd w:id="967"/>
      <w:bookmarkEnd w:id="968"/>
      <w:bookmarkEnd w:id="969"/>
      <w:bookmarkEnd w:id="970"/>
      <w:bookmarkEnd w:id="971"/>
      <w:bookmarkEnd w:id="972"/>
    </w:p>
    <w:tbl>
      <w:tblPr>
        <w:tblW w:w="5000" w:type="pct"/>
        <w:tblCellMar>
          <w:left w:w="70" w:type="dxa"/>
          <w:right w:w="70" w:type="dxa"/>
        </w:tblCellMar>
        <w:tblLook w:val="04A0" w:firstRow="1" w:lastRow="0" w:firstColumn="1" w:lastColumn="0" w:noHBand="0" w:noVBand="1"/>
      </w:tblPr>
      <w:tblGrid>
        <w:gridCol w:w="3006"/>
        <w:gridCol w:w="3004"/>
        <w:gridCol w:w="3006"/>
      </w:tblGrid>
      <w:tr w:rsidR="00A14B9B" w:rsidRPr="00DD6940" w14:paraId="7F69C5E0" w14:textId="77777777" w:rsidTr="00DB1D1D">
        <w:trPr>
          <w:trHeight w:val="270"/>
        </w:trPr>
        <w:tc>
          <w:tcPr>
            <w:tcW w:w="1667"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F7F9EFD" w14:textId="77777777" w:rsidR="00A14B9B" w:rsidRPr="00DD6940" w:rsidRDefault="00A14B9B" w:rsidP="00DB1D1D">
            <w:pPr>
              <w:jc w:val="center"/>
              <w:rPr>
                <w:rFonts w:cs="Times New Roman"/>
                <w:b/>
                <w:bCs/>
                <w:sz w:val="22"/>
                <w:lang w:val="cs-CZ"/>
              </w:rPr>
            </w:pPr>
            <w:r w:rsidRPr="00DD6940">
              <w:rPr>
                <w:rFonts w:cs="Times New Roman"/>
                <w:b/>
                <w:bCs/>
                <w:sz w:val="22"/>
                <w:lang w:val="cs-CZ"/>
              </w:rPr>
              <w:t>Povrch polní cesty</w:t>
            </w:r>
          </w:p>
        </w:tc>
        <w:tc>
          <w:tcPr>
            <w:tcW w:w="1666" w:type="pct"/>
            <w:tcBorders>
              <w:top w:val="single" w:sz="4" w:space="0" w:color="auto"/>
              <w:left w:val="nil"/>
              <w:bottom w:val="single" w:sz="4" w:space="0" w:color="auto"/>
              <w:right w:val="single" w:sz="4" w:space="0" w:color="auto"/>
            </w:tcBorders>
            <w:shd w:val="clear" w:color="auto" w:fill="auto"/>
            <w:noWrap/>
            <w:vAlign w:val="center"/>
            <w:hideMark/>
          </w:tcPr>
          <w:p w14:paraId="5E033EBA" w14:textId="77777777" w:rsidR="00A14B9B" w:rsidRPr="00DD6940" w:rsidRDefault="00A14B9B" w:rsidP="00DB1D1D">
            <w:pPr>
              <w:jc w:val="center"/>
              <w:rPr>
                <w:rFonts w:cs="Times New Roman"/>
                <w:b/>
                <w:bCs/>
                <w:sz w:val="22"/>
                <w:lang w:val="cs-CZ"/>
              </w:rPr>
            </w:pPr>
            <w:r w:rsidRPr="00DD6940">
              <w:rPr>
                <w:rFonts w:cs="Times New Roman"/>
                <w:b/>
                <w:bCs/>
                <w:sz w:val="22"/>
                <w:lang w:val="cs-CZ"/>
              </w:rPr>
              <w:t>Náklady (mil.)</w:t>
            </w:r>
          </w:p>
        </w:tc>
        <w:tc>
          <w:tcPr>
            <w:tcW w:w="1667" w:type="pct"/>
            <w:tcBorders>
              <w:top w:val="single" w:sz="4" w:space="0" w:color="auto"/>
              <w:left w:val="nil"/>
              <w:bottom w:val="single" w:sz="4" w:space="0" w:color="auto"/>
              <w:right w:val="single" w:sz="4" w:space="0" w:color="auto"/>
            </w:tcBorders>
            <w:shd w:val="clear" w:color="auto" w:fill="auto"/>
            <w:noWrap/>
            <w:vAlign w:val="center"/>
            <w:hideMark/>
          </w:tcPr>
          <w:p w14:paraId="3D8A5849" w14:textId="77777777" w:rsidR="00A14B9B" w:rsidRPr="00DD6940" w:rsidRDefault="00A14B9B" w:rsidP="00DB1D1D">
            <w:pPr>
              <w:jc w:val="center"/>
              <w:rPr>
                <w:rFonts w:cs="Times New Roman"/>
                <w:b/>
                <w:bCs/>
                <w:sz w:val="22"/>
                <w:lang w:val="cs-CZ"/>
              </w:rPr>
            </w:pPr>
            <w:r w:rsidRPr="00DD6940">
              <w:rPr>
                <w:rFonts w:cs="Times New Roman"/>
                <w:b/>
                <w:bCs/>
                <w:sz w:val="22"/>
                <w:lang w:val="cs-CZ"/>
              </w:rPr>
              <w:t>Délka cesty (km)*</w:t>
            </w:r>
          </w:p>
        </w:tc>
      </w:tr>
      <w:tr w:rsidR="00A14B9B" w:rsidRPr="00DD6940" w14:paraId="722CF40A" w14:textId="77777777" w:rsidTr="00DB1D1D">
        <w:trPr>
          <w:trHeight w:val="27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14:paraId="17D92F05" w14:textId="77777777" w:rsidR="00A14B9B" w:rsidRPr="00DD6940" w:rsidRDefault="00A14B9B" w:rsidP="00DB1D1D">
            <w:pPr>
              <w:rPr>
                <w:rFonts w:cs="Times New Roman"/>
                <w:sz w:val="22"/>
                <w:lang w:val="cs-CZ"/>
              </w:rPr>
            </w:pPr>
            <w:r w:rsidRPr="00DD6940">
              <w:rPr>
                <w:rFonts w:cs="Times New Roman"/>
                <w:sz w:val="22"/>
                <w:lang w:val="cs-CZ"/>
              </w:rPr>
              <w:t>Asfalt/asfaltobeton</w:t>
            </w:r>
          </w:p>
        </w:tc>
        <w:tc>
          <w:tcPr>
            <w:tcW w:w="1666" w:type="pct"/>
            <w:tcBorders>
              <w:top w:val="nil"/>
              <w:left w:val="nil"/>
              <w:bottom w:val="single" w:sz="4" w:space="0" w:color="auto"/>
              <w:right w:val="single" w:sz="4" w:space="0" w:color="auto"/>
            </w:tcBorders>
            <w:shd w:val="clear" w:color="auto" w:fill="auto"/>
            <w:noWrap/>
            <w:vAlign w:val="bottom"/>
            <w:hideMark/>
          </w:tcPr>
          <w:p w14:paraId="01ED840C" w14:textId="77777777" w:rsidR="00A14B9B" w:rsidRPr="00DD6940" w:rsidRDefault="00A14B9B" w:rsidP="00DB1D1D">
            <w:pPr>
              <w:jc w:val="right"/>
              <w:rPr>
                <w:rFonts w:cs="Times New Roman"/>
                <w:sz w:val="22"/>
                <w:lang w:val="cs-CZ"/>
              </w:rPr>
            </w:pPr>
            <w:r w:rsidRPr="00DD6940">
              <w:rPr>
                <w:rFonts w:cs="Times New Roman"/>
                <w:sz w:val="22"/>
                <w:lang w:val="cs-CZ"/>
              </w:rPr>
              <w:t>34</w:t>
            </w:r>
          </w:p>
        </w:tc>
        <w:tc>
          <w:tcPr>
            <w:tcW w:w="1667" w:type="pct"/>
            <w:tcBorders>
              <w:top w:val="nil"/>
              <w:left w:val="nil"/>
              <w:bottom w:val="single" w:sz="4" w:space="0" w:color="auto"/>
              <w:right w:val="single" w:sz="4" w:space="0" w:color="auto"/>
            </w:tcBorders>
            <w:shd w:val="clear" w:color="auto" w:fill="auto"/>
            <w:noWrap/>
            <w:vAlign w:val="bottom"/>
            <w:hideMark/>
          </w:tcPr>
          <w:p w14:paraId="0FEF80CD" w14:textId="77777777" w:rsidR="00A14B9B" w:rsidRPr="00DD6940" w:rsidRDefault="00A14B9B" w:rsidP="00DB1D1D">
            <w:pPr>
              <w:jc w:val="right"/>
              <w:rPr>
                <w:rFonts w:cs="Times New Roman"/>
                <w:sz w:val="22"/>
                <w:lang w:val="cs-CZ"/>
              </w:rPr>
            </w:pPr>
            <w:r w:rsidRPr="00DD6940">
              <w:rPr>
                <w:rFonts w:cs="Times New Roman"/>
                <w:sz w:val="22"/>
                <w:lang w:val="cs-CZ"/>
              </w:rPr>
              <w:t>8</w:t>
            </w:r>
          </w:p>
        </w:tc>
      </w:tr>
      <w:tr w:rsidR="00A14B9B" w:rsidRPr="00DD6940" w14:paraId="58752913" w14:textId="77777777" w:rsidTr="00DB1D1D">
        <w:trPr>
          <w:trHeight w:val="27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14:paraId="419B23FC" w14:textId="77777777" w:rsidR="00A14B9B" w:rsidRPr="00DD6940" w:rsidRDefault="00A14B9B" w:rsidP="00DB1D1D">
            <w:pPr>
              <w:rPr>
                <w:rFonts w:cs="Times New Roman"/>
                <w:sz w:val="22"/>
                <w:lang w:val="cs-CZ"/>
              </w:rPr>
            </w:pPr>
            <w:proofErr w:type="spellStart"/>
            <w:r w:rsidRPr="00DD6940">
              <w:rPr>
                <w:rFonts w:cs="Times New Roman"/>
                <w:sz w:val="22"/>
                <w:lang w:val="cs-CZ"/>
              </w:rPr>
              <w:t>Cementobeton</w:t>
            </w:r>
            <w:proofErr w:type="spellEnd"/>
          </w:p>
        </w:tc>
        <w:tc>
          <w:tcPr>
            <w:tcW w:w="1666" w:type="pct"/>
            <w:tcBorders>
              <w:top w:val="nil"/>
              <w:left w:val="nil"/>
              <w:bottom w:val="single" w:sz="4" w:space="0" w:color="auto"/>
              <w:right w:val="single" w:sz="4" w:space="0" w:color="auto"/>
            </w:tcBorders>
            <w:shd w:val="clear" w:color="auto" w:fill="auto"/>
            <w:noWrap/>
            <w:vAlign w:val="bottom"/>
            <w:hideMark/>
          </w:tcPr>
          <w:p w14:paraId="77C05A3A" w14:textId="77777777" w:rsidR="00A14B9B" w:rsidRPr="00DD6940" w:rsidRDefault="00A14B9B" w:rsidP="00DB1D1D">
            <w:pPr>
              <w:jc w:val="right"/>
              <w:rPr>
                <w:rFonts w:cs="Times New Roman"/>
                <w:sz w:val="22"/>
                <w:lang w:val="cs-CZ"/>
              </w:rPr>
            </w:pPr>
            <w:r w:rsidRPr="00DD6940">
              <w:rPr>
                <w:rFonts w:cs="Times New Roman"/>
                <w:sz w:val="22"/>
                <w:lang w:val="cs-CZ"/>
              </w:rPr>
              <w:t>8 569</w:t>
            </w:r>
          </w:p>
        </w:tc>
        <w:tc>
          <w:tcPr>
            <w:tcW w:w="1667" w:type="pct"/>
            <w:tcBorders>
              <w:top w:val="nil"/>
              <w:left w:val="nil"/>
              <w:bottom w:val="single" w:sz="4" w:space="0" w:color="auto"/>
              <w:right w:val="single" w:sz="4" w:space="0" w:color="auto"/>
            </w:tcBorders>
            <w:shd w:val="clear" w:color="auto" w:fill="auto"/>
            <w:noWrap/>
            <w:vAlign w:val="bottom"/>
            <w:hideMark/>
          </w:tcPr>
          <w:p w14:paraId="2952618D" w14:textId="77777777" w:rsidR="00A14B9B" w:rsidRPr="00DD6940" w:rsidRDefault="00A14B9B" w:rsidP="00DB1D1D">
            <w:pPr>
              <w:jc w:val="right"/>
              <w:rPr>
                <w:rFonts w:cs="Times New Roman"/>
                <w:sz w:val="22"/>
                <w:lang w:val="cs-CZ"/>
              </w:rPr>
            </w:pPr>
            <w:r w:rsidRPr="00DD6940">
              <w:rPr>
                <w:rFonts w:cs="Times New Roman"/>
                <w:sz w:val="22"/>
                <w:lang w:val="cs-CZ"/>
              </w:rPr>
              <w:t>1 787</w:t>
            </w:r>
          </w:p>
        </w:tc>
      </w:tr>
      <w:tr w:rsidR="00A14B9B" w:rsidRPr="00DD6940" w14:paraId="5DED41F6" w14:textId="77777777" w:rsidTr="00DB1D1D">
        <w:trPr>
          <w:trHeight w:val="27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14:paraId="21B5A95A" w14:textId="77777777" w:rsidR="00A14B9B" w:rsidRPr="00DD6940" w:rsidRDefault="00A14B9B" w:rsidP="00DB1D1D">
            <w:pPr>
              <w:rPr>
                <w:rFonts w:cs="Times New Roman"/>
                <w:sz w:val="22"/>
                <w:lang w:val="cs-CZ"/>
              </w:rPr>
            </w:pPr>
            <w:r w:rsidRPr="00DD6940">
              <w:rPr>
                <w:rFonts w:cs="Times New Roman"/>
                <w:sz w:val="22"/>
                <w:lang w:val="cs-CZ"/>
              </w:rPr>
              <w:t>Dlážděný</w:t>
            </w:r>
          </w:p>
        </w:tc>
        <w:tc>
          <w:tcPr>
            <w:tcW w:w="1666" w:type="pct"/>
            <w:tcBorders>
              <w:top w:val="nil"/>
              <w:left w:val="nil"/>
              <w:bottom w:val="single" w:sz="4" w:space="0" w:color="auto"/>
              <w:right w:val="single" w:sz="4" w:space="0" w:color="auto"/>
            </w:tcBorders>
            <w:shd w:val="clear" w:color="auto" w:fill="auto"/>
            <w:noWrap/>
            <w:vAlign w:val="bottom"/>
            <w:hideMark/>
          </w:tcPr>
          <w:p w14:paraId="512EA74E" w14:textId="77777777" w:rsidR="00A14B9B" w:rsidRPr="00DD6940" w:rsidRDefault="00A14B9B" w:rsidP="00DB1D1D">
            <w:pPr>
              <w:jc w:val="right"/>
              <w:rPr>
                <w:rFonts w:cs="Times New Roman"/>
                <w:sz w:val="22"/>
                <w:lang w:val="cs-CZ"/>
              </w:rPr>
            </w:pPr>
            <w:r w:rsidRPr="00DD6940">
              <w:rPr>
                <w:rFonts w:cs="Times New Roman"/>
                <w:sz w:val="22"/>
                <w:lang w:val="cs-CZ"/>
              </w:rPr>
              <w:t>38</w:t>
            </w:r>
          </w:p>
        </w:tc>
        <w:tc>
          <w:tcPr>
            <w:tcW w:w="1667" w:type="pct"/>
            <w:tcBorders>
              <w:top w:val="nil"/>
              <w:left w:val="nil"/>
              <w:bottom w:val="single" w:sz="4" w:space="0" w:color="auto"/>
              <w:right w:val="single" w:sz="4" w:space="0" w:color="auto"/>
            </w:tcBorders>
            <w:shd w:val="clear" w:color="auto" w:fill="auto"/>
            <w:noWrap/>
            <w:vAlign w:val="bottom"/>
            <w:hideMark/>
          </w:tcPr>
          <w:p w14:paraId="05D52B5D" w14:textId="77777777" w:rsidR="00A14B9B" w:rsidRPr="00DD6940" w:rsidRDefault="00A14B9B" w:rsidP="00DB1D1D">
            <w:pPr>
              <w:jc w:val="right"/>
              <w:rPr>
                <w:rFonts w:cs="Times New Roman"/>
                <w:sz w:val="22"/>
                <w:lang w:val="cs-CZ"/>
              </w:rPr>
            </w:pPr>
            <w:r w:rsidRPr="00DD6940">
              <w:rPr>
                <w:rFonts w:cs="Times New Roman"/>
                <w:sz w:val="22"/>
                <w:lang w:val="cs-CZ"/>
              </w:rPr>
              <w:t>11</w:t>
            </w:r>
          </w:p>
        </w:tc>
      </w:tr>
      <w:tr w:rsidR="00A14B9B" w:rsidRPr="00DD6940" w14:paraId="5C0FDECA" w14:textId="77777777" w:rsidTr="00DB1D1D">
        <w:trPr>
          <w:trHeight w:val="27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14:paraId="72085687" w14:textId="77777777" w:rsidR="00A14B9B" w:rsidRPr="00DD6940" w:rsidRDefault="00A14B9B" w:rsidP="00DB1D1D">
            <w:pPr>
              <w:rPr>
                <w:rFonts w:cs="Times New Roman"/>
                <w:sz w:val="22"/>
                <w:lang w:val="cs-CZ"/>
              </w:rPr>
            </w:pPr>
            <w:r w:rsidRPr="00DD6940">
              <w:rPr>
                <w:rFonts w:cs="Times New Roman"/>
                <w:sz w:val="22"/>
                <w:lang w:val="cs-CZ"/>
              </w:rPr>
              <w:t>Nezpevněný</w:t>
            </w:r>
          </w:p>
        </w:tc>
        <w:tc>
          <w:tcPr>
            <w:tcW w:w="1666" w:type="pct"/>
            <w:tcBorders>
              <w:top w:val="nil"/>
              <w:left w:val="nil"/>
              <w:bottom w:val="single" w:sz="4" w:space="0" w:color="auto"/>
              <w:right w:val="single" w:sz="4" w:space="0" w:color="auto"/>
            </w:tcBorders>
            <w:shd w:val="clear" w:color="auto" w:fill="auto"/>
            <w:noWrap/>
            <w:vAlign w:val="bottom"/>
            <w:hideMark/>
          </w:tcPr>
          <w:p w14:paraId="44EC62EB" w14:textId="77777777" w:rsidR="00A14B9B" w:rsidRPr="00DD6940" w:rsidRDefault="00A14B9B" w:rsidP="00DB1D1D">
            <w:pPr>
              <w:jc w:val="right"/>
              <w:rPr>
                <w:rFonts w:cs="Times New Roman"/>
                <w:sz w:val="22"/>
                <w:lang w:val="cs-CZ"/>
              </w:rPr>
            </w:pPr>
            <w:r w:rsidRPr="00DD6940">
              <w:rPr>
                <w:rFonts w:cs="Times New Roman"/>
                <w:sz w:val="22"/>
                <w:lang w:val="cs-CZ"/>
              </w:rPr>
              <w:t>97</w:t>
            </w:r>
          </w:p>
        </w:tc>
        <w:tc>
          <w:tcPr>
            <w:tcW w:w="1667" w:type="pct"/>
            <w:tcBorders>
              <w:top w:val="nil"/>
              <w:left w:val="nil"/>
              <w:bottom w:val="single" w:sz="4" w:space="0" w:color="auto"/>
              <w:right w:val="single" w:sz="4" w:space="0" w:color="auto"/>
            </w:tcBorders>
            <w:shd w:val="clear" w:color="auto" w:fill="auto"/>
            <w:noWrap/>
            <w:vAlign w:val="bottom"/>
            <w:hideMark/>
          </w:tcPr>
          <w:p w14:paraId="3B9B9E2C" w14:textId="77777777" w:rsidR="00A14B9B" w:rsidRPr="00DD6940" w:rsidRDefault="00A14B9B" w:rsidP="00DB1D1D">
            <w:pPr>
              <w:jc w:val="right"/>
              <w:rPr>
                <w:rFonts w:cs="Times New Roman"/>
                <w:sz w:val="22"/>
                <w:lang w:val="cs-CZ"/>
              </w:rPr>
            </w:pPr>
            <w:r w:rsidRPr="00DD6940">
              <w:rPr>
                <w:rFonts w:cs="Times New Roman"/>
                <w:sz w:val="22"/>
                <w:lang w:val="cs-CZ"/>
              </w:rPr>
              <w:t>96</w:t>
            </w:r>
          </w:p>
        </w:tc>
      </w:tr>
      <w:tr w:rsidR="00A14B9B" w:rsidRPr="00DD6940" w14:paraId="3D67A447" w14:textId="77777777" w:rsidTr="00DB1D1D">
        <w:trPr>
          <w:trHeight w:val="27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14:paraId="67E2DF4B" w14:textId="77777777" w:rsidR="00A14B9B" w:rsidRPr="00DD6940" w:rsidRDefault="00A14B9B" w:rsidP="00DB1D1D">
            <w:pPr>
              <w:rPr>
                <w:rFonts w:cs="Times New Roman"/>
                <w:sz w:val="22"/>
                <w:lang w:val="cs-CZ"/>
              </w:rPr>
            </w:pPr>
            <w:r w:rsidRPr="00DD6940">
              <w:rPr>
                <w:rFonts w:cs="Times New Roman"/>
                <w:sz w:val="22"/>
                <w:lang w:val="cs-CZ"/>
              </w:rPr>
              <w:t>Penetrace</w:t>
            </w:r>
          </w:p>
        </w:tc>
        <w:tc>
          <w:tcPr>
            <w:tcW w:w="1666" w:type="pct"/>
            <w:tcBorders>
              <w:top w:val="nil"/>
              <w:left w:val="nil"/>
              <w:bottom w:val="single" w:sz="4" w:space="0" w:color="auto"/>
              <w:right w:val="single" w:sz="4" w:space="0" w:color="auto"/>
            </w:tcBorders>
            <w:shd w:val="clear" w:color="auto" w:fill="auto"/>
            <w:noWrap/>
            <w:vAlign w:val="bottom"/>
            <w:hideMark/>
          </w:tcPr>
          <w:p w14:paraId="059D4061" w14:textId="77777777" w:rsidR="00A14B9B" w:rsidRPr="00DD6940" w:rsidRDefault="00A14B9B" w:rsidP="00DB1D1D">
            <w:pPr>
              <w:jc w:val="right"/>
              <w:rPr>
                <w:rFonts w:cs="Times New Roman"/>
                <w:sz w:val="22"/>
                <w:lang w:val="cs-CZ"/>
              </w:rPr>
            </w:pPr>
            <w:r w:rsidRPr="00DD6940">
              <w:rPr>
                <w:rFonts w:cs="Times New Roman"/>
                <w:sz w:val="22"/>
                <w:lang w:val="cs-CZ"/>
              </w:rPr>
              <w:t>2 585</w:t>
            </w:r>
          </w:p>
        </w:tc>
        <w:tc>
          <w:tcPr>
            <w:tcW w:w="1667" w:type="pct"/>
            <w:tcBorders>
              <w:top w:val="nil"/>
              <w:left w:val="nil"/>
              <w:bottom w:val="single" w:sz="4" w:space="0" w:color="auto"/>
              <w:right w:val="single" w:sz="4" w:space="0" w:color="auto"/>
            </w:tcBorders>
            <w:shd w:val="clear" w:color="auto" w:fill="auto"/>
            <w:noWrap/>
            <w:vAlign w:val="bottom"/>
            <w:hideMark/>
          </w:tcPr>
          <w:p w14:paraId="7CBB6D93" w14:textId="77777777" w:rsidR="00A14B9B" w:rsidRPr="00DD6940" w:rsidRDefault="00A14B9B" w:rsidP="00DB1D1D">
            <w:pPr>
              <w:jc w:val="right"/>
              <w:rPr>
                <w:rFonts w:cs="Times New Roman"/>
                <w:sz w:val="22"/>
                <w:lang w:val="cs-CZ"/>
              </w:rPr>
            </w:pPr>
            <w:r w:rsidRPr="00DD6940">
              <w:rPr>
                <w:rFonts w:cs="Times New Roman"/>
                <w:sz w:val="22"/>
                <w:lang w:val="cs-CZ"/>
              </w:rPr>
              <w:t>727</w:t>
            </w:r>
          </w:p>
        </w:tc>
      </w:tr>
      <w:tr w:rsidR="00A14B9B" w:rsidRPr="00DD6940" w14:paraId="21360353" w14:textId="77777777" w:rsidTr="00DB1D1D">
        <w:trPr>
          <w:trHeight w:val="27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14:paraId="4C1605A5" w14:textId="77777777" w:rsidR="00A14B9B" w:rsidRPr="00DD6940" w:rsidRDefault="00A14B9B" w:rsidP="00DB1D1D">
            <w:pPr>
              <w:rPr>
                <w:rFonts w:cs="Times New Roman"/>
                <w:sz w:val="22"/>
                <w:lang w:val="cs-CZ"/>
              </w:rPr>
            </w:pPr>
            <w:r w:rsidRPr="00DD6940">
              <w:rPr>
                <w:rFonts w:cs="Times New Roman"/>
                <w:sz w:val="22"/>
                <w:lang w:val="cs-CZ"/>
              </w:rPr>
              <w:t>Stabilizovaný</w:t>
            </w:r>
          </w:p>
        </w:tc>
        <w:tc>
          <w:tcPr>
            <w:tcW w:w="1666" w:type="pct"/>
            <w:tcBorders>
              <w:top w:val="nil"/>
              <w:left w:val="nil"/>
              <w:bottom w:val="single" w:sz="4" w:space="0" w:color="auto"/>
              <w:right w:val="single" w:sz="4" w:space="0" w:color="auto"/>
            </w:tcBorders>
            <w:shd w:val="clear" w:color="auto" w:fill="auto"/>
            <w:noWrap/>
            <w:vAlign w:val="bottom"/>
            <w:hideMark/>
          </w:tcPr>
          <w:p w14:paraId="03E35A38" w14:textId="77777777" w:rsidR="00A14B9B" w:rsidRPr="00DD6940" w:rsidRDefault="00A14B9B" w:rsidP="00DB1D1D">
            <w:pPr>
              <w:jc w:val="right"/>
              <w:rPr>
                <w:rFonts w:cs="Times New Roman"/>
                <w:sz w:val="22"/>
                <w:lang w:val="cs-CZ"/>
              </w:rPr>
            </w:pPr>
            <w:r w:rsidRPr="00DD6940">
              <w:rPr>
                <w:rFonts w:cs="Times New Roman"/>
                <w:sz w:val="22"/>
                <w:lang w:val="cs-CZ"/>
              </w:rPr>
              <w:t>164</w:t>
            </w:r>
          </w:p>
        </w:tc>
        <w:tc>
          <w:tcPr>
            <w:tcW w:w="1667" w:type="pct"/>
            <w:tcBorders>
              <w:top w:val="nil"/>
              <w:left w:val="nil"/>
              <w:bottom w:val="single" w:sz="4" w:space="0" w:color="auto"/>
              <w:right w:val="single" w:sz="4" w:space="0" w:color="auto"/>
            </w:tcBorders>
            <w:shd w:val="clear" w:color="auto" w:fill="auto"/>
            <w:noWrap/>
            <w:vAlign w:val="bottom"/>
            <w:hideMark/>
          </w:tcPr>
          <w:p w14:paraId="4408D090" w14:textId="77777777" w:rsidR="00A14B9B" w:rsidRPr="00DD6940" w:rsidRDefault="00A14B9B" w:rsidP="00DB1D1D">
            <w:pPr>
              <w:jc w:val="right"/>
              <w:rPr>
                <w:rFonts w:cs="Times New Roman"/>
                <w:sz w:val="22"/>
                <w:lang w:val="cs-CZ"/>
              </w:rPr>
            </w:pPr>
            <w:r w:rsidRPr="00DD6940">
              <w:rPr>
                <w:rFonts w:cs="Times New Roman"/>
                <w:sz w:val="22"/>
                <w:lang w:val="cs-CZ"/>
              </w:rPr>
              <w:t>54</w:t>
            </w:r>
          </w:p>
        </w:tc>
      </w:tr>
      <w:tr w:rsidR="00A14B9B" w:rsidRPr="00DD6940" w14:paraId="40648A00" w14:textId="77777777" w:rsidTr="00DB1D1D">
        <w:trPr>
          <w:trHeight w:val="27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14:paraId="302A46EB" w14:textId="77777777" w:rsidR="00A14B9B" w:rsidRPr="00DD6940" w:rsidRDefault="00A14B9B" w:rsidP="00DB1D1D">
            <w:pPr>
              <w:rPr>
                <w:rFonts w:cs="Times New Roman"/>
                <w:sz w:val="22"/>
                <w:lang w:val="cs-CZ"/>
              </w:rPr>
            </w:pPr>
            <w:r w:rsidRPr="00DD6940">
              <w:rPr>
                <w:rFonts w:cs="Times New Roman"/>
                <w:sz w:val="22"/>
                <w:lang w:val="cs-CZ"/>
              </w:rPr>
              <w:t>Štěrkový</w:t>
            </w:r>
          </w:p>
        </w:tc>
        <w:tc>
          <w:tcPr>
            <w:tcW w:w="1666" w:type="pct"/>
            <w:tcBorders>
              <w:top w:val="nil"/>
              <w:left w:val="nil"/>
              <w:bottom w:val="single" w:sz="4" w:space="0" w:color="auto"/>
              <w:right w:val="single" w:sz="4" w:space="0" w:color="auto"/>
            </w:tcBorders>
            <w:shd w:val="clear" w:color="auto" w:fill="auto"/>
            <w:noWrap/>
            <w:vAlign w:val="bottom"/>
            <w:hideMark/>
          </w:tcPr>
          <w:p w14:paraId="60EF6EF3" w14:textId="77777777" w:rsidR="00A14B9B" w:rsidRPr="00DD6940" w:rsidRDefault="00A14B9B" w:rsidP="00DB1D1D">
            <w:pPr>
              <w:jc w:val="right"/>
              <w:rPr>
                <w:rFonts w:cs="Times New Roman"/>
                <w:sz w:val="22"/>
                <w:lang w:val="cs-CZ"/>
              </w:rPr>
            </w:pPr>
            <w:r w:rsidRPr="00DD6940">
              <w:rPr>
                <w:rFonts w:cs="Times New Roman"/>
                <w:sz w:val="22"/>
                <w:lang w:val="cs-CZ"/>
              </w:rPr>
              <w:t>786</w:t>
            </w:r>
          </w:p>
        </w:tc>
        <w:tc>
          <w:tcPr>
            <w:tcW w:w="1667" w:type="pct"/>
            <w:tcBorders>
              <w:top w:val="nil"/>
              <w:left w:val="nil"/>
              <w:bottom w:val="single" w:sz="4" w:space="0" w:color="auto"/>
              <w:right w:val="single" w:sz="4" w:space="0" w:color="auto"/>
            </w:tcBorders>
            <w:shd w:val="clear" w:color="auto" w:fill="auto"/>
            <w:noWrap/>
            <w:vAlign w:val="bottom"/>
            <w:hideMark/>
          </w:tcPr>
          <w:p w14:paraId="5C80485A" w14:textId="77777777" w:rsidR="00A14B9B" w:rsidRPr="00DD6940" w:rsidRDefault="00A14B9B" w:rsidP="00DB1D1D">
            <w:pPr>
              <w:jc w:val="right"/>
              <w:rPr>
                <w:rFonts w:cs="Times New Roman"/>
                <w:sz w:val="22"/>
                <w:lang w:val="cs-CZ"/>
              </w:rPr>
            </w:pPr>
            <w:r w:rsidRPr="00DD6940">
              <w:rPr>
                <w:rFonts w:cs="Times New Roman"/>
                <w:sz w:val="22"/>
                <w:lang w:val="cs-CZ"/>
              </w:rPr>
              <w:t>294</w:t>
            </w:r>
          </w:p>
        </w:tc>
      </w:tr>
      <w:tr w:rsidR="00A14B9B" w:rsidRPr="00DD6940" w14:paraId="050F32BF" w14:textId="77777777" w:rsidTr="00DB1D1D">
        <w:trPr>
          <w:trHeight w:val="27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14:paraId="6C0EEBA7" w14:textId="77777777" w:rsidR="00A14B9B" w:rsidRPr="00DD6940" w:rsidRDefault="00A14B9B" w:rsidP="00DB1D1D">
            <w:pPr>
              <w:rPr>
                <w:rFonts w:cs="Times New Roman"/>
                <w:sz w:val="22"/>
                <w:lang w:val="cs-CZ"/>
              </w:rPr>
            </w:pPr>
            <w:r w:rsidRPr="00DD6940">
              <w:rPr>
                <w:rFonts w:cs="Times New Roman"/>
                <w:sz w:val="22"/>
                <w:lang w:val="cs-CZ"/>
              </w:rPr>
              <w:t>Neuvedeno</w:t>
            </w:r>
          </w:p>
        </w:tc>
        <w:tc>
          <w:tcPr>
            <w:tcW w:w="1666" w:type="pct"/>
            <w:tcBorders>
              <w:top w:val="nil"/>
              <w:left w:val="nil"/>
              <w:bottom w:val="single" w:sz="4" w:space="0" w:color="auto"/>
              <w:right w:val="single" w:sz="4" w:space="0" w:color="auto"/>
            </w:tcBorders>
            <w:shd w:val="clear" w:color="auto" w:fill="auto"/>
            <w:noWrap/>
            <w:vAlign w:val="bottom"/>
            <w:hideMark/>
          </w:tcPr>
          <w:p w14:paraId="137354B7" w14:textId="77777777" w:rsidR="00A14B9B" w:rsidRPr="00DD6940" w:rsidRDefault="00A14B9B" w:rsidP="00DB1D1D">
            <w:pPr>
              <w:jc w:val="right"/>
              <w:rPr>
                <w:rFonts w:cs="Times New Roman"/>
                <w:sz w:val="22"/>
                <w:lang w:val="cs-CZ"/>
              </w:rPr>
            </w:pPr>
            <w:r w:rsidRPr="00DD6940">
              <w:rPr>
                <w:rFonts w:cs="Times New Roman"/>
                <w:sz w:val="22"/>
                <w:lang w:val="cs-CZ"/>
              </w:rPr>
              <w:t>204</w:t>
            </w:r>
          </w:p>
        </w:tc>
        <w:tc>
          <w:tcPr>
            <w:tcW w:w="1667" w:type="pct"/>
            <w:tcBorders>
              <w:top w:val="nil"/>
              <w:left w:val="nil"/>
              <w:bottom w:val="single" w:sz="4" w:space="0" w:color="auto"/>
              <w:right w:val="single" w:sz="4" w:space="0" w:color="auto"/>
            </w:tcBorders>
            <w:shd w:val="clear" w:color="auto" w:fill="auto"/>
            <w:noWrap/>
            <w:vAlign w:val="bottom"/>
            <w:hideMark/>
          </w:tcPr>
          <w:p w14:paraId="4A85AB73" w14:textId="77777777" w:rsidR="00A14B9B" w:rsidRPr="00DD6940" w:rsidRDefault="00A14B9B" w:rsidP="00DB1D1D">
            <w:pPr>
              <w:jc w:val="right"/>
              <w:rPr>
                <w:rFonts w:cs="Times New Roman"/>
                <w:sz w:val="22"/>
                <w:lang w:val="cs-CZ"/>
              </w:rPr>
            </w:pPr>
            <w:r w:rsidRPr="00DD6940">
              <w:rPr>
                <w:rFonts w:cs="Times New Roman"/>
                <w:sz w:val="22"/>
                <w:lang w:val="cs-CZ"/>
              </w:rPr>
              <w:t>73</w:t>
            </w:r>
          </w:p>
        </w:tc>
      </w:tr>
      <w:tr w:rsidR="00A14B9B" w:rsidRPr="00DD6940" w14:paraId="6CF4CD76" w14:textId="77777777" w:rsidTr="00DB1D1D">
        <w:trPr>
          <w:trHeight w:val="27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14:paraId="331A864E" w14:textId="77777777" w:rsidR="00A14B9B" w:rsidRPr="00DD6940" w:rsidRDefault="00A14B9B" w:rsidP="00DB1D1D">
            <w:pPr>
              <w:rPr>
                <w:rFonts w:cs="Times New Roman"/>
                <w:sz w:val="22"/>
                <w:lang w:val="cs-CZ"/>
              </w:rPr>
            </w:pPr>
            <w:r w:rsidRPr="00DD6940">
              <w:rPr>
                <w:rFonts w:cs="Times New Roman"/>
                <w:sz w:val="22"/>
                <w:lang w:val="cs-CZ"/>
              </w:rPr>
              <w:t>Ostatní</w:t>
            </w:r>
          </w:p>
        </w:tc>
        <w:tc>
          <w:tcPr>
            <w:tcW w:w="1666" w:type="pct"/>
            <w:tcBorders>
              <w:top w:val="nil"/>
              <w:left w:val="nil"/>
              <w:bottom w:val="single" w:sz="4" w:space="0" w:color="auto"/>
              <w:right w:val="single" w:sz="4" w:space="0" w:color="auto"/>
            </w:tcBorders>
            <w:shd w:val="clear" w:color="auto" w:fill="auto"/>
            <w:noWrap/>
            <w:vAlign w:val="bottom"/>
            <w:hideMark/>
          </w:tcPr>
          <w:p w14:paraId="1B9F2BAA" w14:textId="77777777" w:rsidR="00A14B9B" w:rsidRPr="00DD6940" w:rsidRDefault="00A14B9B" w:rsidP="00DB1D1D">
            <w:pPr>
              <w:jc w:val="right"/>
              <w:rPr>
                <w:rFonts w:cs="Times New Roman"/>
                <w:sz w:val="22"/>
                <w:lang w:val="cs-CZ"/>
              </w:rPr>
            </w:pPr>
            <w:r w:rsidRPr="00DD6940">
              <w:rPr>
                <w:rFonts w:cs="Times New Roman"/>
                <w:sz w:val="22"/>
                <w:lang w:val="cs-CZ"/>
              </w:rPr>
              <w:t>190</w:t>
            </w:r>
          </w:p>
        </w:tc>
        <w:tc>
          <w:tcPr>
            <w:tcW w:w="1667" w:type="pct"/>
            <w:tcBorders>
              <w:top w:val="nil"/>
              <w:left w:val="nil"/>
              <w:bottom w:val="single" w:sz="4" w:space="0" w:color="auto"/>
              <w:right w:val="single" w:sz="4" w:space="0" w:color="auto"/>
            </w:tcBorders>
            <w:shd w:val="clear" w:color="auto" w:fill="auto"/>
            <w:noWrap/>
            <w:vAlign w:val="bottom"/>
            <w:hideMark/>
          </w:tcPr>
          <w:p w14:paraId="445ADD9E" w14:textId="77777777" w:rsidR="00A14B9B" w:rsidRPr="00DD6940" w:rsidRDefault="00A14B9B" w:rsidP="00DB1D1D">
            <w:pPr>
              <w:jc w:val="right"/>
              <w:rPr>
                <w:rFonts w:cs="Times New Roman"/>
                <w:sz w:val="22"/>
                <w:lang w:val="cs-CZ"/>
              </w:rPr>
            </w:pPr>
            <w:r w:rsidRPr="00DD6940">
              <w:rPr>
                <w:rFonts w:cs="Times New Roman"/>
                <w:sz w:val="22"/>
                <w:lang w:val="cs-CZ"/>
              </w:rPr>
              <w:t>76</w:t>
            </w:r>
          </w:p>
        </w:tc>
      </w:tr>
    </w:tbl>
    <w:p w14:paraId="067B2A9F" w14:textId="77777777" w:rsidR="00A14B9B" w:rsidRPr="002A0D4F" w:rsidRDefault="00A14B9B" w:rsidP="00DD6940">
      <w:pPr>
        <w:pStyle w:val="UZEIZdroj"/>
      </w:pPr>
      <w:r w:rsidRPr="002A0D4F">
        <w:t>Zdroj: SPÚ, databáze polních cest realizovaných 1994-2020, vlastní zpracování</w:t>
      </w:r>
    </w:p>
    <w:p w14:paraId="3E1EC7E4" w14:textId="77777777" w:rsidR="00A14B9B" w:rsidRPr="002A0D4F" w:rsidRDefault="00A14B9B" w:rsidP="00DD6940">
      <w:pPr>
        <w:pStyle w:val="UZEIZdroj"/>
      </w:pPr>
      <w:r w:rsidRPr="002A0D4F">
        <w:t>* Vypočteno z poskytnutých dat z obvodu polygonu polní cesty</w:t>
      </w:r>
    </w:p>
    <w:p w14:paraId="6B2224BC" w14:textId="77777777" w:rsidR="00A14B9B" w:rsidRPr="002A0D4F" w:rsidRDefault="00A14B9B" w:rsidP="00C229B5">
      <w:pPr>
        <w:pStyle w:val="UZEINormaln"/>
        <w:numPr>
          <w:ilvl w:val="0"/>
          <w:numId w:val="66"/>
        </w:numPr>
        <w:rPr>
          <w:b/>
        </w:rPr>
      </w:pPr>
      <w:r w:rsidRPr="002A0D4F">
        <w:rPr>
          <w:b/>
        </w:rPr>
        <w:t xml:space="preserve">Polní cesty navržené a stávající </w:t>
      </w:r>
    </w:p>
    <w:p w14:paraId="17E82E25" w14:textId="77777777" w:rsidR="00A14B9B" w:rsidRPr="002A0D4F" w:rsidRDefault="00A14B9B" w:rsidP="00C229B5">
      <w:pPr>
        <w:pStyle w:val="UZEINormaln"/>
      </w:pPr>
      <w:r w:rsidRPr="002A0D4F">
        <w:t xml:space="preserve">Ve druhém souboru jsou záznamy polních cest navržených a stávajících, celkem se jedná o 60 746 polních cest. Z toho je polních cest stávajících 16 305 s délkou 8 159 kilometrů, navržených 43 389 s délkou 23 944 a u 1 052 cest není uvedeno, v jakém stavu se nachází.  Nejvíce stávajících polních cest je zaznamenáno v kraji Jihomoravském. Ve stejném kraji je také nejvíce polních cest navržených. Naopak nejméně cest navržených i stávajících kromě území hlavního města Prahy je v kraji Karlovarském. </w:t>
      </w:r>
    </w:p>
    <w:p w14:paraId="7E59F4B7" w14:textId="7A9EC6F9" w:rsidR="00A14B9B" w:rsidRPr="00C229B5" w:rsidRDefault="00C229B5" w:rsidP="00C229B5">
      <w:pPr>
        <w:pStyle w:val="UZEITaB"/>
        <w:rPr>
          <w:rFonts w:eastAsiaTheme="minorEastAsia"/>
        </w:rPr>
      </w:pPr>
      <w:bookmarkStart w:id="973" w:name="_Toc25920053"/>
      <w:r w:rsidRPr="00C229B5">
        <w:rPr>
          <w:rFonts w:eastAsiaTheme="minorEastAsia"/>
        </w:rPr>
        <w:t xml:space="preserve"> </w:t>
      </w:r>
      <w:bookmarkStart w:id="974" w:name="_Toc81815376"/>
      <w:bookmarkStart w:id="975" w:name="_Toc81817054"/>
      <w:bookmarkStart w:id="976" w:name="_Toc81817567"/>
      <w:r w:rsidR="00A14B9B" w:rsidRPr="00C229B5">
        <w:rPr>
          <w:rFonts w:eastAsiaTheme="minorEastAsia"/>
        </w:rPr>
        <w:t>Délka polních cest navržených a stávajících podle krajů</w:t>
      </w:r>
      <w:bookmarkEnd w:id="973"/>
      <w:bookmarkEnd w:id="974"/>
      <w:bookmarkEnd w:id="975"/>
      <w:bookmarkEnd w:id="976"/>
    </w:p>
    <w:tbl>
      <w:tblPr>
        <w:tblStyle w:val="Mkatabulky"/>
        <w:tblW w:w="0" w:type="auto"/>
        <w:tblLook w:val="04A0" w:firstRow="1" w:lastRow="0" w:firstColumn="1" w:lastColumn="0" w:noHBand="0" w:noVBand="1"/>
      </w:tblPr>
      <w:tblGrid>
        <w:gridCol w:w="2111"/>
        <w:gridCol w:w="1589"/>
        <w:gridCol w:w="1772"/>
        <w:gridCol w:w="1772"/>
        <w:gridCol w:w="1772"/>
      </w:tblGrid>
      <w:tr w:rsidR="00A14B9B" w:rsidRPr="002A0D4F" w14:paraId="4B976DAC" w14:textId="77777777" w:rsidTr="00DB1D1D">
        <w:trPr>
          <w:trHeight w:val="270"/>
        </w:trPr>
        <w:tc>
          <w:tcPr>
            <w:tcW w:w="2122" w:type="dxa"/>
            <w:noWrap/>
            <w:hideMark/>
          </w:tcPr>
          <w:p w14:paraId="5C0DFA0E" w14:textId="77777777" w:rsidR="00A14B9B" w:rsidRPr="002A0D4F" w:rsidRDefault="00A14B9B" w:rsidP="00DB1D1D">
            <w:pPr>
              <w:jc w:val="center"/>
              <w:rPr>
                <w:rFonts w:cstheme="minorHAnsi"/>
                <w:b/>
                <w:bCs/>
                <w:sz w:val="20"/>
                <w:szCs w:val="20"/>
              </w:rPr>
            </w:pPr>
            <w:r w:rsidRPr="002A0D4F">
              <w:rPr>
                <w:rFonts w:cstheme="minorHAnsi"/>
                <w:b/>
                <w:bCs/>
                <w:sz w:val="20"/>
                <w:szCs w:val="20"/>
              </w:rPr>
              <w:t>Název kraje</w:t>
            </w:r>
          </w:p>
        </w:tc>
        <w:tc>
          <w:tcPr>
            <w:tcW w:w="1597" w:type="dxa"/>
            <w:noWrap/>
            <w:hideMark/>
          </w:tcPr>
          <w:p w14:paraId="1F3EC261" w14:textId="77777777" w:rsidR="00A14B9B" w:rsidRPr="002A0D4F" w:rsidRDefault="00A14B9B" w:rsidP="00DB1D1D">
            <w:pPr>
              <w:jc w:val="center"/>
              <w:rPr>
                <w:rFonts w:cstheme="minorHAnsi"/>
                <w:b/>
                <w:bCs/>
                <w:sz w:val="20"/>
                <w:szCs w:val="20"/>
              </w:rPr>
            </w:pPr>
            <w:r w:rsidRPr="002A0D4F">
              <w:rPr>
                <w:rFonts w:cstheme="minorHAnsi"/>
                <w:b/>
                <w:bCs/>
                <w:sz w:val="20"/>
                <w:szCs w:val="20"/>
              </w:rPr>
              <w:t>Navržená (km)</w:t>
            </w:r>
          </w:p>
        </w:tc>
        <w:tc>
          <w:tcPr>
            <w:tcW w:w="1781" w:type="dxa"/>
            <w:noWrap/>
            <w:hideMark/>
          </w:tcPr>
          <w:p w14:paraId="45B3CE2B" w14:textId="77777777" w:rsidR="00A14B9B" w:rsidRPr="002A0D4F" w:rsidRDefault="00A14B9B" w:rsidP="00DB1D1D">
            <w:pPr>
              <w:jc w:val="center"/>
              <w:rPr>
                <w:rFonts w:cstheme="minorHAnsi"/>
                <w:b/>
                <w:bCs/>
                <w:sz w:val="20"/>
                <w:szCs w:val="20"/>
              </w:rPr>
            </w:pPr>
            <w:r w:rsidRPr="002A0D4F">
              <w:rPr>
                <w:rFonts w:cstheme="minorHAnsi"/>
                <w:b/>
                <w:bCs/>
                <w:sz w:val="20"/>
                <w:szCs w:val="20"/>
              </w:rPr>
              <w:t>Stávající (km)</w:t>
            </w:r>
          </w:p>
        </w:tc>
        <w:tc>
          <w:tcPr>
            <w:tcW w:w="1781" w:type="dxa"/>
            <w:hideMark/>
          </w:tcPr>
          <w:p w14:paraId="1DF913AD" w14:textId="77777777" w:rsidR="00A14B9B" w:rsidRPr="002A0D4F" w:rsidRDefault="00A14B9B" w:rsidP="00DB1D1D">
            <w:pPr>
              <w:jc w:val="center"/>
              <w:rPr>
                <w:rFonts w:cstheme="minorHAnsi"/>
                <w:b/>
                <w:bCs/>
                <w:sz w:val="20"/>
                <w:szCs w:val="20"/>
              </w:rPr>
            </w:pPr>
            <w:r w:rsidRPr="002A0D4F">
              <w:rPr>
                <w:rFonts w:cstheme="minorHAnsi"/>
                <w:b/>
                <w:bCs/>
                <w:sz w:val="20"/>
                <w:szCs w:val="20"/>
              </w:rPr>
              <w:t>Nerozlišeno/</w:t>
            </w:r>
          </w:p>
          <w:p w14:paraId="77749555" w14:textId="77777777" w:rsidR="00A14B9B" w:rsidRPr="002A0D4F" w:rsidRDefault="00A14B9B" w:rsidP="00DB1D1D">
            <w:pPr>
              <w:jc w:val="center"/>
              <w:rPr>
                <w:rFonts w:cstheme="minorHAnsi"/>
                <w:b/>
                <w:bCs/>
                <w:sz w:val="20"/>
                <w:szCs w:val="20"/>
              </w:rPr>
            </w:pPr>
            <w:r w:rsidRPr="002A0D4F">
              <w:rPr>
                <w:rFonts w:cstheme="minorHAnsi"/>
                <w:b/>
                <w:bCs/>
                <w:sz w:val="20"/>
                <w:szCs w:val="20"/>
              </w:rPr>
              <w:t>neuvedeno (km)</w:t>
            </w:r>
          </w:p>
        </w:tc>
        <w:tc>
          <w:tcPr>
            <w:tcW w:w="1781" w:type="dxa"/>
            <w:noWrap/>
            <w:hideMark/>
          </w:tcPr>
          <w:p w14:paraId="4E91D4A4" w14:textId="77777777" w:rsidR="00A14B9B" w:rsidRPr="002A0D4F" w:rsidRDefault="00A14B9B" w:rsidP="00DB1D1D">
            <w:pPr>
              <w:jc w:val="center"/>
              <w:rPr>
                <w:rFonts w:cstheme="minorHAnsi"/>
                <w:b/>
                <w:bCs/>
                <w:sz w:val="20"/>
                <w:szCs w:val="20"/>
              </w:rPr>
            </w:pPr>
            <w:r w:rsidRPr="002A0D4F">
              <w:rPr>
                <w:rFonts w:cstheme="minorHAnsi"/>
                <w:b/>
                <w:bCs/>
                <w:sz w:val="20"/>
                <w:szCs w:val="20"/>
              </w:rPr>
              <w:t>Délka cest (km)*</w:t>
            </w:r>
          </w:p>
        </w:tc>
      </w:tr>
      <w:tr w:rsidR="00A14B9B" w:rsidRPr="002A0D4F" w14:paraId="405063D8" w14:textId="77777777" w:rsidTr="00DB1D1D">
        <w:trPr>
          <w:trHeight w:val="270"/>
        </w:trPr>
        <w:tc>
          <w:tcPr>
            <w:tcW w:w="2122" w:type="dxa"/>
            <w:noWrap/>
            <w:hideMark/>
          </w:tcPr>
          <w:p w14:paraId="0B572E03" w14:textId="77777777" w:rsidR="00A14B9B" w:rsidRPr="002A0D4F" w:rsidRDefault="00A14B9B" w:rsidP="00DB1D1D">
            <w:pPr>
              <w:rPr>
                <w:rFonts w:cstheme="minorHAnsi"/>
                <w:sz w:val="20"/>
                <w:szCs w:val="20"/>
              </w:rPr>
            </w:pPr>
            <w:r w:rsidRPr="002A0D4F">
              <w:rPr>
                <w:rFonts w:cstheme="minorHAnsi"/>
                <w:sz w:val="20"/>
                <w:szCs w:val="20"/>
              </w:rPr>
              <w:t>Hlavní město Praha</w:t>
            </w:r>
          </w:p>
        </w:tc>
        <w:tc>
          <w:tcPr>
            <w:tcW w:w="1597" w:type="dxa"/>
            <w:noWrap/>
            <w:hideMark/>
          </w:tcPr>
          <w:p w14:paraId="2A8CEA5B" w14:textId="77777777" w:rsidR="00A14B9B" w:rsidRPr="002A0D4F" w:rsidRDefault="00A14B9B" w:rsidP="00DB1D1D">
            <w:pPr>
              <w:jc w:val="right"/>
              <w:rPr>
                <w:rFonts w:cstheme="minorHAnsi"/>
                <w:sz w:val="20"/>
                <w:szCs w:val="20"/>
              </w:rPr>
            </w:pPr>
            <w:r w:rsidRPr="002A0D4F">
              <w:rPr>
                <w:rFonts w:cstheme="minorHAnsi"/>
                <w:sz w:val="20"/>
                <w:szCs w:val="20"/>
              </w:rPr>
              <w:t>14</w:t>
            </w:r>
          </w:p>
        </w:tc>
        <w:tc>
          <w:tcPr>
            <w:tcW w:w="1781" w:type="dxa"/>
            <w:noWrap/>
            <w:hideMark/>
          </w:tcPr>
          <w:p w14:paraId="7B07608C" w14:textId="77777777" w:rsidR="00A14B9B" w:rsidRPr="002A0D4F" w:rsidRDefault="00A14B9B" w:rsidP="00DB1D1D">
            <w:pPr>
              <w:jc w:val="right"/>
              <w:rPr>
                <w:rFonts w:cstheme="minorHAnsi"/>
                <w:sz w:val="20"/>
                <w:szCs w:val="20"/>
              </w:rPr>
            </w:pPr>
            <w:r w:rsidRPr="002A0D4F">
              <w:rPr>
                <w:rFonts w:cstheme="minorHAnsi"/>
                <w:sz w:val="20"/>
                <w:szCs w:val="20"/>
              </w:rPr>
              <w:t>8</w:t>
            </w:r>
          </w:p>
        </w:tc>
        <w:tc>
          <w:tcPr>
            <w:tcW w:w="1781" w:type="dxa"/>
            <w:noWrap/>
            <w:hideMark/>
          </w:tcPr>
          <w:p w14:paraId="650FE39A" w14:textId="77777777" w:rsidR="00A14B9B" w:rsidRPr="002A0D4F" w:rsidRDefault="00A14B9B" w:rsidP="00DB1D1D">
            <w:pPr>
              <w:jc w:val="right"/>
              <w:rPr>
                <w:rFonts w:cstheme="minorHAnsi"/>
                <w:sz w:val="20"/>
                <w:szCs w:val="20"/>
              </w:rPr>
            </w:pPr>
            <w:r w:rsidRPr="002A0D4F">
              <w:rPr>
                <w:rFonts w:cstheme="minorHAnsi"/>
                <w:sz w:val="20"/>
                <w:szCs w:val="20"/>
              </w:rPr>
              <w:t>0</w:t>
            </w:r>
          </w:p>
        </w:tc>
        <w:tc>
          <w:tcPr>
            <w:tcW w:w="1781" w:type="dxa"/>
            <w:noWrap/>
            <w:hideMark/>
          </w:tcPr>
          <w:p w14:paraId="2D9B77D1" w14:textId="77777777" w:rsidR="00A14B9B" w:rsidRPr="002A0D4F" w:rsidRDefault="00A14B9B" w:rsidP="00DB1D1D">
            <w:pPr>
              <w:jc w:val="right"/>
              <w:rPr>
                <w:rFonts w:cstheme="minorHAnsi"/>
                <w:sz w:val="20"/>
                <w:szCs w:val="20"/>
              </w:rPr>
            </w:pPr>
            <w:r w:rsidRPr="002A0D4F">
              <w:rPr>
                <w:rFonts w:cstheme="minorHAnsi"/>
                <w:sz w:val="20"/>
                <w:szCs w:val="20"/>
              </w:rPr>
              <w:t>22</w:t>
            </w:r>
          </w:p>
        </w:tc>
      </w:tr>
      <w:tr w:rsidR="00A14B9B" w:rsidRPr="002A0D4F" w14:paraId="1AD70B5D" w14:textId="77777777" w:rsidTr="00DB1D1D">
        <w:trPr>
          <w:trHeight w:val="270"/>
        </w:trPr>
        <w:tc>
          <w:tcPr>
            <w:tcW w:w="2122" w:type="dxa"/>
            <w:noWrap/>
            <w:hideMark/>
          </w:tcPr>
          <w:p w14:paraId="671323EB" w14:textId="77777777" w:rsidR="00A14B9B" w:rsidRPr="002A0D4F" w:rsidRDefault="00A14B9B" w:rsidP="00DB1D1D">
            <w:pPr>
              <w:rPr>
                <w:rFonts w:cstheme="minorHAnsi"/>
                <w:sz w:val="20"/>
                <w:szCs w:val="20"/>
              </w:rPr>
            </w:pPr>
            <w:r w:rsidRPr="002A0D4F">
              <w:rPr>
                <w:rFonts w:cstheme="minorHAnsi"/>
                <w:sz w:val="20"/>
                <w:szCs w:val="20"/>
              </w:rPr>
              <w:t>Jihočeský kraj</w:t>
            </w:r>
          </w:p>
        </w:tc>
        <w:tc>
          <w:tcPr>
            <w:tcW w:w="1597" w:type="dxa"/>
            <w:noWrap/>
            <w:hideMark/>
          </w:tcPr>
          <w:p w14:paraId="6455CF07" w14:textId="77777777" w:rsidR="00A14B9B" w:rsidRPr="002A0D4F" w:rsidRDefault="00A14B9B" w:rsidP="00DB1D1D">
            <w:pPr>
              <w:jc w:val="right"/>
              <w:rPr>
                <w:rFonts w:cstheme="minorHAnsi"/>
                <w:sz w:val="20"/>
                <w:szCs w:val="20"/>
              </w:rPr>
            </w:pPr>
            <w:r w:rsidRPr="002A0D4F">
              <w:rPr>
                <w:rFonts w:cstheme="minorHAnsi"/>
                <w:sz w:val="20"/>
                <w:szCs w:val="20"/>
              </w:rPr>
              <w:t>3 198</w:t>
            </w:r>
          </w:p>
        </w:tc>
        <w:tc>
          <w:tcPr>
            <w:tcW w:w="1781" w:type="dxa"/>
            <w:noWrap/>
            <w:hideMark/>
          </w:tcPr>
          <w:p w14:paraId="4AF42585" w14:textId="77777777" w:rsidR="00A14B9B" w:rsidRPr="002A0D4F" w:rsidRDefault="00A14B9B" w:rsidP="00DB1D1D">
            <w:pPr>
              <w:jc w:val="right"/>
              <w:rPr>
                <w:rFonts w:cstheme="minorHAnsi"/>
                <w:sz w:val="20"/>
                <w:szCs w:val="20"/>
              </w:rPr>
            </w:pPr>
            <w:r w:rsidRPr="002A0D4F">
              <w:rPr>
                <w:rFonts w:cstheme="minorHAnsi"/>
                <w:sz w:val="20"/>
                <w:szCs w:val="20"/>
              </w:rPr>
              <w:t>897</w:t>
            </w:r>
          </w:p>
        </w:tc>
        <w:tc>
          <w:tcPr>
            <w:tcW w:w="1781" w:type="dxa"/>
            <w:noWrap/>
            <w:hideMark/>
          </w:tcPr>
          <w:p w14:paraId="13504153" w14:textId="77777777" w:rsidR="00A14B9B" w:rsidRPr="002A0D4F" w:rsidRDefault="00A14B9B" w:rsidP="00DB1D1D">
            <w:pPr>
              <w:jc w:val="right"/>
              <w:rPr>
                <w:rFonts w:cstheme="minorHAnsi"/>
                <w:sz w:val="20"/>
                <w:szCs w:val="20"/>
              </w:rPr>
            </w:pPr>
            <w:r w:rsidRPr="002A0D4F">
              <w:rPr>
                <w:rFonts w:cstheme="minorHAnsi"/>
                <w:sz w:val="20"/>
                <w:szCs w:val="20"/>
              </w:rPr>
              <w:t>16</w:t>
            </w:r>
          </w:p>
        </w:tc>
        <w:tc>
          <w:tcPr>
            <w:tcW w:w="1781" w:type="dxa"/>
            <w:noWrap/>
            <w:hideMark/>
          </w:tcPr>
          <w:p w14:paraId="08E6D71C" w14:textId="77777777" w:rsidR="00A14B9B" w:rsidRPr="002A0D4F" w:rsidRDefault="00A14B9B" w:rsidP="00DB1D1D">
            <w:pPr>
              <w:jc w:val="right"/>
              <w:rPr>
                <w:rFonts w:cstheme="minorHAnsi"/>
                <w:sz w:val="20"/>
                <w:szCs w:val="20"/>
              </w:rPr>
            </w:pPr>
            <w:r w:rsidRPr="002A0D4F">
              <w:rPr>
                <w:rFonts w:cstheme="minorHAnsi"/>
                <w:sz w:val="20"/>
                <w:szCs w:val="20"/>
              </w:rPr>
              <w:t>4 111</w:t>
            </w:r>
          </w:p>
        </w:tc>
      </w:tr>
      <w:tr w:rsidR="00A14B9B" w:rsidRPr="002A0D4F" w14:paraId="4877984E" w14:textId="77777777" w:rsidTr="00DB1D1D">
        <w:trPr>
          <w:trHeight w:val="270"/>
        </w:trPr>
        <w:tc>
          <w:tcPr>
            <w:tcW w:w="2122" w:type="dxa"/>
            <w:noWrap/>
            <w:hideMark/>
          </w:tcPr>
          <w:p w14:paraId="46DBBF7C" w14:textId="77777777" w:rsidR="00A14B9B" w:rsidRPr="002A0D4F" w:rsidRDefault="00A14B9B" w:rsidP="00DB1D1D">
            <w:pPr>
              <w:rPr>
                <w:rFonts w:cstheme="minorHAnsi"/>
                <w:sz w:val="20"/>
                <w:szCs w:val="20"/>
              </w:rPr>
            </w:pPr>
            <w:r w:rsidRPr="002A0D4F">
              <w:rPr>
                <w:rFonts w:cstheme="minorHAnsi"/>
                <w:sz w:val="20"/>
                <w:szCs w:val="20"/>
              </w:rPr>
              <w:t>Jihomoravský kraj</w:t>
            </w:r>
          </w:p>
        </w:tc>
        <w:tc>
          <w:tcPr>
            <w:tcW w:w="1597" w:type="dxa"/>
            <w:noWrap/>
            <w:hideMark/>
          </w:tcPr>
          <w:p w14:paraId="774DC392" w14:textId="77777777" w:rsidR="00A14B9B" w:rsidRPr="002A0D4F" w:rsidRDefault="00A14B9B" w:rsidP="00DB1D1D">
            <w:pPr>
              <w:jc w:val="right"/>
              <w:rPr>
                <w:rFonts w:cstheme="minorHAnsi"/>
                <w:sz w:val="20"/>
                <w:szCs w:val="20"/>
              </w:rPr>
            </w:pPr>
            <w:r w:rsidRPr="002A0D4F">
              <w:rPr>
                <w:rFonts w:cstheme="minorHAnsi"/>
                <w:sz w:val="20"/>
                <w:szCs w:val="20"/>
              </w:rPr>
              <w:t>4 054</w:t>
            </w:r>
          </w:p>
        </w:tc>
        <w:tc>
          <w:tcPr>
            <w:tcW w:w="1781" w:type="dxa"/>
            <w:noWrap/>
            <w:hideMark/>
          </w:tcPr>
          <w:p w14:paraId="7D54BBD6" w14:textId="77777777" w:rsidR="00A14B9B" w:rsidRPr="002A0D4F" w:rsidRDefault="00A14B9B" w:rsidP="00DB1D1D">
            <w:pPr>
              <w:jc w:val="right"/>
              <w:rPr>
                <w:rFonts w:cstheme="minorHAnsi"/>
                <w:sz w:val="20"/>
                <w:szCs w:val="20"/>
              </w:rPr>
            </w:pPr>
            <w:r w:rsidRPr="002A0D4F">
              <w:rPr>
                <w:rFonts w:cstheme="minorHAnsi"/>
                <w:sz w:val="20"/>
                <w:szCs w:val="20"/>
              </w:rPr>
              <w:t>1 847</w:t>
            </w:r>
          </w:p>
        </w:tc>
        <w:tc>
          <w:tcPr>
            <w:tcW w:w="1781" w:type="dxa"/>
            <w:noWrap/>
            <w:hideMark/>
          </w:tcPr>
          <w:p w14:paraId="36B6EE10" w14:textId="77777777" w:rsidR="00A14B9B" w:rsidRPr="002A0D4F" w:rsidRDefault="00A14B9B" w:rsidP="00DB1D1D">
            <w:pPr>
              <w:jc w:val="right"/>
              <w:rPr>
                <w:rFonts w:cstheme="minorHAnsi"/>
                <w:sz w:val="20"/>
                <w:szCs w:val="20"/>
              </w:rPr>
            </w:pPr>
            <w:r w:rsidRPr="002A0D4F">
              <w:rPr>
                <w:rFonts w:cstheme="minorHAnsi"/>
                <w:sz w:val="20"/>
                <w:szCs w:val="20"/>
              </w:rPr>
              <w:t>400</w:t>
            </w:r>
          </w:p>
        </w:tc>
        <w:tc>
          <w:tcPr>
            <w:tcW w:w="1781" w:type="dxa"/>
            <w:noWrap/>
            <w:hideMark/>
          </w:tcPr>
          <w:p w14:paraId="22D7B641" w14:textId="77777777" w:rsidR="00A14B9B" w:rsidRPr="002A0D4F" w:rsidRDefault="00A14B9B" w:rsidP="00DB1D1D">
            <w:pPr>
              <w:jc w:val="right"/>
              <w:rPr>
                <w:rFonts w:cstheme="minorHAnsi"/>
                <w:sz w:val="20"/>
                <w:szCs w:val="20"/>
              </w:rPr>
            </w:pPr>
            <w:r w:rsidRPr="002A0D4F">
              <w:rPr>
                <w:rFonts w:cstheme="minorHAnsi"/>
                <w:sz w:val="20"/>
                <w:szCs w:val="20"/>
              </w:rPr>
              <w:t>6 302</w:t>
            </w:r>
          </w:p>
        </w:tc>
      </w:tr>
      <w:tr w:rsidR="00A14B9B" w:rsidRPr="002A0D4F" w14:paraId="31AE047E" w14:textId="77777777" w:rsidTr="00DB1D1D">
        <w:trPr>
          <w:trHeight w:val="270"/>
        </w:trPr>
        <w:tc>
          <w:tcPr>
            <w:tcW w:w="2122" w:type="dxa"/>
            <w:noWrap/>
            <w:hideMark/>
          </w:tcPr>
          <w:p w14:paraId="2F1AC71F" w14:textId="77777777" w:rsidR="00A14B9B" w:rsidRPr="002A0D4F" w:rsidRDefault="00A14B9B" w:rsidP="00DB1D1D">
            <w:pPr>
              <w:rPr>
                <w:rFonts w:cstheme="minorHAnsi"/>
                <w:sz w:val="20"/>
                <w:szCs w:val="20"/>
              </w:rPr>
            </w:pPr>
            <w:r w:rsidRPr="002A0D4F">
              <w:rPr>
                <w:rFonts w:cstheme="minorHAnsi"/>
                <w:sz w:val="20"/>
                <w:szCs w:val="20"/>
              </w:rPr>
              <w:t>Karlovarský kraj</w:t>
            </w:r>
          </w:p>
        </w:tc>
        <w:tc>
          <w:tcPr>
            <w:tcW w:w="1597" w:type="dxa"/>
            <w:noWrap/>
            <w:hideMark/>
          </w:tcPr>
          <w:p w14:paraId="3155C17C" w14:textId="77777777" w:rsidR="00A14B9B" w:rsidRPr="002A0D4F" w:rsidRDefault="00A14B9B" w:rsidP="00DB1D1D">
            <w:pPr>
              <w:jc w:val="right"/>
              <w:rPr>
                <w:rFonts w:cstheme="minorHAnsi"/>
                <w:sz w:val="20"/>
                <w:szCs w:val="20"/>
              </w:rPr>
            </w:pPr>
            <w:r w:rsidRPr="002A0D4F">
              <w:rPr>
                <w:rFonts w:cstheme="minorHAnsi"/>
                <w:sz w:val="20"/>
                <w:szCs w:val="20"/>
              </w:rPr>
              <w:t>307</w:t>
            </w:r>
          </w:p>
        </w:tc>
        <w:tc>
          <w:tcPr>
            <w:tcW w:w="1781" w:type="dxa"/>
            <w:noWrap/>
            <w:hideMark/>
          </w:tcPr>
          <w:p w14:paraId="41EC87FD" w14:textId="77777777" w:rsidR="00A14B9B" w:rsidRPr="002A0D4F" w:rsidRDefault="00A14B9B" w:rsidP="00DB1D1D">
            <w:pPr>
              <w:jc w:val="right"/>
              <w:rPr>
                <w:rFonts w:cstheme="minorHAnsi"/>
                <w:sz w:val="20"/>
                <w:szCs w:val="20"/>
              </w:rPr>
            </w:pPr>
            <w:r w:rsidRPr="002A0D4F">
              <w:rPr>
                <w:rFonts w:cstheme="minorHAnsi"/>
                <w:sz w:val="20"/>
                <w:szCs w:val="20"/>
              </w:rPr>
              <w:t>142</w:t>
            </w:r>
          </w:p>
        </w:tc>
        <w:tc>
          <w:tcPr>
            <w:tcW w:w="1781" w:type="dxa"/>
            <w:noWrap/>
            <w:hideMark/>
          </w:tcPr>
          <w:p w14:paraId="2A29DBDD" w14:textId="77777777" w:rsidR="00A14B9B" w:rsidRPr="002A0D4F" w:rsidRDefault="00A14B9B" w:rsidP="00DB1D1D">
            <w:pPr>
              <w:jc w:val="right"/>
              <w:rPr>
                <w:rFonts w:cstheme="minorHAnsi"/>
                <w:sz w:val="20"/>
                <w:szCs w:val="20"/>
              </w:rPr>
            </w:pPr>
            <w:r w:rsidRPr="002A0D4F">
              <w:rPr>
                <w:rFonts w:cstheme="minorHAnsi"/>
                <w:sz w:val="20"/>
                <w:szCs w:val="20"/>
              </w:rPr>
              <w:t>1</w:t>
            </w:r>
          </w:p>
        </w:tc>
        <w:tc>
          <w:tcPr>
            <w:tcW w:w="1781" w:type="dxa"/>
            <w:noWrap/>
            <w:hideMark/>
          </w:tcPr>
          <w:p w14:paraId="22E476CB" w14:textId="77777777" w:rsidR="00A14B9B" w:rsidRPr="002A0D4F" w:rsidRDefault="00A14B9B" w:rsidP="00DB1D1D">
            <w:pPr>
              <w:jc w:val="right"/>
              <w:rPr>
                <w:rFonts w:cstheme="minorHAnsi"/>
                <w:sz w:val="20"/>
                <w:szCs w:val="20"/>
              </w:rPr>
            </w:pPr>
            <w:r w:rsidRPr="002A0D4F">
              <w:rPr>
                <w:rFonts w:cstheme="minorHAnsi"/>
                <w:sz w:val="20"/>
                <w:szCs w:val="20"/>
              </w:rPr>
              <w:t>450</w:t>
            </w:r>
          </w:p>
        </w:tc>
      </w:tr>
      <w:tr w:rsidR="00A14B9B" w:rsidRPr="002A0D4F" w14:paraId="07A18234" w14:textId="77777777" w:rsidTr="00DB1D1D">
        <w:trPr>
          <w:trHeight w:val="270"/>
        </w:trPr>
        <w:tc>
          <w:tcPr>
            <w:tcW w:w="2122" w:type="dxa"/>
            <w:noWrap/>
            <w:hideMark/>
          </w:tcPr>
          <w:p w14:paraId="7BEF18D5" w14:textId="77777777" w:rsidR="00A14B9B" w:rsidRPr="002A0D4F" w:rsidRDefault="00A14B9B" w:rsidP="00DB1D1D">
            <w:pPr>
              <w:rPr>
                <w:rFonts w:cstheme="minorHAnsi"/>
                <w:sz w:val="20"/>
                <w:szCs w:val="20"/>
              </w:rPr>
            </w:pPr>
            <w:r w:rsidRPr="002A0D4F">
              <w:rPr>
                <w:rFonts w:cstheme="minorHAnsi"/>
                <w:sz w:val="20"/>
                <w:szCs w:val="20"/>
              </w:rPr>
              <w:t>Kraj Vysočina</w:t>
            </w:r>
          </w:p>
        </w:tc>
        <w:tc>
          <w:tcPr>
            <w:tcW w:w="1597" w:type="dxa"/>
            <w:noWrap/>
            <w:hideMark/>
          </w:tcPr>
          <w:p w14:paraId="1E989306" w14:textId="77777777" w:rsidR="00A14B9B" w:rsidRPr="002A0D4F" w:rsidRDefault="00A14B9B" w:rsidP="00DB1D1D">
            <w:pPr>
              <w:jc w:val="right"/>
              <w:rPr>
                <w:rFonts w:cstheme="minorHAnsi"/>
                <w:sz w:val="20"/>
                <w:szCs w:val="20"/>
              </w:rPr>
            </w:pPr>
            <w:r w:rsidRPr="002A0D4F">
              <w:rPr>
                <w:rFonts w:cstheme="minorHAnsi"/>
                <w:sz w:val="20"/>
                <w:szCs w:val="20"/>
              </w:rPr>
              <w:t>1 803</w:t>
            </w:r>
          </w:p>
        </w:tc>
        <w:tc>
          <w:tcPr>
            <w:tcW w:w="1781" w:type="dxa"/>
            <w:noWrap/>
            <w:hideMark/>
          </w:tcPr>
          <w:p w14:paraId="5E4D1988" w14:textId="77777777" w:rsidR="00A14B9B" w:rsidRPr="002A0D4F" w:rsidRDefault="00A14B9B" w:rsidP="00DB1D1D">
            <w:pPr>
              <w:jc w:val="right"/>
              <w:rPr>
                <w:rFonts w:cstheme="minorHAnsi"/>
                <w:sz w:val="20"/>
                <w:szCs w:val="20"/>
              </w:rPr>
            </w:pPr>
            <w:r w:rsidRPr="002A0D4F">
              <w:rPr>
                <w:rFonts w:cstheme="minorHAnsi"/>
                <w:sz w:val="20"/>
                <w:szCs w:val="20"/>
              </w:rPr>
              <w:t>517</w:t>
            </w:r>
          </w:p>
        </w:tc>
        <w:tc>
          <w:tcPr>
            <w:tcW w:w="1781" w:type="dxa"/>
            <w:noWrap/>
            <w:hideMark/>
          </w:tcPr>
          <w:p w14:paraId="4ED953C4" w14:textId="77777777" w:rsidR="00A14B9B" w:rsidRPr="002A0D4F" w:rsidRDefault="00A14B9B" w:rsidP="00DB1D1D">
            <w:pPr>
              <w:jc w:val="right"/>
              <w:rPr>
                <w:rFonts w:cstheme="minorHAnsi"/>
                <w:sz w:val="20"/>
                <w:szCs w:val="20"/>
              </w:rPr>
            </w:pPr>
            <w:r w:rsidRPr="002A0D4F">
              <w:rPr>
                <w:rFonts w:cstheme="minorHAnsi"/>
                <w:sz w:val="20"/>
                <w:szCs w:val="20"/>
              </w:rPr>
              <w:t>10</w:t>
            </w:r>
          </w:p>
        </w:tc>
        <w:tc>
          <w:tcPr>
            <w:tcW w:w="1781" w:type="dxa"/>
            <w:noWrap/>
            <w:hideMark/>
          </w:tcPr>
          <w:p w14:paraId="026F6C7C" w14:textId="77777777" w:rsidR="00A14B9B" w:rsidRPr="002A0D4F" w:rsidRDefault="00A14B9B" w:rsidP="00DB1D1D">
            <w:pPr>
              <w:jc w:val="right"/>
              <w:rPr>
                <w:rFonts w:cstheme="minorHAnsi"/>
                <w:sz w:val="20"/>
                <w:szCs w:val="20"/>
              </w:rPr>
            </w:pPr>
            <w:r w:rsidRPr="002A0D4F">
              <w:rPr>
                <w:rFonts w:cstheme="minorHAnsi"/>
                <w:sz w:val="20"/>
                <w:szCs w:val="20"/>
              </w:rPr>
              <w:t>2 330</w:t>
            </w:r>
          </w:p>
        </w:tc>
      </w:tr>
      <w:tr w:rsidR="00A14B9B" w:rsidRPr="002A0D4F" w14:paraId="013221D5" w14:textId="77777777" w:rsidTr="00DB1D1D">
        <w:trPr>
          <w:trHeight w:val="270"/>
        </w:trPr>
        <w:tc>
          <w:tcPr>
            <w:tcW w:w="2122" w:type="dxa"/>
            <w:noWrap/>
            <w:hideMark/>
          </w:tcPr>
          <w:p w14:paraId="5A0CBE5D" w14:textId="77777777" w:rsidR="00A14B9B" w:rsidRPr="002A0D4F" w:rsidRDefault="00A14B9B" w:rsidP="00DB1D1D">
            <w:pPr>
              <w:rPr>
                <w:rFonts w:cstheme="minorHAnsi"/>
                <w:sz w:val="20"/>
                <w:szCs w:val="20"/>
              </w:rPr>
            </w:pPr>
            <w:r w:rsidRPr="002A0D4F">
              <w:rPr>
                <w:rFonts w:cstheme="minorHAnsi"/>
                <w:sz w:val="20"/>
                <w:szCs w:val="20"/>
              </w:rPr>
              <w:t>Královéhradecký kraj</w:t>
            </w:r>
          </w:p>
        </w:tc>
        <w:tc>
          <w:tcPr>
            <w:tcW w:w="1597" w:type="dxa"/>
            <w:noWrap/>
            <w:hideMark/>
          </w:tcPr>
          <w:p w14:paraId="35EFCC78" w14:textId="77777777" w:rsidR="00A14B9B" w:rsidRPr="002A0D4F" w:rsidRDefault="00A14B9B" w:rsidP="00DB1D1D">
            <w:pPr>
              <w:jc w:val="right"/>
              <w:rPr>
                <w:rFonts w:cstheme="minorHAnsi"/>
                <w:sz w:val="20"/>
                <w:szCs w:val="20"/>
              </w:rPr>
            </w:pPr>
            <w:r w:rsidRPr="002A0D4F">
              <w:rPr>
                <w:rFonts w:cstheme="minorHAnsi"/>
                <w:sz w:val="20"/>
                <w:szCs w:val="20"/>
              </w:rPr>
              <w:t>1 774</w:t>
            </w:r>
          </w:p>
        </w:tc>
        <w:tc>
          <w:tcPr>
            <w:tcW w:w="1781" w:type="dxa"/>
            <w:noWrap/>
            <w:hideMark/>
          </w:tcPr>
          <w:p w14:paraId="4B83E837" w14:textId="77777777" w:rsidR="00A14B9B" w:rsidRPr="002A0D4F" w:rsidRDefault="00A14B9B" w:rsidP="00DB1D1D">
            <w:pPr>
              <w:jc w:val="right"/>
              <w:rPr>
                <w:rFonts w:cstheme="minorHAnsi"/>
                <w:sz w:val="20"/>
                <w:szCs w:val="20"/>
              </w:rPr>
            </w:pPr>
            <w:r w:rsidRPr="002A0D4F">
              <w:rPr>
                <w:rFonts w:cstheme="minorHAnsi"/>
                <w:sz w:val="20"/>
                <w:szCs w:val="20"/>
              </w:rPr>
              <w:t>364</w:t>
            </w:r>
          </w:p>
        </w:tc>
        <w:tc>
          <w:tcPr>
            <w:tcW w:w="1781" w:type="dxa"/>
            <w:noWrap/>
            <w:hideMark/>
          </w:tcPr>
          <w:p w14:paraId="1E7070E8" w14:textId="77777777" w:rsidR="00A14B9B" w:rsidRPr="002A0D4F" w:rsidRDefault="00A14B9B" w:rsidP="00DB1D1D">
            <w:pPr>
              <w:jc w:val="right"/>
              <w:rPr>
                <w:rFonts w:cstheme="minorHAnsi"/>
                <w:sz w:val="20"/>
                <w:szCs w:val="20"/>
              </w:rPr>
            </w:pPr>
            <w:r w:rsidRPr="002A0D4F">
              <w:rPr>
                <w:rFonts w:cstheme="minorHAnsi"/>
                <w:sz w:val="20"/>
                <w:szCs w:val="20"/>
              </w:rPr>
              <w:t>4</w:t>
            </w:r>
          </w:p>
        </w:tc>
        <w:tc>
          <w:tcPr>
            <w:tcW w:w="1781" w:type="dxa"/>
            <w:noWrap/>
            <w:hideMark/>
          </w:tcPr>
          <w:p w14:paraId="5AA82F79" w14:textId="77777777" w:rsidR="00A14B9B" w:rsidRPr="002A0D4F" w:rsidRDefault="00A14B9B" w:rsidP="00DB1D1D">
            <w:pPr>
              <w:jc w:val="right"/>
              <w:rPr>
                <w:rFonts w:cstheme="minorHAnsi"/>
                <w:sz w:val="20"/>
                <w:szCs w:val="20"/>
              </w:rPr>
            </w:pPr>
            <w:r w:rsidRPr="002A0D4F">
              <w:rPr>
                <w:rFonts w:cstheme="minorHAnsi"/>
                <w:sz w:val="20"/>
                <w:szCs w:val="20"/>
              </w:rPr>
              <w:t>2 142</w:t>
            </w:r>
          </w:p>
        </w:tc>
      </w:tr>
      <w:tr w:rsidR="00A14B9B" w:rsidRPr="002A0D4F" w14:paraId="538370D4" w14:textId="77777777" w:rsidTr="00DB1D1D">
        <w:trPr>
          <w:trHeight w:val="270"/>
        </w:trPr>
        <w:tc>
          <w:tcPr>
            <w:tcW w:w="2122" w:type="dxa"/>
            <w:noWrap/>
            <w:hideMark/>
          </w:tcPr>
          <w:p w14:paraId="7B4898EE" w14:textId="77777777" w:rsidR="00A14B9B" w:rsidRPr="002A0D4F" w:rsidRDefault="00A14B9B" w:rsidP="00DB1D1D">
            <w:pPr>
              <w:rPr>
                <w:rFonts w:cstheme="minorHAnsi"/>
                <w:sz w:val="20"/>
                <w:szCs w:val="20"/>
              </w:rPr>
            </w:pPr>
            <w:r w:rsidRPr="002A0D4F">
              <w:rPr>
                <w:rFonts w:cstheme="minorHAnsi"/>
                <w:sz w:val="20"/>
                <w:szCs w:val="20"/>
              </w:rPr>
              <w:t>Liberecký kraj</w:t>
            </w:r>
          </w:p>
        </w:tc>
        <w:tc>
          <w:tcPr>
            <w:tcW w:w="1597" w:type="dxa"/>
            <w:noWrap/>
            <w:hideMark/>
          </w:tcPr>
          <w:p w14:paraId="2B1FD747" w14:textId="77777777" w:rsidR="00A14B9B" w:rsidRPr="002A0D4F" w:rsidRDefault="00A14B9B" w:rsidP="00DB1D1D">
            <w:pPr>
              <w:jc w:val="right"/>
              <w:rPr>
                <w:rFonts w:cstheme="minorHAnsi"/>
                <w:sz w:val="20"/>
                <w:szCs w:val="20"/>
              </w:rPr>
            </w:pPr>
            <w:r w:rsidRPr="002A0D4F">
              <w:rPr>
                <w:rFonts w:cstheme="minorHAnsi"/>
                <w:sz w:val="20"/>
                <w:szCs w:val="20"/>
              </w:rPr>
              <w:t>483</w:t>
            </w:r>
          </w:p>
        </w:tc>
        <w:tc>
          <w:tcPr>
            <w:tcW w:w="1781" w:type="dxa"/>
            <w:noWrap/>
            <w:hideMark/>
          </w:tcPr>
          <w:p w14:paraId="7F9284B3" w14:textId="77777777" w:rsidR="00A14B9B" w:rsidRPr="002A0D4F" w:rsidRDefault="00A14B9B" w:rsidP="00DB1D1D">
            <w:pPr>
              <w:jc w:val="right"/>
              <w:rPr>
                <w:rFonts w:cstheme="minorHAnsi"/>
                <w:sz w:val="20"/>
                <w:szCs w:val="20"/>
              </w:rPr>
            </w:pPr>
            <w:r w:rsidRPr="002A0D4F">
              <w:rPr>
                <w:rFonts w:cstheme="minorHAnsi"/>
                <w:sz w:val="20"/>
                <w:szCs w:val="20"/>
              </w:rPr>
              <w:t>180</w:t>
            </w:r>
          </w:p>
        </w:tc>
        <w:tc>
          <w:tcPr>
            <w:tcW w:w="1781" w:type="dxa"/>
            <w:noWrap/>
            <w:hideMark/>
          </w:tcPr>
          <w:p w14:paraId="32F9B2ED" w14:textId="77777777" w:rsidR="00A14B9B" w:rsidRPr="002A0D4F" w:rsidRDefault="00A14B9B" w:rsidP="00DB1D1D">
            <w:pPr>
              <w:jc w:val="right"/>
              <w:rPr>
                <w:rFonts w:cstheme="minorHAnsi"/>
                <w:sz w:val="20"/>
                <w:szCs w:val="20"/>
              </w:rPr>
            </w:pPr>
            <w:r w:rsidRPr="002A0D4F">
              <w:rPr>
                <w:rFonts w:cstheme="minorHAnsi"/>
                <w:sz w:val="20"/>
                <w:szCs w:val="20"/>
              </w:rPr>
              <w:t>4</w:t>
            </w:r>
          </w:p>
        </w:tc>
        <w:tc>
          <w:tcPr>
            <w:tcW w:w="1781" w:type="dxa"/>
            <w:noWrap/>
            <w:hideMark/>
          </w:tcPr>
          <w:p w14:paraId="3051F727" w14:textId="77777777" w:rsidR="00A14B9B" w:rsidRPr="002A0D4F" w:rsidRDefault="00A14B9B" w:rsidP="00DB1D1D">
            <w:pPr>
              <w:jc w:val="right"/>
              <w:rPr>
                <w:rFonts w:cstheme="minorHAnsi"/>
                <w:sz w:val="20"/>
                <w:szCs w:val="20"/>
              </w:rPr>
            </w:pPr>
            <w:r w:rsidRPr="002A0D4F">
              <w:rPr>
                <w:rFonts w:cstheme="minorHAnsi"/>
                <w:sz w:val="20"/>
                <w:szCs w:val="20"/>
              </w:rPr>
              <w:t>666</w:t>
            </w:r>
          </w:p>
        </w:tc>
      </w:tr>
      <w:tr w:rsidR="00A14B9B" w:rsidRPr="002A0D4F" w14:paraId="5B669551" w14:textId="77777777" w:rsidTr="00DB1D1D">
        <w:trPr>
          <w:trHeight w:val="270"/>
        </w:trPr>
        <w:tc>
          <w:tcPr>
            <w:tcW w:w="2122" w:type="dxa"/>
            <w:noWrap/>
            <w:hideMark/>
          </w:tcPr>
          <w:p w14:paraId="748C50CD" w14:textId="77777777" w:rsidR="00A14B9B" w:rsidRPr="002A0D4F" w:rsidRDefault="00A14B9B" w:rsidP="00DB1D1D">
            <w:pPr>
              <w:rPr>
                <w:rFonts w:cstheme="minorHAnsi"/>
                <w:sz w:val="20"/>
                <w:szCs w:val="20"/>
              </w:rPr>
            </w:pPr>
            <w:r w:rsidRPr="002A0D4F">
              <w:rPr>
                <w:rFonts w:cstheme="minorHAnsi"/>
                <w:sz w:val="20"/>
                <w:szCs w:val="20"/>
              </w:rPr>
              <w:t>Moravskoslezský kraj</w:t>
            </w:r>
          </w:p>
        </w:tc>
        <w:tc>
          <w:tcPr>
            <w:tcW w:w="1597" w:type="dxa"/>
            <w:noWrap/>
            <w:hideMark/>
          </w:tcPr>
          <w:p w14:paraId="4604B5DE" w14:textId="77777777" w:rsidR="00A14B9B" w:rsidRPr="002A0D4F" w:rsidRDefault="00A14B9B" w:rsidP="00DB1D1D">
            <w:pPr>
              <w:jc w:val="right"/>
              <w:rPr>
                <w:rFonts w:cstheme="minorHAnsi"/>
                <w:sz w:val="20"/>
                <w:szCs w:val="20"/>
              </w:rPr>
            </w:pPr>
            <w:r w:rsidRPr="002A0D4F">
              <w:rPr>
                <w:rFonts w:cstheme="minorHAnsi"/>
                <w:sz w:val="20"/>
                <w:szCs w:val="20"/>
              </w:rPr>
              <w:t>773</w:t>
            </w:r>
          </w:p>
        </w:tc>
        <w:tc>
          <w:tcPr>
            <w:tcW w:w="1781" w:type="dxa"/>
            <w:noWrap/>
            <w:hideMark/>
          </w:tcPr>
          <w:p w14:paraId="3DC1E6FB" w14:textId="77777777" w:rsidR="00A14B9B" w:rsidRPr="002A0D4F" w:rsidRDefault="00A14B9B" w:rsidP="00DB1D1D">
            <w:pPr>
              <w:jc w:val="right"/>
              <w:rPr>
                <w:rFonts w:cstheme="minorHAnsi"/>
                <w:sz w:val="20"/>
                <w:szCs w:val="20"/>
              </w:rPr>
            </w:pPr>
            <w:r w:rsidRPr="002A0D4F">
              <w:rPr>
                <w:rFonts w:cstheme="minorHAnsi"/>
                <w:sz w:val="20"/>
                <w:szCs w:val="20"/>
              </w:rPr>
              <w:t>486</w:t>
            </w:r>
          </w:p>
        </w:tc>
        <w:tc>
          <w:tcPr>
            <w:tcW w:w="1781" w:type="dxa"/>
            <w:noWrap/>
            <w:hideMark/>
          </w:tcPr>
          <w:p w14:paraId="52C70326" w14:textId="77777777" w:rsidR="00A14B9B" w:rsidRPr="002A0D4F" w:rsidRDefault="00A14B9B" w:rsidP="00DB1D1D">
            <w:pPr>
              <w:jc w:val="right"/>
              <w:rPr>
                <w:rFonts w:cstheme="minorHAnsi"/>
                <w:sz w:val="20"/>
                <w:szCs w:val="20"/>
              </w:rPr>
            </w:pPr>
            <w:r w:rsidRPr="002A0D4F">
              <w:rPr>
                <w:rFonts w:cstheme="minorHAnsi"/>
                <w:sz w:val="20"/>
                <w:szCs w:val="20"/>
              </w:rPr>
              <w:t>4</w:t>
            </w:r>
          </w:p>
        </w:tc>
        <w:tc>
          <w:tcPr>
            <w:tcW w:w="1781" w:type="dxa"/>
            <w:noWrap/>
            <w:hideMark/>
          </w:tcPr>
          <w:p w14:paraId="37D0AC16" w14:textId="77777777" w:rsidR="00A14B9B" w:rsidRPr="002A0D4F" w:rsidRDefault="00A14B9B" w:rsidP="00DB1D1D">
            <w:pPr>
              <w:jc w:val="right"/>
              <w:rPr>
                <w:rFonts w:cstheme="minorHAnsi"/>
                <w:sz w:val="20"/>
                <w:szCs w:val="20"/>
              </w:rPr>
            </w:pPr>
            <w:r w:rsidRPr="002A0D4F">
              <w:rPr>
                <w:rFonts w:cstheme="minorHAnsi"/>
                <w:sz w:val="20"/>
                <w:szCs w:val="20"/>
              </w:rPr>
              <w:t>1 263</w:t>
            </w:r>
          </w:p>
        </w:tc>
      </w:tr>
      <w:tr w:rsidR="00A14B9B" w:rsidRPr="002A0D4F" w14:paraId="01758C42" w14:textId="77777777" w:rsidTr="00DB1D1D">
        <w:trPr>
          <w:trHeight w:val="270"/>
        </w:trPr>
        <w:tc>
          <w:tcPr>
            <w:tcW w:w="2122" w:type="dxa"/>
            <w:noWrap/>
            <w:hideMark/>
          </w:tcPr>
          <w:p w14:paraId="097B2FA7" w14:textId="77777777" w:rsidR="00A14B9B" w:rsidRPr="002A0D4F" w:rsidRDefault="00A14B9B" w:rsidP="00DB1D1D">
            <w:pPr>
              <w:rPr>
                <w:rFonts w:cstheme="minorHAnsi"/>
                <w:sz w:val="20"/>
                <w:szCs w:val="20"/>
              </w:rPr>
            </w:pPr>
            <w:r w:rsidRPr="002A0D4F">
              <w:rPr>
                <w:rFonts w:cstheme="minorHAnsi"/>
                <w:sz w:val="20"/>
                <w:szCs w:val="20"/>
              </w:rPr>
              <w:t>Olomoucký kraj</w:t>
            </w:r>
          </w:p>
        </w:tc>
        <w:tc>
          <w:tcPr>
            <w:tcW w:w="1597" w:type="dxa"/>
            <w:noWrap/>
            <w:hideMark/>
          </w:tcPr>
          <w:p w14:paraId="55DFCA5F" w14:textId="77777777" w:rsidR="00A14B9B" w:rsidRPr="002A0D4F" w:rsidRDefault="00A14B9B" w:rsidP="00DB1D1D">
            <w:pPr>
              <w:jc w:val="right"/>
              <w:rPr>
                <w:rFonts w:cstheme="minorHAnsi"/>
                <w:sz w:val="20"/>
                <w:szCs w:val="20"/>
              </w:rPr>
            </w:pPr>
            <w:r w:rsidRPr="002A0D4F">
              <w:rPr>
                <w:rFonts w:cstheme="minorHAnsi"/>
                <w:sz w:val="20"/>
                <w:szCs w:val="20"/>
              </w:rPr>
              <w:t>2 243</w:t>
            </w:r>
          </w:p>
        </w:tc>
        <w:tc>
          <w:tcPr>
            <w:tcW w:w="1781" w:type="dxa"/>
            <w:noWrap/>
            <w:hideMark/>
          </w:tcPr>
          <w:p w14:paraId="05637AE7" w14:textId="77777777" w:rsidR="00A14B9B" w:rsidRPr="002A0D4F" w:rsidRDefault="00A14B9B" w:rsidP="00DB1D1D">
            <w:pPr>
              <w:jc w:val="right"/>
              <w:rPr>
                <w:rFonts w:cstheme="minorHAnsi"/>
                <w:sz w:val="20"/>
                <w:szCs w:val="20"/>
              </w:rPr>
            </w:pPr>
            <w:r w:rsidRPr="002A0D4F">
              <w:rPr>
                <w:rFonts w:cstheme="minorHAnsi"/>
                <w:sz w:val="20"/>
                <w:szCs w:val="20"/>
              </w:rPr>
              <w:t>765</w:t>
            </w:r>
          </w:p>
        </w:tc>
        <w:tc>
          <w:tcPr>
            <w:tcW w:w="1781" w:type="dxa"/>
            <w:noWrap/>
            <w:hideMark/>
          </w:tcPr>
          <w:p w14:paraId="546EA1F8" w14:textId="77777777" w:rsidR="00A14B9B" w:rsidRPr="002A0D4F" w:rsidRDefault="00A14B9B" w:rsidP="00DB1D1D">
            <w:pPr>
              <w:jc w:val="right"/>
              <w:rPr>
                <w:rFonts w:cstheme="minorHAnsi"/>
                <w:sz w:val="20"/>
                <w:szCs w:val="20"/>
              </w:rPr>
            </w:pPr>
            <w:r w:rsidRPr="002A0D4F">
              <w:rPr>
                <w:rFonts w:cstheme="minorHAnsi"/>
                <w:sz w:val="20"/>
                <w:szCs w:val="20"/>
              </w:rPr>
              <w:t>29</w:t>
            </w:r>
          </w:p>
        </w:tc>
        <w:tc>
          <w:tcPr>
            <w:tcW w:w="1781" w:type="dxa"/>
            <w:noWrap/>
            <w:hideMark/>
          </w:tcPr>
          <w:p w14:paraId="33488DD2" w14:textId="77777777" w:rsidR="00A14B9B" w:rsidRPr="002A0D4F" w:rsidRDefault="00A14B9B" w:rsidP="00DB1D1D">
            <w:pPr>
              <w:jc w:val="right"/>
              <w:rPr>
                <w:rFonts w:cstheme="minorHAnsi"/>
                <w:sz w:val="20"/>
                <w:szCs w:val="20"/>
              </w:rPr>
            </w:pPr>
            <w:r w:rsidRPr="002A0D4F">
              <w:rPr>
                <w:rFonts w:cstheme="minorHAnsi"/>
                <w:sz w:val="20"/>
                <w:szCs w:val="20"/>
              </w:rPr>
              <w:t>3 038</w:t>
            </w:r>
          </w:p>
        </w:tc>
      </w:tr>
      <w:tr w:rsidR="00A14B9B" w:rsidRPr="002A0D4F" w14:paraId="55F6C7E9" w14:textId="77777777" w:rsidTr="00DB1D1D">
        <w:trPr>
          <w:trHeight w:val="270"/>
        </w:trPr>
        <w:tc>
          <w:tcPr>
            <w:tcW w:w="2122" w:type="dxa"/>
            <w:noWrap/>
            <w:hideMark/>
          </w:tcPr>
          <w:p w14:paraId="159260B9" w14:textId="77777777" w:rsidR="00A14B9B" w:rsidRPr="002A0D4F" w:rsidRDefault="00A14B9B" w:rsidP="00DB1D1D">
            <w:pPr>
              <w:rPr>
                <w:rFonts w:cstheme="minorHAnsi"/>
                <w:sz w:val="20"/>
                <w:szCs w:val="20"/>
              </w:rPr>
            </w:pPr>
            <w:r w:rsidRPr="002A0D4F">
              <w:rPr>
                <w:rFonts w:cstheme="minorHAnsi"/>
                <w:sz w:val="20"/>
                <w:szCs w:val="20"/>
              </w:rPr>
              <w:t>Pardubický kraj</w:t>
            </w:r>
          </w:p>
        </w:tc>
        <w:tc>
          <w:tcPr>
            <w:tcW w:w="1597" w:type="dxa"/>
            <w:noWrap/>
            <w:hideMark/>
          </w:tcPr>
          <w:p w14:paraId="2B955B26" w14:textId="77777777" w:rsidR="00A14B9B" w:rsidRPr="002A0D4F" w:rsidRDefault="00A14B9B" w:rsidP="00DB1D1D">
            <w:pPr>
              <w:jc w:val="right"/>
              <w:rPr>
                <w:rFonts w:cstheme="minorHAnsi"/>
                <w:sz w:val="20"/>
                <w:szCs w:val="20"/>
              </w:rPr>
            </w:pPr>
            <w:r w:rsidRPr="002A0D4F">
              <w:rPr>
                <w:rFonts w:cstheme="minorHAnsi"/>
                <w:sz w:val="20"/>
                <w:szCs w:val="20"/>
              </w:rPr>
              <w:t>2 218</w:t>
            </w:r>
          </w:p>
        </w:tc>
        <w:tc>
          <w:tcPr>
            <w:tcW w:w="1781" w:type="dxa"/>
            <w:noWrap/>
            <w:hideMark/>
          </w:tcPr>
          <w:p w14:paraId="1BD679CA" w14:textId="77777777" w:rsidR="00A14B9B" w:rsidRPr="002A0D4F" w:rsidRDefault="00A14B9B" w:rsidP="00DB1D1D">
            <w:pPr>
              <w:jc w:val="right"/>
              <w:rPr>
                <w:rFonts w:cstheme="minorHAnsi"/>
                <w:sz w:val="20"/>
                <w:szCs w:val="20"/>
              </w:rPr>
            </w:pPr>
            <w:r w:rsidRPr="002A0D4F">
              <w:rPr>
                <w:rFonts w:cstheme="minorHAnsi"/>
                <w:sz w:val="20"/>
                <w:szCs w:val="20"/>
              </w:rPr>
              <w:t>202</w:t>
            </w:r>
          </w:p>
        </w:tc>
        <w:tc>
          <w:tcPr>
            <w:tcW w:w="1781" w:type="dxa"/>
            <w:noWrap/>
            <w:hideMark/>
          </w:tcPr>
          <w:p w14:paraId="0E0B0653" w14:textId="77777777" w:rsidR="00A14B9B" w:rsidRPr="002A0D4F" w:rsidRDefault="00A14B9B" w:rsidP="00DB1D1D">
            <w:pPr>
              <w:jc w:val="right"/>
              <w:rPr>
                <w:rFonts w:cstheme="minorHAnsi"/>
                <w:sz w:val="20"/>
                <w:szCs w:val="20"/>
              </w:rPr>
            </w:pPr>
            <w:r w:rsidRPr="002A0D4F">
              <w:rPr>
                <w:rFonts w:cstheme="minorHAnsi"/>
                <w:sz w:val="20"/>
                <w:szCs w:val="20"/>
              </w:rPr>
              <w:t>0</w:t>
            </w:r>
          </w:p>
        </w:tc>
        <w:tc>
          <w:tcPr>
            <w:tcW w:w="1781" w:type="dxa"/>
            <w:noWrap/>
            <w:hideMark/>
          </w:tcPr>
          <w:p w14:paraId="57FE685E" w14:textId="77777777" w:rsidR="00A14B9B" w:rsidRPr="002A0D4F" w:rsidRDefault="00A14B9B" w:rsidP="00DB1D1D">
            <w:pPr>
              <w:jc w:val="right"/>
              <w:rPr>
                <w:rFonts w:cstheme="minorHAnsi"/>
                <w:sz w:val="20"/>
                <w:szCs w:val="20"/>
              </w:rPr>
            </w:pPr>
            <w:r w:rsidRPr="002A0D4F">
              <w:rPr>
                <w:rFonts w:cstheme="minorHAnsi"/>
                <w:sz w:val="20"/>
                <w:szCs w:val="20"/>
              </w:rPr>
              <w:t>2 420</w:t>
            </w:r>
          </w:p>
        </w:tc>
      </w:tr>
      <w:tr w:rsidR="00A14B9B" w:rsidRPr="002A0D4F" w14:paraId="42AC3F86" w14:textId="77777777" w:rsidTr="00DB1D1D">
        <w:trPr>
          <w:trHeight w:val="270"/>
        </w:trPr>
        <w:tc>
          <w:tcPr>
            <w:tcW w:w="2122" w:type="dxa"/>
            <w:noWrap/>
            <w:hideMark/>
          </w:tcPr>
          <w:p w14:paraId="77600B0F" w14:textId="77777777" w:rsidR="00A14B9B" w:rsidRPr="002A0D4F" w:rsidRDefault="00A14B9B" w:rsidP="00DB1D1D">
            <w:pPr>
              <w:rPr>
                <w:rFonts w:cstheme="minorHAnsi"/>
                <w:sz w:val="20"/>
                <w:szCs w:val="20"/>
              </w:rPr>
            </w:pPr>
            <w:r w:rsidRPr="002A0D4F">
              <w:rPr>
                <w:rFonts w:cstheme="minorHAnsi"/>
                <w:sz w:val="20"/>
                <w:szCs w:val="20"/>
              </w:rPr>
              <w:t>Plzeňský kraj</w:t>
            </w:r>
          </w:p>
        </w:tc>
        <w:tc>
          <w:tcPr>
            <w:tcW w:w="1597" w:type="dxa"/>
            <w:noWrap/>
            <w:hideMark/>
          </w:tcPr>
          <w:p w14:paraId="3A954159" w14:textId="77777777" w:rsidR="00A14B9B" w:rsidRPr="002A0D4F" w:rsidRDefault="00A14B9B" w:rsidP="00DB1D1D">
            <w:pPr>
              <w:jc w:val="right"/>
              <w:rPr>
                <w:rFonts w:cstheme="minorHAnsi"/>
                <w:sz w:val="20"/>
                <w:szCs w:val="20"/>
              </w:rPr>
            </w:pPr>
            <w:r w:rsidRPr="002A0D4F">
              <w:rPr>
                <w:rFonts w:cstheme="minorHAnsi"/>
                <w:sz w:val="20"/>
                <w:szCs w:val="20"/>
              </w:rPr>
              <w:t>1 761</w:t>
            </w:r>
          </w:p>
        </w:tc>
        <w:tc>
          <w:tcPr>
            <w:tcW w:w="1781" w:type="dxa"/>
            <w:noWrap/>
            <w:hideMark/>
          </w:tcPr>
          <w:p w14:paraId="0AF8D9C3" w14:textId="77777777" w:rsidR="00A14B9B" w:rsidRPr="002A0D4F" w:rsidRDefault="00A14B9B" w:rsidP="00DB1D1D">
            <w:pPr>
              <w:jc w:val="right"/>
              <w:rPr>
                <w:rFonts w:cstheme="minorHAnsi"/>
                <w:sz w:val="20"/>
                <w:szCs w:val="20"/>
              </w:rPr>
            </w:pPr>
            <w:r w:rsidRPr="002A0D4F">
              <w:rPr>
                <w:rFonts w:cstheme="minorHAnsi"/>
                <w:sz w:val="20"/>
                <w:szCs w:val="20"/>
              </w:rPr>
              <w:t>949</w:t>
            </w:r>
          </w:p>
        </w:tc>
        <w:tc>
          <w:tcPr>
            <w:tcW w:w="1781" w:type="dxa"/>
            <w:noWrap/>
            <w:hideMark/>
          </w:tcPr>
          <w:p w14:paraId="07C6CCEF" w14:textId="77777777" w:rsidR="00A14B9B" w:rsidRPr="002A0D4F" w:rsidRDefault="00A14B9B" w:rsidP="00DB1D1D">
            <w:pPr>
              <w:jc w:val="right"/>
              <w:rPr>
                <w:rFonts w:cstheme="minorHAnsi"/>
                <w:sz w:val="20"/>
                <w:szCs w:val="20"/>
              </w:rPr>
            </w:pPr>
            <w:r w:rsidRPr="002A0D4F">
              <w:rPr>
                <w:rFonts w:cstheme="minorHAnsi"/>
                <w:sz w:val="20"/>
                <w:szCs w:val="20"/>
              </w:rPr>
              <w:t>105</w:t>
            </w:r>
          </w:p>
        </w:tc>
        <w:tc>
          <w:tcPr>
            <w:tcW w:w="1781" w:type="dxa"/>
            <w:noWrap/>
            <w:hideMark/>
          </w:tcPr>
          <w:p w14:paraId="70B09E0D" w14:textId="77777777" w:rsidR="00A14B9B" w:rsidRPr="002A0D4F" w:rsidRDefault="00A14B9B" w:rsidP="00DB1D1D">
            <w:pPr>
              <w:jc w:val="right"/>
              <w:rPr>
                <w:rFonts w:cstheme="minorHAnsi"/>
                <w:sz w:val="20"/>
                <w:szCs w:val="20"/>
              </w:rPr>
            </w:pPr>
            <w:r w:rsidRPr="002A0D4F">
              <w:rPr>
                <w:rFonts w:cstheme="minorHAnsi"/>
                <w:sz w:val="20"/>
                <w:szCs w:val="20"/>
              </w:rPr>
              <w:t>2 815</w:t>
            </w:r>
          </w:p>
        </w:tc>
      </w:tr>
      <w:tr w:rsidR="00A14B9B" w:rsidRPr="002A0D4F" w14:paraId="498ED31B" w14:textId="77777777" w:rsidTr="00DB1D1D">
        <w:trPr>
          <w:trHeight w:val="270"/>
        </w:trPr>
        <w:tc>
          <w:tcPr>
            <w:tcW w:w="2122" w:type="dxa"/>
            <w:noWrap/>
            <w:hideMark/>
          </w:tcPr>
          <w:p w14:paraId="650DD99C" w14:textId="77777777" w:rsidR="00A14B9B" w:rsidRPr="002A0D4F" w:rsidRDefault="00A14B9B" w:rsidP="00DB1D1D">
            <w:pPr>
              <w:rPr>
                <w:rFonts w:cstheme="minorHAnsi"/>
                <w:sz w:val="20"/>
                <w:szCs w:val="20"/>
              </w:rPr>
            </w:pPr>
            <w:r w:rsidRPr="002A0D4F">
              <w:rPr>
                <w:rFonts w:cstheme="minorHAnsi"/>
                <w:sz w:val="20"/>
                <w:szCs w:val="20"/>
              </w:rPr>
              <w:t>Středočeský kraj</w:t>
            </w:r>
          </w:p>
        </w:tc>
        <w:tc>
          <w:tcPr>
            <w:tcW w:w="1597" w:type="dxa"/>
            <w:noWrap/>
            <w:hideMark/>
          </w:tcPr>
          <w:p w14:paraId="5F621F05" w14:textId="77777777" w:rsidR="00A14B9B" w:rsidRPr="002A0D4F" w:rsidRDefault="00A14B9B" w:rsidP="00DB1D1D">
            <w:pPr>
              <w:jc w:val="right"/>
              <w:rPr>
                <w:rFonts w:cstheme="minorHAnsi"/>
                <w:sz w:val="20"/>
                <w:szCs w:val="20"/>
              </w:rPr>
            </w:pPr>
            <w:r w:rsidRPr="002A0D4F">
              <w:rPr>
                <w:rFonts w:cstheme="minorHAnsi"/>
                <w:sz w:val="20"/>
                <w:szCs w:val="20"/>
              </w:rPr>
              <w:t>2 796</w:t>
            </w:r>
          </w:p>
        </w:tc>
        <w:tc>
          <w:tcPr>
            <w:tcW w:w="1781" w:type="dxa"/>
            <w:noWrap/>
            <w:hideMark/>
          </w:tcPr>
          <w:p w14:paraId="524CEB7E" w14:textId="77777777" w:rsidR="00A14B9B" w:rsidRPr="002A0D4F" w:rsidRDefault="00A14B9B" w:rsidP="00DB1D1D">
            <w:pPr>
              <w:jc w:val="right"/>
              <w:rPr>
                <w:rFonts w:cstheme="minorHAnsi"/>
                <w:sz w:val="20"/>
                <w:szCs w:val="20"/>
              </w:rPr>
            </w:pPr>
            <w:r w:rsidRPr="002A0D4F">
              <w:rPr>
                <w:rFonts w:cstheme="minorHAnsi"/>
                <w:sz w:val="20"/>
                <w:szCs w:val="20"/>
              </w:rPr>
              <w:t>940</w:t>
            </w:r>
          </w:p>
        </w:tc>
        <w:tc>
          <w:tcPr>
            <w:tcW w:w="1781" w:type="dxa"/>
            <w:noWrap/>
            <w:hideMark/>
          </w:tcPr>
          <w:p w14:paraId="6BF31118" w14:textId="77777777" w:rsidR="00A14B9B" w:rsidRPr="002A0D4F" w:rsidRDefault="00A14B9B" w:rsidP="00DB1D1D">
            <w:pPr>
              <w:jc w:val="right"/>
              <w:rPr>
                <w:rFonts w:cstheme="minorHAnsi"/>
                <w:sz w:val="20"/>
                <w:szCs w:val="20"/>
              </w:rPr>
            </w:pPr>
            <w:r w:rsidRPr="002A0D4F">
              <w:rPr>
                <w:rFonts w:cstheme="minorHAnsi"/>
                <w:sz w:val="20"/>
                <w:szCs w:val="20"/>
              </w:rPr>
              <w:t>78</w:t>
            </w:r>
          </w:p>
        </w:tc>
        <w:tc>
          <w:tcPr>
            <w:tcW w:w="1781" w:type="dxa"/>
            <w:noWrap/>
            <w:hideMark/>
          </w:tcPr>
          <w:p w14:paraId="66E3BB21" w14:textId="77777777" w:rsidR="00A14B9B" w:rsidRPr="002A0D4F" w:rsidRDefault="00A14B9B" w:rsidP="00DB1D1D">
            <w:pPr>
              <w:jc w:val="right"/>
              <w:rPr>
                <w:rFonts w:cstheme="minorHAnsi"/>
                <w:sz w:val="20"/>
                <w:szCs w:val="20"/>
              </w:rPr>
            </w:pPr>
            <w:r w:rsidRPr="002A0D4F">
              <w:rPr>
                <w:rFonts w:cstheme="minorHAnsi"/>
                <w:sz w:val="20"/>
                <w:szCs w:val="20"/>
              </w:rPr>
              <w:t>3 815</w:t>
            </w:r>
          </w:p>
        </w:tc>
      </w:tr>
      <w:tr w:rsidR="00A14B9B" w:rsidRPr="002A0D4F" w14:paraId="18F6B8FF" w14:textId="77777777" w:rsidTr="00DB1D1D">
        <w:trPr>
          <w:trHeight w:val="270"/>
        </w:trPr>
        <w:tc>
          <w:tcPr>
            <w:tcW w:w="2122" w:type="dxa"/>
            <w:noWrap/>
            <w:hideMark/>
          </w:tcPr>
          <w:p w14:paraId="07457ECA" w14:textId="77777777" w:rsidR="00A14B9B" w:rsidRPr="002A0D4F" w:rsidRDefault="00A14B9B" w:rsidP="00DB1D1D">
            <w:pPr>
              <w:rPr>
                <w:rFonts w:cstheme="minorHAnsi"/>
                <w:sz w:val="20"/>
                <w:szCs w:val="20"/>
              </w:rPr>
            </w:pPr>
            <w:r w:rsidRPr="002A0D4F">
              <w:rPr>
                <w:rFonts w:cstheme="minorHAnsi"/>
                <w:sz w:val="20"/>
                <w:szCs w:val="20"/>
              </w:rPr>
              <w:t>Ústecký kraj</w:t>
            </w:r>
          </w:p>
        </w:tc>
        <w:tc>
          <w:tcPr>
            <w:tcW w:w="1597" w:type="dxa"/>
            <w:noWrap/>
            <w:hideMark/>
          </w:tcPr>
          <w:p w14:paraId="101DC5E8" w14:textId="77777777" w:rsidR="00A14B9B" w:rsidRPr="002A0D4F" w:rsidRDefault="00A14B9B" w:rsidP="00DB1D1D">
            <w:pPr>
              <w:jc w:val="right"/>
              <w:rPr>
                <w:rFonts w:cstheme="minorHAnsi"/>
                <w:sz w:val="20"/>
                <w:szCs w:val="20"/>
              </w:rPr>
            </w:pPr>
            <w:r w:rsidRPr="002A0D4F">
              <w:rPr>
                <w:rFonts w:cstheme="minorHAnsi"/>
                <w:sz w:val="20"/>
                <w:szCs w:val="20"/>
              </w:rPr>
              <w:t>843</w:t>
            </w:r>
          </w:p>
        </w:tc>
        <w:tc>
          <w:tcPr>
            <w:tcW w:w="1781" w:type="dxa"/>
            <w:noWrap/>
            <w:hideMark/>
          </w:tcPr>
          <w:p w14:paraId="613E036F" w14:textId="77777777" w:rsidR="00A14B9B" w:rsidRPr="002A0D4F" w:rsidRDefault="00A14B9B" w:rsidP="00DB1D1D">
            <w:pPr>
              <w:jc w:val="right"/>
              <w:rPr>
                <w:rFonts w:cstheme="minorHAnsi"/>
                <w:sz w:val="20"/>
                <w:szCs w:val="20"/>
              </w:rPr>
            </w:pPr>
            <w:r w:rsidRPr="002A0D4F">
              <w:rPr>
                <w:rFonts w:cstheme="minorHAnsi"/>
                <w:sz w:val="20"/>
                <w:szCs w:val="20"/>
              </w:rPr>
              <w:t>522</w:t>
            </w:r>
          </w:p>
        </w:tc>
        <w:tc>
          <w:tcPr>
            <w:tcW w:w="1781" w:type="dxa"/>
            <w:noWrap/>
            <w:hideMark/>
          </w:tcPr>
          <w:p w14:paraId="2316B555" w14:textId="77777777" w:rsidR="00A14B9B" w:rsidRPr="002A0D4F" w:rsidRDefault="00A14B9B" w:rsidP="00DB1D1D">
            <w:pPr>
              <w:jc w:val="right"/>
              <w:rPr>
                <w:rFonts w:cstheme="minorHAnsi"/>
                <w:sz w:val="20"/>
                <w:szCs w:val="20"/>
              </w:rPr>
            </w:pPr>
            <w:r w:rsidRPr="002A0D4F">
              <w:rPr>
                <w:rFonts w:cstheme="minorHAnsi"/>
                <w:sz w:val="20"/>
                <w:szCs w:val="20"/>
              </w:rPr>
              <w:t>0</w:t>
            </w:r>
          </w:p>
        </w:tc>
        <w:tc>
          <w:tcPr>
            <w:tcW w:w="1781" w:type="dxa"/>
            <w:noWrap/>
            <w:hideMark/>
          </w:tcPr>
          <w:p w14:paraId="393748F5" w14:textId="77777777" w:rsidR="00A14B9B" w:rsidRPr="002A0D4F" w:rsidRDefault="00A14B9B" w:rsidP="00DB1D1D">
            <w:pPr>
              <w:jc w:val="right"/>
              <w:rPr>
                <w:rFonts w:cstheme="minorHAnsi"/>
                <w:sz w:val="20"/>
                <w:szCs w:val="20"/>
              </w:rPr>
            </w:pPr>
            <w:r w:rsidRPr="002A0D4F">
              <w:rPr>
                <w:rFonts w:cstheme="minorHAnsi"/>
                <w:sz w:val="20"/>
                <w:szCs w:val="20"/>
              </w:rPr>
              <w:t>1 366</w:t>
            </w:r>
          </w:p>
        </w:tc>
      </w:tr>
      <w:tr w:rsidR="00A14B9B" w:rsidRPr="002A0D4F" w14:paraId="307C15A6" w14:textId="77777777" w:rsidTr="00DB1D1D">
        <w:trPr>
          <w:trHeight w:val="270"/>
        </w:trPr>
        <w:tc>
          <w:tcPr>
            <w:tcW w:w="2122" w:type="dxa"/>
            <w:noWrap/>
            <w:hideMark/>
          </w:tcPr>
          <w:p w14:paraId="4C23C7E2" w14:textId="77777777" w:rsidR="00A14B9B" w:rsidRPr="002A0D4F" w:rsidRDefault="00A14B9B" w:rsidP="00DB1D1D">
            <w:pPr>
              <w:rPr>
                <w:rFonts w:cstheme="minorHAnsi"/>
                <w:sz w:val="20"/>
                <w:szCs w:val="20"/>
              </w:rPr>
            </w:pPr>
            <w:r w:rsidRPr="002A0D4F">
              <w:rPr>
                <w:rFonts w:cstheme="minorHAnsi"/>
                <w:sz w:val="20"/>
                <w:szCs w:val="20"/>
              </w:rPr>
              <w:t>Zlínský kraj</w:t>
            </w:r>
          </w:p>
        </w:tc>
        <w:tc>
          <w:tcPr>
            <w:tcW w:w="1597" w:type="dxa"/>
            <w:noWrap/>
            <w:hideMark/>
          </w:tcPr>
          <w:p w14:paraId="13B7FA40" w14:textId="77777777" w:rsidR="00A14B9B" w:rsidRPr="002A0D4F" w:rsidRDefault="00A14B9B" w:rsidP="00DB1D1D">
            <w:pPr>
              <w:jc w:val="right"/>
              <w:rPr>
                <w:rFonts w:cstheme="minorHAnsi"/>
                <w:sz w:val="20"/>
                <w:szCs w:val="20"/>
              </w:rPr>
            </w:pPr>
            <w:r w:rsidRPr="002A0D4F">
              <w:rPr>
                <w:rFonts w:cstheme="minorHAnsi"/>
                <w:sz w:val="20"/>
                <w:szCs w:val="20"/>
              </w:rPr>
              <w:t>1 651</w:t>
            </w:r>
          </w:p>
        </w:tc>
        <w:tc>
          <w:tcPr>
            <w:tcW w:w="1781" w:type="dxa"/>
            <w:noWrap/>
            <w:hideMark/>
          </w:tcPr>
          <w:p w14:paraId="1408383A" w14:textId="77777777" w:rsidR="00A14B9B" w:rsidRPr="002A0D4F" w:rsidRDefault="00A14B9B" w:rsidP="00DB1D1D">
            <w:pPr>
              <w:jc w:val="right"/>
              <w:rPr>
                <w:rFonts w:cstheme="minorHAnsi"/>
                <w:sz w:val="20"/>
                <w:szCs w:val="20"/>
              </w:rPr>
            </w:pPr>
            <w:r w:rsidRPr="002A0D4F">
              <w:rPr>
                <w:rFonts w:cstheme="minorHAnsi"/>
                <w:sz w:val="20"/>
                <w:szCs w:val="20"/>
              </w:rPr>
              <w:t>332</w:t>
            </w:r>
          </w:p>
        </w:tc>
        <w:tc>
          <w:tcPr>
            <w:tcW w:w="1781" w:type="dxa"/>
            <w:noWrap/>
            <w:hideMark/>
          </w:tcPr>
          <w:p w14:paraId="1A61CDC8" w14:textId="77777777" w:rsidR="00A14B9B" w:rsidRPr="002A0D4F" w:rsidRDefault="00A14B9B" w:rsidP="00DB1D1D">
            <w:pPr>
              <w:jc w:val="right"/>
              <w:rPr>
                <w:rFonts w:cstheme="minorHAnsi"/>
                <w:sz w:val="20"/>
                <w:szCs w:val="20"/>
              </w:rPr>
            </w:pPr>
            <w:r w:rsidRPr="002A0D4F">
              <w:rPr>
                <w:rFonts w:cstheme="minorHAnsi"/>
                <w:sz w:val="20"/>
                <w:szCs w:val="20"/>
              </w:rPr>
              <w:t>8</w:t>
            </w:r>
          </w:p>
        </w:tc>
        <w:tc>
          <w:tcPr>
            <w:tcW w:w="1781" w:type="dxa"/>
            <w:noWrap/>
            <w:hideMark/>
          </w:tcPr>
          <w:p w14:paraId="35203ACA" w14:textId="77777777" w:rsidR="00A14B9B" w:rsidRPr="002A0D4F" w:rsidRDefault="00A14B9B" w:rsidP="00DB1D1D">
            <w:pPr>
              <w:jc w:val="right"/>
              <w:rPr>
                <w:rFonts w:cstheme="minorHAnsi"/>
                <w:sz w:val="20"/>
                <w:szCs w:val="20"/>
              </w:rPr>
            </w:pPr>
            <w:r w:rsidRPr="002A0D4F">
              <w:rPr>
                <w:rFonts w:cstheme="minorHAnsi"/>
                <w:sz w:val="20"/>
                <w:szCs w:val="20"/>
              </w:rPr>
              <w:t>1 991</w:t>
            </w:r>
          </w:p>
        </w:tc>
      </w:tr>
      <w:tr w:rsidR="00A14B9B" w:rsidRPr="002A0D4F" w14:paraId="60BAEDF8" w14:textId="77777777" w:rsidTr="00DB1D1D">
        <w:trPr>
          <w:trHeight w:val="270"/>
        </w:trPr>
        <w:tc>
          <w:tcPr>
            <w:tcW w:w="2122" w:type="dxa"/>
            <w:noWrap/>
            <w:hideMark/>
          </w:tcPr>
          <w:p w14:paraId="235758F9" w14:textId="77777777" w:rsidR="00A14B9B" w:rsidRPr="002A0D4F" w:rsidRDefault="00A14B9B" w:rsidP="00DB1D1D">
            <w:pPr>
              <w:rPr>
                <w:rFonts w:cstheme="minorHAnsi"/>
                <w:sz w:val="20"/>
                <w:szCs w:val="20"/>
              </w:rPr>
            </w:pPr>
            <w:r w:rsidRPr="002A0D4F">
              <w:rPr>
                <w:rFonts w:cstheme="minorHAnsi"/>
                <w:sz w:val="20"/>
                <w:szCs w:val="20"/>
              </w:rPr>
              <w:t>Nezjištěno</w:t>
            </w:r>
          </w:p>
        </w:tc>
        <w:tc>
          <w:tcPr>
            <w:tcW w:w="1597" w:type="dxa"/>
            <w:noWrap/>
            <w:hideMark/>
          </w:tcPr>
          <w:p w14:paraId="68FD0FDD" w14:textId="77777777" w:rsidR="00A14B9B" w:rsidRPr="002A0D4F" w:rsidRDefault="00A14B9B" w:rsidP="00DB1D1D">
            <w:pPr>
              <w:jc w:val="right"/>
              <w:rPr>
                <w:rFonts w:cstheme="minorHAnsi"/>
                <w:sz w:val="20"/>
                <w:szCs w:val="20"/>
              </w:rPr>
            </w:pPr>
            <w:r w:rsidRPr="002A0D4F">
              <w:rPr>
                <w:rFonts w:cstheme="minorHAnsi"/>
                <w:sz w:val="20"/>
                <w:szCs w:val="20"/>
              </w:rPr>
              <w:t>24</w:t>
            </w:r>
          </w:p>
        </w:tc>
        <w:tc>
          <w:tcPr>
            <w:tcW w:w="1781" w:type="dxa"/>
            <w:noWrap/>
            <w:hideMark/>
          </w:tcPr>
          <w:p w14:paraId="4F566F18" w14:textId="77777777" w:rsidR="00A14B9B" w:rsidRPr="002A0D4F" w:rsidRDefault="00A14B9B" w:rsidP="00DB1D1D">
            <w:pPr>
              <w:jc w:val="right"/>
              <w:rPr>
                <w:rFonts w:cstheme="minorHAnsi"/>
                <w:sz w:val="20"/>
                <w:szCs w:val="20"/>
              </w:rPr>
            </w:pPr>
            <w:r w:rsidRPr="002A0D4F">
              <w:rPr>
                <w:rFonts w:cstheme="minorHAnsi"/>
                <w:sz w:val="20"/>
                <w:szCs w:val="20"/>
              </w:rPr>
              <w:t>7</w:t>
            </w:r>
          </w:p>
        </w:tc>
        <w:tc>
          <w:tcPr>
            <w:tcW w:w="1781" w:type="dxa"/>
            <w:noWrap/>
            <w:hideMark/>
          </w:tcPr>
          <w:p w14:paraId="41F0D571" w14:textId="77777777" w:rsidR="00A14B9B" w:rsidRPr="002A0D4F" w:rsidRDefault="00A14B9B" w:rsidP="00DB1D1D">
            <w:pPr>
              <w:jc w:val="right"/>
              <w:rPr>
                <w:rFonts w:cstheme="minorHAnsi"/>
                <w:sz w:val="20"/>
                <w:szCs w:val="20"/>
              </w:rPr>
            </w:pPr>
            <w:r w:rsidRPr="002A0D4F">
              <w:rPr>
                <w:rFonts w:cstheme="minorHAnsi"/>
                <w:sz w:val="20"/>
                <w:szCs w:val="20"/>
              </w:rPr>
              <w:t>0</w:t>
            </w:r>
          </w:p>
        </w:tc>
        <w:tc>
          <w:tcPr>
            <w:tcW w:w="1781" w:type="dxa"/>
            <w:noWrap/>
            <w:hideMark/>
          </w:tcPr>
          <w:p w14:paraId="4F393534" w14:textId="77777777" w:rsidR="00A14B9B" w:rsidRPr="002A0D4F" w:rsidRDefault="00A14B9B" w:rsidP="00DB1D1D">
            <w:pPr>
              <w:jc w:val="right"/>
              <w:rPr>
                <w:rFonts w:cstheme="minorHAnsi"/>
                <w:sz w:val="20"/>
                <w:szCs w:val="20"/>
              </w:rPr>
            </w:pPr>
            <w:r w:rsidRPr="002A0D4F">
              <w:rPr>
                <w:rFonts w:cstheme="minorHAnsi"/>
                <w:sz w:val="20"/>
                <w:szCs w:val="20"/>
              </w:rPr>
              <w:t>31</w:t>
            </w:r>
          </w:p>
        </w:tc>
      </w:tr>
      <w:tr w:rsidR="00A14B9B" w:rsidRPr="002A0D4F" w14:paraId="3D1948B3" w14:textId="77777777" w:rsidTr="00DB1D1D">
        <w:trPr>
          <w:trHeight w:val="270"/>
        </w:trPr>
        <w:tc>
          <w:tcPr>
            <w:tcW w:w="2122" w:type="dxa"/>
            <w:noWrap/>
            <w:hideMark/>
          </w:tcPr>
          <w:p w14:paraId="7E483A60" w14:textId="77777777" w:rsidR="00A14B9B" w:rsidRPr="002A0D4F" w:rsidRDefault="00A14B9B" w:rsidP="00DB1D1D">
            <w:pPr>
              <w:rPr>
                <w:rFonts w:cstheme="minorHAnsi"/>
                <w:b/>
                <w:bCs/>
                <w:sz w:val="20"/>
                <w:szCs w:val="20"/>
              </w:rPr>
            </w:pPr>
            <w:r w:rsidRPr="002A0D4F">
              <w:rPr>
                <w:rFonts w:cstheme="minorHAnsi"/>
                <w:b/>
                <w:bCs/>
                <w:sz w:val="20"/>
                <w:szCs w:val="20"/>
              </w:rPr>
              <w:t>Celkem</w:t>
            </w:r>
          </w:p>
        </w:tc>
        <w:tc>
          <w:tcPr>
            <w:tcW w:w="1597" w:type="dxa"/>
            <w:noWrap/>
            <w:hideMark/>
          </w:tcPr>
          <w:p w14:paraId="33F47BAC" w14:textId="77777777" w:rsidR="00A14B9B" w:rsidRPr="002A0D4F" w:rsidRDefault="00A14B9B" w:rsidP="00DB1D1D">
            <w:pPr>
              <w:jc w:val="right"/>
              <w:rPr>
                <w:rFonts w:cstheme="minorHAnsi"/>
                <w:b/>
                <w:bCs/>
                <w:sz w:val="20"/>
                <w:szCs w:val="20"/>
              </w:rPr>
            </w:pPr>
            <w:r w:rsidRPr="002A0D4F">
              <w:rPr>
                <w:rFonts w:cstheme="minorHAnsi"/>
                <w:b/>
                <w:bCs/>
                <w:sz w:val="20"/>
                <w:szCs w:val="20"/>
              </w:rPr>
              <w:t>23 944</w:t>
            </w:r>
          </w:p>
        </w:tc>
        <w:tc>
          <w:tcPr>
            <w:tcW w:w="1781" w:type="dxa"/>
            <w:noWrap/>
            <w:hideMark/>
          </w:tcPr>
          <w:p w14:paraId="453946A2" w14:textId="77777777" w:rsidR="00A14B9B" w:rsidRPr="002A0D4F" w:rsidRDefault="00A14B9B" w:rsidP="00DB1D1D">
            <w:pPr>
              <w:jc w:val="right"/>
              <w:rPr>
                <w:rFonts w:cstheme="minorHAnsi"/>
                <w:b/>
                <w:bCs/>
                <w:sz w:val="20"/>
                <w:szCs w:val="20"/>
              </w:rPr>
            </w:pPr>
            <w:r w:rsidRPr="002A0D4F">
              <w:rPr>
                <w:rFonts w:cstheme="minorHAnsi"/>
                <w:b/>
                <w:bCs/>
                <w:sz w:val="20"/>
                <w:szCs w:val="20"/>
              </w:rPr>
              <w:t>8 159</w:t>
            </w:r>
          </w:p>
        </w:tc>
        <w:tc>
          <w:tcPr>
            <w:tcW w:w="1781" w:type="dxa"/>
            <w:noWrap/>
            <w:hideMark/>
          </w:tcPr>
          <w:p w14:paraId="415783D4" w14:textId="77777777" w:rsidR="00A14B9B" w:rsidRPr="002A0D4F" w:rsidRDefault="00A14B9B" w:rsidP="00DB1D1D">
            <w:pPr>
              <w:jc w:val="right"/>
              <w:rPr>
                <w:rFonts w:cstheme="minorHAnsi"/>
                <w:b/>
                <w:bCs/>
                <w:sz w:val="20"/>
                <w:szCs w:val="20"/>
              </w:rPr>
            </w:pPr>
            <w:r w:rsidRPr="002A0D4F">
              <w:rPr>
                <w:rFonts w:cstheme="minorHAnsi"/>
                <w:b/>
                <w:bCs/>
                <w:sz w:val="20"/>
                <w:szCs w:val="20"/>
              </w:rPr>
              <w:t>660</w:t>
            </w:r>
          </w:p>
        </w:tc>
        <w:tc>
          <w:tcPr>
            <w:tcW w:w="1781" w:type="dxa"/>
            <w:noWrap/>
            <w:hideMark/>
          </w:tcPr>
          <w:p w14:paraId="556920B9" w14:textId="77777777" w:rsidR="00A14B9B" w:rsidRPr="002A0D4F" w:rsidRDefault="00A14B9B" w:rsidP="00DB1D1D">
            <w:pPr>
              <w:jc w:val="right"/>
              <w:rPr>
                <w:rFonts w:cstheme="minorHAnsi"/>
                <w:b/>
                <w:bCs/>
                <w:sz w:val="20"/>
                <w:szCs w:val="20"/>
              </w:rPr>
            </w:pPr>
            <w:r w:rsidRPr="002A0D4F">
              <w:rPr>
                <w:rFonts w:cstheme="minorHAnsi"/>
                <w:b/>
                <w:bCs/>
                <w:sz w:val="20"/>
                <w:szCs w:val="20"/>
              </w:rPr>
              <w:t>32 762</w:t>
            </w:r>
          </w:p>
        </w:tc>
      </w:tr>
    </w:tbl>
    <w:p w14:paraId="0E06DFA9" w14:textId="77777777" w:rsidR="00A14B9B" w:rsidRPr="002A0D4F" w:rsidRDefault="00A14B9B" w:rsidP="00C229B5">
      <w:pPr>
        <w:pStyle w:val="UZEIZdroj"/>
      </w:pPr>
      <w:r w:rsidRPr="002A0D4F">
        <w:t>Zdroj: SPÚ, databáze polních cest realizovaných 1994-2020, vlastní zpracování</w:t>
      </w:r>
    </w:p>
    <w:p w14:paraId="38BF07B3" w14:textId="77777777" w:rsidR="00A14B9B" w:rsidRPr="002A0D4F" w:rsidRDefault="00A14B9B" w:rsidP="00C229B5">
      <w:pPr>
        <w:pStyle w:val="UZEIZdroj"/>
      </w:pPr>
      <w:r w:rsidRPr="002A0D4F">
        <w:t>* Vypočteno z poskytnutých dat dle obvodu polygonu polní cesty</w:t>
      </w:r>
    </w:p>
    <w:p w14:paraId="2883F123" w14:textId="4281C1D4" w:rsidR="00A14B9B" w:rsidRPr="002A0D4F" w:rsidRDefault="00A14B9B" w:rsidP="00C229B5">
      <w:pPr>
        <w:pStyle w:val="UZEINormaln"/>
      </w:pPr>
      <w:r w:rsidRPr="002A0D4F">
        <w:t>Podle typu polní cesty převládají mezi navrženými cesty vedlejší, stejně tak je tomu u stávajících polních cest (</w:t>
      </w:r>
      <w:r w:rsidR="00C229B5">
        <w:fldChar w:fldCharType="begin"/>
      </w:r>
      <w:r w:rsidR="00C229B5">
        <w:instrText xml:space="preserve"> REF _Ref81776539 \r \h </w:instrText>
      </w:r>
      <w:r w:rsidR="00C229B5">
        <w:fldChar w:fldCharType="separate"/>
      </w:r>
      <w:r w:rsidR="00C229B5">
        <w:t>Tabulka 58</w:t>
      </w:r>
      <w:r w:rsidR="00C229B5">
        <w:fldChar w:fldCharType="end"/>
      </w:r>
      <w:r w:rsidRPr="002A0D4F">
        <w:t>). Z povrchů převládají nezpevněné a cementobetonové polní cest (</w:t>
      </w:r>
      <w:r w:rsidR="00C229B5">
        <w:fldChar w:fldCharType="begin"/>
      </w:r>
      <w:r w:rsidR="00C229B5">
        <w:instrText xml:space="preserve"> REF _Ref81776545 \r \h </w:instrText>
      </w:r>
      <w:r w:rsidR="00C229B5">
        <w:fldChar w:fldCharType="separate"/>
      </w:r>
      <w:r w:rsidR="00C229B5">
        <w:t>Tabulka 59</w:t>
      </w:r>
      <w:r w:rsidR="00C229B5">
        <w:fldChar w:fldCharType="end"/>
      </w:r>
      <w:r w:rsidRPr="002A0D4F">
        <w:t xml:space="preserve">). </w:t>
      </w:r>
    </w:p>
    <w:p w14:paraId="68C68F13" w14:textId="77777777" w:rsidR="00A14B9B" w:rsidRPr="002A0D4F" w:rsidRDefault="00A14B9B" w:rsidP="00A14B9B">
      <w:pPr>
        <w:rPr>
          <w:rFonts w:cstheme="minorHAnsi"/>
          <w:szCs w:val="24"/>
          <w:lang w:val="cs-CZ"/>
        </w:rPr>
      </w:pPr>
    </w:p>
    <w:p w14:paraId="246BB10F" w14:textId="77777777" w:rsidR="00A14B9B" w:rsidRPr="002A0D4F" w:rsidRDefault="00A14B9B" w:rsidP="00A14B9B">
      <w:pPr>
        <w:pStyle w:val="Titulek"/>
        <w:spacing w:after="0"/>
      </w:pPr>
    </w:p>
    <w:p w14:paraId="5274482B" w14:textId="77777777" w:rsidR="00A14B9B" w:rsidRPr="002A0D4F" w:rsidRDefault="00A14B9B" w:rsidP="00A14B9B">
      <w:pPr>
        <w:rPr>
          <w:lang w:val="cs-CZ"/>
        </w:rPr>
      </w:pPr>
    </w:p>
    <w:p w14:paraId="222C4741" w14:textId="2B97F6F4" w:rsidR="00A14B9B" w:rsidRPr="00C229B5" w:rsidRDefault="00C229B5" w:rsidP="00C229B5">
      <w:pPr>
        <w:pStyle w:val="UZEITaB"/>
        <w:rPr>
          <w:rFonts w:eastAsiaTheme="minorEastAsia"/>
        </w:rPr>
      </w:pPr>
      <w:bookmarkStart w:id="977" w:name="_Toc25920054"/>
      <w:r w:rsidRPr="00C229B5">
        <w:rPr>
          <w:rFonts w:eastAsiaTheme="minorEastAsia"/>
        </w:rPr>
        <w:lastRenderedPageBreak/>
        <w:t xml:space="preserve"> </w:t>
      </w:r>
      <w:bookmarkStart w:id="978" w:name="_Toc81815377"/>
      <w:bookmarkStart w:id="979" w:name="_Toc81817055"/>
      <w:bookmarkStart w:id="980" w:name="_Toc81817568"/>
      <w:r w:rsidR="00A14B9B" w:rsidRPr="00C229B5">
        <w:rPr>
          <w:rFonts w:eastAsiaTheme="minorEastAsia"/>
        </w:rPr>
        <w:t>Délka polní cest podle jejich typu</w:t>
      </w:r>
      <w:bookmarkEnd w:id="977"/>
      <w:bookmarkEnd w:id="978"/>
      <w:bookmarkEnd w:id="979"/>
      <w:bookmarkEnd w:id="980"/>
    </w:p>
    <w:tbl>
      <w:tblPr>
        <w:tblStyle w:val="Mkatabulky"/>
        <w:tblW w:w="0" w:type="auto"/>
        <w:tblLook w:val="04A0" w:firstRow="1" w:lastRow="0" w:firstColumn="1" w:lastColumn="0" w:noHBand="0" w:noVBand="1"/>
      </w:tblPr>
      <w:tblGrid>
        <w:gridCol w:w="1927"/>
        <w:gridCol w:w="1773"/>
        <w:gridCol w:w="1772"/>
        <w:gridCol w:w="1772"/>
        <w:gridCol w:w="1772"/>
      </w:tblGrid>
      <w:tr w:rsidR="00A14B9B" w:rsidRPr="00C229B5" w14:paraId="7C6AAB7F" w14:textId="77777777" w:rsidTr="00DB1D1D">
        <w:trPr>
          <w:trHeight w:val="270"/>
        </w:trPr>
        <w:tc>
          <w:tcPr>
            <w:tcW w:w="1937" w:type="dxa"/>
            <w:noWrap/>
            <w:hideMark/>
          </w:tcPr>
          <w:p w14:paraId="17B64648" w14:textId="77777777" w:rsidR="00A14B9B" w:rsidRPr="00C229B5" w:rsidRDefault="00A14B9B" w:rsidP="00DB1D1D">
            <w:pPr>
              <w:jc w:val="center"/>
              <w:rPr>
                <w:rFonts w:cstheme="minorHAnsi"/>
                <w:b/>
                <w:bCs/>
                <w:sz w:val="22"/>
              </w:rPr>
            </w:pPr>
            <w:r w:rsidRPr="00C229B5">
              <w:rPr>
                <w:rFonts w:cstheme="minorHAnsi"/>
                <w:b/>
                <w:bCs/>
                <w:sz w:val="22"/>
              </w:rPr>
              <w:t>Typ cesty</w:t>
            </w:r>
          </w:p>
        </w:tc>
        <w:tc>
          <w:tcPr>
            <w:tcW w:w="1782" w:type="dxa"/>
            <w:noWrap/>
            <w:hideMark/>
          </w:tcPr>
          <w:p w14:paraId="46B2FE70" w14:textId="77777777" w:rsidR="00A14B9B" w:rsidRPr="00C229B5" w:rsidRDefault="00A14B9B" w:rsidP="00DB1D1D">
            <w:pPr>
              <w:jc w:val="center"/>
              <w:rPr>
                <w:rFonts w:cstheme="minorHAnsi"/>
                <w:b/>
                <w:bCs/>
                <w:sz w:val="22"/>
              </w:rPr>
            </w:pPr>
            <w:r w:rsidRPr="00C229B5">
              <w:rPr>
                <w:rFonts w:cstheme="minorHAnsi"/>
                <w:b/>
                <w:bCs/>
                <w:sz w:val="22"/>
              </w:rPr>
              <w:t>Navržená (km)</w:t>
            </w:r>
          </w:p>
        </w:tc>
        <w:tc>
          <w:tcPr>
            <w:tcW w:w="1781" w:type="dxa"/>
            <w:noWrap/>
            <w:hideMark/>
          </w:tcPr>
          <w:p w14:paraId="5BD7F710" w14:textId="77777777" w:rsidR="00A14B9B" w:rsidRPr="00C229B5" w:rsidRDefault="00A14B9B" w:rsidP="00DB1D1D">
            <w:pPr>
              <w:jc w:val="center"/>
              <w:rPr>
                <w:rFonts w:cstheme="minorHAnsi"/>
                <w:b/>
                <w:bCs/>
                <w:sz w:val="22"/>
              </w:rPr>
            </w:pPr>
            <w:r w:rsidRPr="00C229B5">
              <w:rPr>
                <w:rFonts w:cstheme="minorHAnsi"/>
                <w:b/>
                <w:bCs/>
                <w:sz w:val="22"/>
              </w:rPr>
              <w:t>Stávající (km)</w:t>
            </w:r>
          </w:p>
        </w:tc>
        <w:tc>
          <w:tcPr>
            <w:tcW w:w="1781" w:type="dxa"/>
            <w:hideMark/>
          </w:tcPr>
          <w:p w14:paraId="072DFBA1" w14:textId="77777777" w:rsidR="00A14B9B" w:rsidRPr="00C229B5" w:rsidRDefault="00A14B9B" w:rsidP="00DB1D1D">
            <w:pPr>
              <w:jc w:val="center"/>
              <w:rPr>
                <w:rFonts w:cstheme="minorHAnsi"/>
                <w:b/>
                <w:bCs/>
                <w:sz w:val="22"/>
              </w:rPr>
            </w:pPr>
            <w:r w:rsidRPr="00C229B5">
              <w:rPr>
                <w:rFonts w:cstheme="minorHAnsi"/>
                <w:b/>
                <w:bCs/>
                <w:sz w:val="22"/>
              </w:rPr>
              <w:t>Nerozlišeno/</w:t>
            </w:r>
          </w:p>
          <w:p w14:paraId="0A1B08AA" w14:textId="77777777" w:rsidR="00A14B9B" w:rsidRPr="00C229B5" w:rsidRDefault="00A14B9B" w:rsidP="00DB1D1D">
            <w:pPr>
              <w:jc w:val="center"/>
              <w:rPr>
                <w:rFonts w:cstheme="minorHAnsi"/>
                <w:b/>
                <w:bCs/>
                <w:sz w:val="22"/>
              </w:rPr>
            </w:pPr>
            <w:r w:rsidRPr="00C229B5">
              <w:rPr>
                <w:rFonts w:cstheme="minorHAnsi"/>
                <w:b/>
                <w:bCs/>
                <w:sz w:val="22"/>
              </w:rPr>
              <w:t>neuvedeno (km)</w:t>
            </w:r>
          </w:p>
        </w:tc>
        <w:tc>
          <w:tcPr>
            <w:tcW w:w="1781" w:type="dxa"/>
            <w:noWrap/>
            <w:hideMark/>
          </w:tcPr>
          <w:p w14:paraId="4A280593" w14:textId="77777777" w:rsidR="00A14B9B" w:rsidRPr="00C229B5" w:rsidRDefault="00A14B9B" w:rsidP="00DB1D1D">
            <w:pPr>
              <w:jc w:val="center"/>
              <w:rPr>
                <w:rFonts w:cstheme="minorHAnsi"/>
                <w:b/>
                <w:bCs/>
                <w:sz w:val="22"/>
              </w:rPr>
            </w:pPr>
            <w:r w:rsidRPr="00C229B5">
              <w:rPr>
                <w:rFonts w:cstheme="minorHAnsi"/>
                <w:b/>
                <w:bCs/>
                <w:sz w:val="22"/>
              </w:rPr>
              <w:t>Délka cest (km)*</w:t>
            </w:r>
          </w:p>
        </w:tc>
      </w:tr>
      <w:tr w:rsidR="00A14B9B" w:rsidRPr="00C229B5" w14:paraId="3FFB4266" w14:textId="77777777" w:rsidTr="00DB1D1D">
        <w:trPr>
          <w:trHeight w:val="270"/>
        </w:trPr>
        <w:tc>
          <w:tcPr>
            <w:tcW w:w="1937" w:type="dxa"/>
            <w:noWrap/>
            <w:hideMark/>
          </w:tcPr>
          <w:p w14:paraId="234211D6" w14:textId="77777777" w:rsidR="00A14B9B" w:rsidRPr="00C229B5" w:rsidRDefault="00A14B9B" w:rsidP="00DB1D1D">
            <w:pPr>
              <w:rPr>
                <w:rFonts w:cstheme="minorHAnsi"/>
                <w:sz w:val="22"/>
              </w:rPr>
            </w:pPr>
            <w:r w:rsidRPr="00C229B5">
              <w:rPr>
                <w:rFonts w:cstheme="minorHAnsi"/>
                <w:sz w:val="22"/>
              </w:rPr>
              <w:t>Hlavní</w:t>
            </w:r>
          </w:p>
        </w:tc>
        <w:tc>
          <w:tcPr>
            <w:tcW w:w="1782" w:type="dxa"/>
            <w:noWrap/>
            <w:hideMark/>
          </w:tcPr>
          <w:p w14:paraId="38B30B65" w14:textId="77777777" w:rsidR="00A14B9B" w:rsidRPr="00C229B5" w:rsidRDefault="00A14B9B" w:rsidP="00DB1D1D">
            <w:pPr>
              <w:jc w:val="right"/>
              <w:rPr>
                <w:rFonts w:cstheme="minorHAnsi"/>
                <w:sz w:val="22"/>
              </w:rPr>
            </w:pPr>
            <w:r w:rsidRPr="00C229B5">
              <w:rPr>
                <w:rFonts w:cstheme="minorHAnsi"/>
                <w:sz w:val="22"/>
              </w:rPr>
              <w:t>5 886</w:t>
            </w:r>
          </w:p>
        </w:tc>
        <w:tc>
          <w:tcPr>
            <w:tcW w:w="1781" w:type="dxa"/>
            <w:noWrap/>
            <w:hideMark/>
          </w:tcPr>
          <w:p w14:paraId="47C8F490" w14:textId="77777777" w:rsidR="00A14B9B" w:rsidRPr="00C229B5" w:rsidRDefault="00A14B9B" w:rsidP="00DB1D1D">
            <w:pPr>
              <w:jc w:val="right"/>
              <w:rPr>
                <w:rFonts w:cstheme="minorHAnsi"/>
                <w:sz w:val="22"/>
              </w:rPr>
            </w:pPr>
            <w:r w:rsidRPr="00C229B5">
              <w:rPr>
                <w:rFonts w:cstheme="minorHAnsi"/>
                <w:sz w:val="22"/>
              </w:rPr>
              <w:t>2 029</w:t>
            </w:r>
          </w:p>
        </w:tc>
        <w:tc>
          <w:tcPr>
            <w:tcW w:w="1781" w:type="dxa"/>
            <w:noWrap/>
            <w:hideMark/>
          </w:tcPr>
          <w:p w14:paraId="035B0E1C" w14:textId="77777777" w:rsidR="00A14B9B" w:rsidRPr="00C229B5" w:rsidRDefault="00A14B9B" w:rsidP="00DB1D1D">
            <w:pPr>
              <w:jc w:val="right"/>
              <w:rPr>
                <w:rFonts w:cstheme="minorHAnsi"/>
                <w:sz w:val="22"/>
              </w:rPr>
            </w:pPr>
            <w:r w:rsidRPr="00C229B5">
              <w:rPr>
                <w:rFonts w:cstheme="minorHAnsi"/>
                <w:sz w:val="22"/>
              </w:rPr>
              <w:t>41</w:t>
            </w:r>
          </w:p>
        </w:tc>
        <w:tc>
          <w:tcPr>
            <w:tcW w:w="1781" w:type="dxa"/>
            <w:noWrap/>
            <w:hideMark/>
          </w:tcPr>
          <w:p w14:paraId="5738FAD3" w14:textId="77777777" w:rsidR="00A14B9B" w:rsidRPr="00C229B5" w:rsidRDefault="00A14B9B" w:rsidP="00DB1D1D">
            <w:pPr>
              <w:jc w:val="right"/>
              <w:rPr>
                <w:rFonts w:cstheme="minorHAnsi"/>
                <w:sz w:val="22"/>
              </w:rPr>
            </w:pPr>
            <w:r w:rsidRPr="00C229B5">
              <w:rPr>
                <w:rFonts w:cstheme="minorHAnsi"/>
                <w:sz w:val="22"/>
              </w:rPr>
              <w:t>7 957</w:t>
            </w:r>
          </w:p>
        </w:tc>
      </w:tr>
      <w:tr w:rsidR="00A14B9B" w:rsidRPr="00C229B5" w14:paraId="46989DDE" w14:textId="77777777" w:rsidTr="00DB1D1D">
        <w:trPr>
          <w:trHeight w:val="270"/>
        </w:trPr>
        <w:tc>
          <w:tcPr>
            <w:tcW w:w="1937" w:type="dxa"/>
            <w:noWrap/>
            <w:hideMark/>
          </w:tcPr>
          <w:p w14:paraId="252F236A" w14:textId="77777777" w:rsidR="00A14B9B" w:rsidRPr="00C229B5" w:rsidRDefault="00A14B9B" w:rsidP="00DB1D1D">
            <w:pPr>
              <w:rPr>
                <w:rFonts w:cstheme="minorHAnsi"/>
                <w:sz w:val="22"/>
              </w:rPr>
            </w:pPr>
            <w:r w:rsidRPr="00C229B5">
              <w:rPr>
                <w:rFonts w:cstheme="minorHAnsi"/>
                <w:sz w:val="22"/>
              </w:rPr>
              <w:t>Vedlejší</w:t>
            </w:r>
          </w:p>
        </w:tc>
        <w:tc>
          <w:tcPr>
            <w:tcW w:w="1782" w:type="dxa"/>
            <w:noWrap/>
            <w:hideMark/>
          </w:tcPr>
          <w:p w14:paraId="1C6E639D" w14:textId="77777777" w:rsidR="00A14B9B" w:rsidRPr="00C229B5" w:rsidRDefault="00A14B9B" w:rsidP="00DB1D1D">
            <w:pPr>
              <w:jc w:val="right"/>
              <w:rPr>
                <w:rFonts w:cstheme="minorHAnsi"/>
                <w:sz w:val="22"/>
              </w:rPr>
            </w:pPr>
            <w:r w:rsidRPr="00C229B5">
              <w:rPr>
                <w:rFonts w:cstheme="minorHAnsi"/>
                <w:sz w:val="22"/>
              </w:rPr>
              <w:t>11 296</w:t>
            </w:r>
          </w:p>
        </w:tc>
        <w:tc>
          <w:tcPr>
            <w:tcW w:w="1781" w:type="dxa"/>
            <w:noWrap/>
            <w:hideMark/>
          </w:tcPr>
          <w:p w14:paraId="51F04A29" w14:textId="77777777" w:rsidR="00A14B9B" w:rsidRPr="00C229B5" w:rsidRDefault="00A14B9B" w:rsidP="00DB1D1D">
            <w:pPr>
              <w:jc w:val="right"/>
              <w:rPr>
                <w:rFonts w:cstheme="minorHAnsi"/>
                <w:sz w:val="22"/>
              </w:rPr>
            </w:pPr>
            <w:r w:rsidRPr="00C229B5">
              <w:rPr>
                <w:rFonts w:cstheme="minorHAnsi"/>
                <w:sz w:val="22"/>
              </w:rPr>
              <w:t>3 438</w:t>
            </w:r>
          </w:p>
        </w:tc>
        <w:tc>
          <w:tcPr>
            <w:tcW w:w="1781" w:type="dxa"/>
            <w:noWrap/>
            <w:hideMark/>
          </w:tcPr>
          <w:p w14:paraId="0A59F5B8" w14:textId="77777777" w:rsidR="00A14B9B" w:rsidRPr="00C229B5" w:rsidRDefault="00A14B9B" w:rsidP="00DB1D1D">
            <w:pPr>
              <w:jc w:val="right"/>
              <w:rPr>
                <w:rFonts w:cstheme="minorHAnsi"/>
                <w:sz w:val="22"/>
              </w:rPr>
            </w:pPr>
            <w:r w:rsidRPr="00C229B5">
              <w:rPr>
                <w:rFonts w:cstheme="minorHAnsi"/>
                <w:sz w:val="22"/>
              </w:rPr>
              <w:t>93</w:t>
            </w:r>
          </w:p>
        </w:tc>
        <w:tc>
          <w:tcPr>
            <w:tcW w:w="1781" w:type="dxa"/>
            <w:noWrap/>
            <w:hideMark/>
          </w:tcPr>
          <w:p w14:paraId="383439C2" w14:textId="77777777" w:rsidR="00A14B9B" w:rsidRPr="00C229B5" w:rsidRDefault="00A14B9B" w:rsidP="00DB1D1D">
            <w:pPr>
              <w:jc w:val="right"/>
              <w:rPr>
                <w:rFonts w:cstheme="minorHAnsi"/>
                <w:sz w:val="22"/>
              </w:rPr>
            </w:pPr>
            <w:r w:rsidRPr="00C229B5">
              <w:rPr>
                <w:rFonts w:cstheme="minorHAnsi"/>
                <w:sz w:val="22"/>
              </w:rPr>
              <w:t>14 827</w:t>
            </w:r>
          </w:p>
        </w:tc>
      </w:tr>
      <w:tr w:rsidR="00A14B9B" w:rsidRPr="00C229B5" w14:paraId="5127120D" w14:textId="77777777" w:rsidTr="00DB1D1D">
        <w:trPr>
          <w:trHeight w:val="270"/>
        </w:trPr>
        <w:tc>
          <w:tcPr>
            <w:tcW w:w="1937" w:type="dxa"/>
            <w:noWrap/>
            <w:hideMark/>
          </w:tcPr>
          <w:p w14:paraId="67ED380B" w14:textId="77777777" w:rsidR="00A14B9B" w:rsidRPr="00C229B5" w:rsidRDefault="00A14B9B" w:rsidP="00DB1D1D">
            <w:pPr>
              <w:rPr>
                <w:rFonts w:cstheme="minorHAnsi"/>
                <w:sz w:val="22"/>
              </w:rPr>
            </w:pPr>
            <w:r w:rsidRPr="00C229B5">
              <w:rPr>
                <w:rFonts w:cstheme="minorHAnsi"/>
                <w:sz w:val="22"/>
              </w:rPr>
              <w:t>Doplňková</w:t>
            </w:r>
          </w:p>
        </w:tc>
        <w:tc>
          <w:tcPr>
            <w:tcW w:w="1782" w:type="dxa"/>
            <w:noWrap/>
            <w:hideMark/>
          </w:tcPr>
          <w:p w14:paraId="128BFB81" w14:textId="77777777" w:rsidR="00A14B9B" w:rsidRPr="00C229B5" w:rsidRDefault="00A14B9B" w:rsidP="00DB1D1D">
            <w:pPr>
              <w:jc w:val="right"/>
              <w:rPr>
                <w:rFonts w:cstheme="minorHAnsi"/>
                <w:sz w:val="22"/>
              </w:rPr>
            </w:pPr>
            <w:r w:rsidRPr="00C229B5">
              <w:rPr>
                <w:rFonts w:cstheme="minorHAnsi"/>
                <w:sz w:val="22"/>
              </w:rPr>
              <w:t>4 696</w:t>
            </w:r>
          </w:p>
        </w:tc>
        <w:tc>
          <w:tcPr>
            <w:tcW w:w="1781" w:type="dxa"/>
            <w:noWrap/>
            <w:hideMark/>
          </w:tcPr>
          <w:p w14:paraId="1F3C40DB" w14:textId="77777777" w:rsidR="00A14B9B" w:rsidRPr="00C229B5" w:rsidRDefault="00A14B9B" w:rsidP="00DB1D1D">
            <w:pPr>
              <w:jc w:val="right"/>
              <w:rPr>
                <w:rFonts w:cstheme="minorHAnsi"/>
                <w:sz w:val="22"/>
              </w:rPr>
            </w:pPr>
            <w:r w:rsidRPr="00C229B5">
              <w:rPr>
                <w:rFonts w:cstheme="minorHAnsi"/>
                <w:sz w:val="22"/>
              </w:rPr>
              <w:t>1 336</w:t>
            </w:r>
          </w:p>
        </w:tc>
        <w:tc>
          <w:tcPr>
            <w:tcW w:w="1781" w:type="dxa"/>
            <w:noWrap/>
            <w:hideMark/>
          </w:tcPr>
          <w:p w14:paraId="6590E5DA" w14:textId="77777777" w:rsidR="00A14B9B" w:rsidRPr="00C229B5" w:rsidRDefault="00A14B9B" w:rsidP="00DB1D1D">
            <w:pPr>
              <w:jc w:val="right"/>
              <w:rPr>
                <w:rFonts w:cstheme="minorHAnsi"/>
                <w:sz w:val="22"/>
              </w:rPr>
            </w:pPr>
            <w:r w:rsidRPr="00C229B5">
              <w:rPr>
                <w:rFonts w:cstheme="minorHAnsi"/>
                <w:sz w:val="22"/>
              </w:rPr>
              <w:t>89</w:t>
            </w:r>
          </w:p>
        </w:tc>
        <w:tc>
          <w:tcPr>
            <w:tcW w:w="1781" w:type="dxa"/>
            <w:noWrap/>
            <w:hideMark/>
          </w:tcPr>
          <w:p w14:paraId="02CEC34D" w14:textId="77777777" w:rsidR="00A14B9B" w:rsidRPr="00C229B5" w:rsidRDefault="00A14B9B" w:rsidP="00DB1D1D">
            <w:pPr>
              <w:jc w:val="right"/>
              <w:rPr>
                <w:rFonts w:cstheme="minorHAnsi"/>
                <w:sz w:val="22"/>
              </w:rPr>
            </w:pPr>
            <w:r w:rsidRPr="00C229B5">
              <w:rPr>
                <w:rFonts w:cstheme="minorHAnsi"/>
                <w:sz w:val="22"/>
              </w:rPr>
              <w:t>6 120</w:t>
            </w:r>
          </w:p>
        </w:tc>
      </w:tr>
      <w:tr w:rsidR="00A14B9B" w:rsidRPr="00C229B5" w14:paraId="2D4AB8D1" w14:textId="77777777" w:rsidTr="00DB1D1D">
        <w:trPr>
          <w:trHeight w:val="270"/>
        </w:trPr>
        <w:tc>
          <w:tcPr>
            <w:tcW w:w="1937" w:type="dxa"/>
            <w:noWrap/>
            <w:hideMark/>
          </w:tcPr>
          <w:p w14:paraId="62EC5597" w14:textId="77777777" w:rsidR="00A14B9B" w:rsidRPr="00C229B5" w:rsidRDefault="00A14B9B" w:rsidP="00DB1D1D">
            <w:pPr>
              <w:rPr>
                <w:rFonts w:cstheme="minorHAnsi"/>
                <w:sz w:val="22"/>
              </w:rPr>
            </w:pPr>
            <w:r w:rsidRPr="00C229B5">
              <w:rPr>
                <w:rFonts w:cstheme="minorHAnsi"/>
                <w:sz w:val="22"/>
              </w:rPr>
              <w:t>Lesní</w:t>
            </w:r>
          </w:p>
        </w:tc>
        <w:tc>
          <w:tcPr>
            <w:tcW w:w="1782" w:type="dxa"/>
            <w:noWrap/>
            <w:hideMark/>
          </w:tcPr>
          <w:p w14:paraId="1F9C5CAC" w14:textId="77777777" w:rsidR="00A14B9B" w:rsidRPr="00C229B5" w:rsidRDefault="00A14B9B" w:rsidP="00DB1D1D">
            <w:pPr>
              <w:jc w:val="right"/>
              <w:rPr>
                <w:rFonts w:cstheme="minorHAnsi"/>
                <w:sz w:val="22"/>
              </w:rPr>
            </w:pPr>
            <w:r w:rsidRPr="00C229B5">
              <w:rPr>
                <w:rFonts w:cstheme="minorHAnsi"/>
                <w:sz w:val="22"/>
              </w:rPr>
              <w:t>106</w:t>
            </w:r>
          </w:p>
        </w:tc>
        <w:tc>
          <w:tcPr>
            <w:tcW w:w="1781" w:type="dxa"/>
            <w:noWrap/>
            <w:hideMark/>
          </w:tcPr>
          <w:p w14:paraId="4C9BEBA7" w14:textId="77777777" w:rsidR="00A14B9B" w:rsidRPr="00C229B5" w:rsidRDefault="00A14B9B" w:rsidP="00DB1D1D">
            <w:pPr>
              <w:jc w:val="right"/>
              <w:rPr>
                <w:rFonts w:cstheme="minorHAnsi"/>
                <w:sz w:val="22"/>
              </w:rPr>
            </w:pPr>
            <w:r w:rsidRPr="00C229B5">
              <w:rPr>
                <w:rFonts w:cstheme="minorHAnsi"/>
                <w:sz w:val="22"/>
              </w:rPr>
              <w:t>385</w:t>
            </w:r>
          </w:p>
        </w:tc>
        <w:tc>
          <w:tcPr>
            <w:tcW w:w="1781" w:type="dxa"/>
            <w:noWrap/>
            <w:hideMark/>
          </w:tcPr>
          <w:p w14:paraId="14AC5637" w14:textId="77777777" w:rsidR="00A14B9B" w:rsidRPr="00C229B5" w:rsidRDefault="00A14B9B" w:rsidP="00DB1D1D">
            <w:pPr>
              <w:jc w:val="right"/>
              <w:rPr>
                <w:rFonts w:cstheme="minorHAnsi"/>
                <w:sz w:val="22"/>
              </w:rPr>
            </w:pPr>
            <w:r w:rsidRPr="00C229B5">
              <w:rPr>
                <w:rFonts w:cstheme="minorHAnsi"/>
                <w:sz w:val="22"/>
              </w:rPr>
              <w:t>23</w:t>
            </w:r>
          </w:p>
        </w:tc>
        <w:tc>
          <w:tcPr>
            <w:tcW w:w="1781" w:type="dxa"/>
            <w:noWrap/>
            <w:hideMark/>
          </w:tcPr>
          <w:p w14:paraId="327428B7" w14:textId="77777777" w:rsidR="00A14B9B" w:rsidRPr="00C229B5" w:rsidRDefault="00A14B9B" w:rsidP="00DB1D1D">
            <w:pPr>
              <w:jc w:val="right"/>
              <w:rPr>
                <w:rFonts w:cstheme="minorHAnsi"/>
                <w:sz w:val="22"/>
              </w:rPr>
            </w:pPr>
            <w:r w:rsidRPr="00C229B5">
              <w:rPr>
                <w:rFonts w:cstheme="minorHAnsi"/>
                <w:sz w:val="22"/>
              </w:rPr>
              <w:t>514</w:t>
            </w:r>
          </w:p>
        </w:tc>
      </w:tr>
      <w:tr w:rsidR="00A14B9B" w:rsidRPr="00C229B5" w14:paraId="6C1A61EC" w14:textId="77777777" w:rsidTr="00DB1D1D">
        <w:trPr>
          <w:trHeight w:val="270"/>
        </w:trPr>
        <w:tc>
          <w:tcPr>
            <w:tcW w:w="1937" w:type="dxa"/>
            <w:noWrap/>
            <w:hideMark/>
          </w:tcPr>
          <w:p w14:paraId="26A0F694" w14:textId="77777777" w:rsidR="00A14B9B" w:rsidRPr="00C229B5" w:rsidRDefault="00A14B9B" w:rsidP="00DB1D1D">
            <w:pPr>
              <w:rPr>
                <w:rFonts w:cstheme="minorHAnsi"/>
                <w:sz w:val="22"/>
              </w:rPr>
            </w:pPr>
            <w:r w:rsidRPr="00C229B5">
              <w:rPr>
                <w:rFonts w:cstheme="minorHAnsi"/>
                <w:sz w:val="22"/>
              </w:rPr>
              <w:t>Neuvedeno</w:t>
            </w:r>
          </w:p>
        </w:tc>
        <w:tc>
          <w:tcPr>
            <w:tcW w:w="1782" w:type="dxa"/>
            <w:noWrap/>
            <w:hideMark/>
          </w:tcPr>
          <w:p w14:paraId="08205EA4" w14:textId="77777777" w:rsidR="00A14B9B" w:rsidRPr="00C229B5" w:rsidRDefault="00A14B9B" w:rsidP="00DB1D1D">
            <w:pPr>
              <w:jc w:val="right"/>
              <w:rPr>
                <w:rFonts w:cstheme="minorHAnsi"/>
                <w:sz w:val="22"/>
              </w:rPr>
            </w:pPr>
            <w:r w:rsidRPr="00C229B5">
              <w:rPr>
                <w:rFonts w:cstheme="minorHAnsi"/>
                <w:sz w:val="22"/>
              </w:rPr>
              <w:t>1 959</w:t>
            </w:r>
          </w:p>
        </w:tc>
        <w:tc>
          <w:tcPr>
            <w:tcW w:w="1781" w:type="dxa"/>
            <w:noWrap/>
            <w:hideMark/>
          </w:tcPr>
          <w:p w14:paraId="5CDB6902" w14:textId="77777777" w:rsidR="00A14B9B" w:rsidRPr="00C229B5" w:rsidRDefault="00A14B9B" w:rsidP="00DB1D1D">
            <w:pPr>
              <w:jc w:val="right"/>
              <w:rPr>
                <w:rFonts w:cstheme="minorHAnsi"/>
                <w:sz w:val="22"/>
              </w:rPr>
            </w:pPr>
            <w:r w:rsidRPr="00C229B5">
              <w:rPr>
                <w:rFonts w:cstheme="minorHAnsi"/>
                <w:sz w:val="22"/>
              </w:rPr>
              <w:t>971</w:t>
            </w:r>
          </w:p>
        </w:tc>
        <w:tc>
          <w:tcPr>
            <w:tcW w:w="1781" w:type="dxa"/>
            <w:noWrap/>
            <w:hideMark/>
          </w:tcPr>
          <w:p w14:paraId="68584ABD" w14:textId="77777777" w:rsidR="00A14B9B" w:rsidRPr="00C229B5" w:rsidRDefault="00A14B9B" w:rsidP="00DB1D1D">
            <w:pPr>
              <w:jc w:val="right"/>
              <w:rPr>
                <w:rFonts w:cstheme="minorHAnsi"/>
                <w:sz w:val="22"/>
              </w:rPr>
            </w:pPr>
            <w:r w:rsidRPr="00C229B5">
              <w:rPr>
                <w:rFonts w:cstheme="minorHAnsi"/>
                <w:sz w:val="22"/>
              </w:rPr>
              <w:t>414</w:t>
            </w:r>
          </w:p>
        </w:tc>
        <w:tc>
          <w:tcPr>
            <w:tcW w:w="1781" w:type="dxa"/>
            <w:noWrap/>
            <w:hideMark/>
          </w:tcPr>
          <w:p w14:paraId="1E382CC6" w14:textId="77777777" w:rsidR="00A14B9B" w:rsidRPr="00C229B5" w:rsidRDefault="00A14B9B" w:rsidP="00DB1D1D">
            <w:pPr>
              <w:jc w:val="right"/>
              <w:rPr>
                <w:rFonts w:cstheme="minorHAnsi"/>
                <w:sz w:val="22"/>
              </w:rPr>
            </w:pPr>
            <w:r w:rsidRPr="00C229B5">
              <w:rPr>
                <w:rFonts w:cstheme="minorHAnsi"/>
                <w:sz w:val="22"/>
              </w:rPr>
              <w:t>3 344</w:t>
            </w:r>
          </w:p>
        </w:tc>
      </w:tr>
    </w:tbl>
    <w:p w14:paraId="4B2B8B34" w14:textId="77777777" w:rsidR="00A14B9B" w:rsidRPr="002A0D4F" w:rsidRDefault="00A14B9B" w:rsidP="00C229B5">
      <w:pPr>
        <w:pStyle w:val="UZEIZdroj"/>
      </w:pPr>
      <w:r w:rsidRPr="002A0D4F">
        <w:t>Zdroj: SPÚ, databáze polních cest realizovaných 1994-2020, vlastní zpracování</w:t>
      </w:r>
    </w:p>
    <w:p w14:paraId="60881617" w14:textId="77777777" w:rsidR="00A14B9B" w:rsidRPr="002A0D4F" w:rsidRDefault="00A14B9B" w:rsidP="00C229B5">
      <w:pPr>
        <w:pStyle w:val="UZEIZdroj"/>
      </w:pPr>
      <w:r w:rsidRPr="002A0D4F">
        <w:t>* Vypočteno z poskytnutých dat dle obvodu polygonu polní cesty</w:t>
      </w:r>
    </w:p>
    <w:p w14:paraId="0C8F619A" w14:textId="5F95F6BA" w:rsidR="00A14B9B" w:rsidRPr="00C229B5" w:rsidRDefault="00C229B5" w:rsidP="00C229B5">
      <w:pPr>
        <w:pStyle w:val="UZEITaB"/>
      </w:pPr>
      <w:bookmarkStart w:id="981" w:name="_Toc25920055"/>
      <w:r w:rsidRPr="00C229B5">
        <w:rPr>
          <w:rFonts w:eastAsiaTheme="minorEastAsia"/>
        </w:rPr>
        <w:t xml:space="preserve"> </w:t>
      </w:r>
      <w:bookmarkStart w:id="982" w:name="_Toc81815378"/>
      <w:bookmarkStart w:id="983" w:name="_Toc81817056"/>
      <w:bookmarkStart w:id="984" w:name="_Toc81817569"/>
      <w:r w:rsidR="00A14B9B" w:rsidRPr="00C229B5">
        <w:rPr>
          <w:rFonts w:eastAsiaTheme="minorEastAsia"/>
        </w:rPr>
        <w:t>Délka polních cest podle typu povrchu</w:t>
      </w:r>
      <w:bookmarkEnd w:id="981"/>
      <w:bookmarkEnd w:id="982"/>
      <w:bookmarkEnd w:id="983"/>
      <w:bookmarkEnd w:id="984"/>
    </w:p>
    <w:tbl>
      <w:tblPr>
        <w:tblStyle w:val="Mkatabulky"/>
        <w:tblW w:w="0" w:type="auto"/>
        <w:tblLook w:val="04A0" w:firstRow="1" w:lastRow="0" w:firstColumn="1" w:lastColumn="0" w:noHBand="0" w:noVBand="1"/>
      </w:tblPr>
      <w:tblGrid>
        <w:gridCol w:w="1927"/>
        <w:gridCol w:w="1773"/>
        <w:gridCol w:w="1772"/>
        <w:gridCol w:w="1772"/>
        <w:gridCol w:w="1772"/>
      </w:tblGrid>
      <w:tr w:rsidR="00A14B9B" w:rsidRPr="002A0D4F" w14:paraId="282D140B" w14:textId="77777777" w:rsidTr="00DB1D1D">
        <w:trPr>
          <w:trHeight w:val="270"/>
        </w:trPr>
        <w:tc>
          <w:tcPr>
            <w:tcW w:w="1937" w:type="dxa"/>
            <w:noWrap/>
            <w:hideMark/>
          </w:tcPr>
          <w:p w14:paraId="73A00159" w14:textId="77777777" w:rsidR="00A14B9B" w:rsidRPr="002A0D4F" w:rsidRDefault="00A14B9B" w:rsidP="00DB1D1D">
            <w:pPr>
              <w:jc w:val="center"/>
              <w:rPr>
                <w:rFonts w:cstheme="minorHAnsi"/>
                <w:b/>
                <w:bCs/>
                <w:sz w:val="20"/>
                <w:szCs w:val="20"/>
              </w:rPr>
            </w:pPr>
            <w:r w:rsidRPr="002A0D4F">
              <w:rPr>
                <w:rFonts w:cstheme="minorHAnsi"/>
                <w:b/>
                <w:bCs/>
                <w:sz w:val="20"/>
                <w:szCs w:val="20"/>
              </w:rPr>
              <w:t>Povrch polní cesty</w:t>
            </w:r>
          </w:p>
        </w:tc>
        <w:tc>
          <w:tcPr>
            <w:tcW w:w="1782" w:type="dxa"/>
            <w:noWrap/>
            <w:hideMark/>
          </w:tcPr>
          <w:p w14:paraId="5C609A35" w14:textId="77777777" w:rsidR="00A14B9B" w:rsidRPr="002A0D4F" w:rsidRDefault="00A14B9B" w:rsidP="00DB1D1D">
            <w:pPr>
              <w:jc w:val="center"/>
              <w:rPr>
                <w:rFonts w:cstheme="minorHAnsi"/>
                <w:b/>
                <w:bCs/>
                <w:sz w:val="20"/>
                <w:szCs w:val="20"/>
              </w:rPr>
            </w:pPr>
            <w:r w:rsidRPr="002A0D4F">
              <w:rPr>
                <w:rFonts w:cstheme="minorHAnsi"/>
                <w:b/>
                <w:bCs/>
                <w:sz w:val="20"/>
                <w:szCs w:val="20"/>
              </w:rPr>
              <w:t>Navržená (km)</w:t>
            </w:r>
          </w:p>
        </w:tc>
        <w:tc>
          <w:tcPr>
            <w:tcW w:w="1781" w:type="dxa"/>
            <w:noWrap/>
            <w:hideMark/>
          </w:tcPr>
          <w:p w14:paraId="0108CC3C" w14:textId="77777777" w:rsidR="00A14B9B" w:rsidRPr="002A0D4F" w:rsidRDefault="00A14B9B" w:rsidP="00DB1D1D">
            <w:pPr>
              <w:jc w:val="center"/>
              <w:rPr>
                <w:rFonts w:cstheme="minorHAnsi"/>
                <w:b/>
                <w:bCs/>
                <w:sz w:val="20"/>
                <w:szCs w:val="20"/>
              </w:rPr>
            </w:pPr>
            <w:r w:rsidRPr="002A0D4F">
              <w:rPr>
                <w:rFonts w:cstheme="minorHAnsi"/>
                <w:b/>
                <w:bCs/>
                <w:sz w:val="20"/>
                <w:szCs w:val="20"/>
              </w:rPr>
              <w:t>Stávající (km)</w:t>
            </w:r>
          </w:p>
        </w:tc>
        <w:tc>
          <w:tcPr>
            <w:tcW w:w="1781" w:type="dxa"/>
            <w:hideMark/>
          </w:tcPr>
          <w:p w14:paraId="498FB944" w14:textId="77777777" w:rsidR="00A14B9B" w:rsidRPr="002A0D4F" w:rsidRDefault="00A14B9B" w:rsidP="00DB1D1D">
            <w:pPr>
              <w:jc w:val="center"/>
              <w:rPr>
                <w:rFonts w:cstheme="minorHAnsi"/>
                <w:b/>
                <w:bCs/>
                <w:sz w:val="20"/>
                <w:szCs w:val="20"/>
              </w:rPr>
            </w:pPr>
            <w:r w:rsidRPr="002A0D4F">
              <w:rPr>
                <w:rFonts w:cstheme="minorHAnsi"/>
                <w:b/>
                <w:bCs/>
                <w:sz w:val="20"/>
                <w:szCs w:val="20"/>
              </w:rPr>
              <w:t>Nerozlišeno/</w:t>
            </w:r>
          </w:p>
          <w:p w14:paraId="29C34AA2" w14:textId="77777777" w:rsidR="00A14B9B" w:rsidRPr="002A0D4F" w:rsidRDefault="00A14B9B" w:rsidP="00DB1D1D">
            <w:pPr>
              <w:jc w:val="center"/>
              <w:rPr>
                <w:rFonts w:cstheme="minorHAnsi"/>
                <w:b/>
                <w:bCs/>
                <w:sz w:val="20"/>
                <w:szCs w:val="20"/>
              </w:rPr>
            </w:pPr>
            <w:r w:rsidRPr="002A0D4F">
              <w:rPr>
                <w:rFonts w:cstheme="minorHAnsi"/>
                <w:b/>
                <w:bCs/>
                <w:sz w:val="20"/>
                <w:szCs w:val="20"/>
              </w:rPr>
              <w:t>Neuvedeno (km)</w:t>
            </w:r>
          </w:p>
        </w:tc>
        <w:tc>
          <w:tcPr>
            <w:tcW w:w="1781" w:type="dxa"/>
            <w:noWrap/>
            <w:hideMark/>
          </w:tcPr>
          <w:p w14:paraId="4413017E" w14:textId="77777777" w:rsidR="00A14B9B" w:rsidRPr="002A0D4F" w:rsidRDefault="00A14B9B" w:rsidP="00DB1D1D">
            <w:pPr>
              <w:jc w:val="center"/>
              <w:rPr>
                <w:rFonts w:cstheme="minorHAnsi"/>
                <w:b/>
                <w:bCs/>
                <w:sz w:val="20"/>
                <w:szCs w:val="20"/>
              </w:rPr>
            </w:pPr>
            <w:r w:rsidRPr="002A0D4F">
              <w:rPr>
                <w:rFonts w:cstheme="minorHAnsi"/>
                <w:b/>
                <w:bCs/>
                <w:sz w:val="20"/>
                <w:szCs w:val="20"/>
              </w:rPr>
              <w:t>Délka cest (km)*</w:t>
            </w:r>
          </w:p>
        </w:tc>
      </w:tr>
      <w:tr w:rsidR="00A14B9B" w:rsidRPr="002A0D4F" w14:paraId="4DD93628" w14:textId="77777777" w:rsidTr="00DB1D1D">
        <w:trPr>
          <w:trHeight w:val="270"/>
        </w:trPr>
        <w:tc>
          <w:tcPr>
            <w:tcW w:w="1937" w:type="dxa"/>
            <w:noWrap/>
            <w:hideMark/>
          </w:tcPr>
          <w:p w14:paraId="6466B898" w14:textId="77777777" w:rsidR="00A14B9B" w:rsidRPr="002A0D4F" w:rsidRDefault="00A14B9B" w:rsidP="00DB1D1D">
            <w:pPr>
              <w:rPr>
                <w:rFonts w:cstheme="minorHAnsi"/>
                <w:sz w:val="20"/>
                <w:szCs w:val="20"/>
              </w:rPr>
            </w:pPr>
            <w:r w:rsidRPr="002A0D4F">
              <w:rPr>
                <w:rFonts w:cstheme="minorHAnsi"/>
                <w:sz w:val="20"/>
                <w:szCs w:val="20"/>
              </w:rPr>
              <w:t>Asfalt/asfaltobeton</w:t>
            </w:r>
          </w:p>
        </w:tc>
        <w:tc>
          <w:tcPr>
            <w:tcW w:w="1782" w:type="dxa"/>
            <w:noWrap/>
            <w:hideMark/>
          </w:tcPr>
          <w:p w14:paraId="53C48DD0" w14:textId="77777777" w:rsidR="00A14B9B" w:rsidRPr="002A0D4F" w:rsidRDefault="00A14B9B" w:rsidP="00DB1D1D">
            <w:pPr>
              <w:jc w:val="right"/>
              <w:rPr>
                <w:rFonts w:cstheme="minorHAnsi"/>
                <w:sz w:val="20"/>
                <w:szCs w:val="20"/>
              </w:rPr>
            </w:pPr>
            <w:r w:rsidRPr="002A0D4F">
              <w:rPr>
                <w:rFonts w:cstheme="minorHAnsi"/>
                <w:sz w:val="20"/>
                <w:szCs w:val="20"/>
              </w:rPr>
              <w:t>55</w:t>
            </w:r>
          </w:p>
        </w:tc>
        <w:tc>
          <w:tcPr>
            <w:tcW w:w="1781" w:type="dxa"/>
            <w:noWrap/>
            <w:hideMark/>
          </w:tcPr>
          <w:p w14:paraId="3681424C" w14:textId="77777777" w:rsidR="00A14B9B" w:rsidRPr="002A0D4F" w:rsidRDefault="00A14B9B" w:rsidP="00DB1D1D">
            <w:pPr>
              <w:jc w:val="right"/>
              <w:rPr>
                <w:rFonts w:cstheme="minorHAnsi"/>
                <w:sz w:val="20"/>
                <w:szCs w:val="20"/>
              </w:rPr>
            </w:pPr>
            <w:r w:rsidRPr="002A0D4F">
              <w:rPr>
                <w:rFonts w:cstheme="minorHAnsi"/>
                <w:sz w:val="20"/>
                <w:szCs w:val="20"/>
              </w:rPr>
              <w:t>22</w:t>
            </w:r>
          </w:p>
        </w:tc>
        <w:tc>
          <w:tcPr>
            <w:tcW w:w="1781" w:type="dxa"/>
            <w:noWrap/>
            <w:hideMark/>
          </w:tcPr>
          <w:p w14:paraId="17D9405E" w14:textId="77777777" w:rsidR="00A14B9B" w:rsidRPr="002A0D4F" w:rsidRDefault="00A14B9B" w:rsidP="00DB1D1D">
            <w:pPr>
              <w:jc w:val="right"/>
              <w:rPr>
                <w:rFonts w:cstheme="minorHAnsi"/>
                <w:sz w:val="20"/>
                <w:szCs w:val="20"/>
              </w:rPr>
            </w:pPr>
            <w:r w:rsidRPr="002A0D4F">
              <w:rPr>
                <w:rFonts w:cstheme="minorHAnsi"/>
                <w:sz w:val="20"/>
                <w:szCs w:val="20"/>
              </w:rPr>
              <w:t>0</w:t>
            </w:r>
          </w:p>
        </w:tc>
        <w:tc>
          <w:tcPr>
            <w:tcW w:w="1781" w:type="dxa"/>
            <w:noWrap/>
            <w:hideMark/>
          </w:tcPr>
          <w:p w14:paraId="04871910" w14:textId="77777777" w:rsidR="00A14B9B" w:rsidRPr="002A0D4F" w:rsidRDefault="00A14B9B" w:rsidP="00DB1D1D">
            <w:pPr>
              <w:jc w:val="right"/>
              <w:rPr>
                <w:rFonts w:cstheme="minorHAnsi"/>
                <w:sz w:val="20"/>
                <w:szCs w:val="20"/>
              </w:rPr>
            </w:pPr>
            <w:r w:rsidRPr="002A0D4F">
              <w:rPr>
                <w:rFonts w:cstheme="minorHAnsi"/>
                <w:sz w:val="20"/>
                <w:szCs w:val="20"/>
              </w:rPr>
              <w:t>77</w:t>
            </w:r>
          </w:p>
        </w:tc>
      </w:tr>
      <w:tr w:rsidR="00A14B9B" w:rsidRPr="002A0D4F" w14:paraId="3F0BBC7B" w14:textId="77777777" w:rsidTr="00DB1D1D">
        <w:trPr>
          <w:trHeight w:val="270"/>
        </w:trPr>
        <w:tc>
          <w:tcPr>
            <w:tcW w:w="1937" w:type="dxa"/>
            <w:noWrap/>
            <w:hideMark/>
          </w:tcPr>
          <w:p w14:paraId="20FF70FA" w14:textId="77777777" w:rsidR="00A14B9B" w:rsidRPr="002A0D4F" w:rsidRDefault="00A14B9B" w:rsidP="00DB1D1D">
            <w:pPr>
              <w:rPr>
                <w:rFonts w:cstheme="minorHAnsi"/>
                <w:sz w:val="20"/>
                <w:szCs w:val="20"/>
              </w:rPr>
            </w:pPr>
            <w:proofErr w:type="spellStart"/>
            <w:r w:rsidRPr="002A0D4F">
              <w:rPr>
                <w:rFonts w:cstheme="minorHAnsi"/>
                <w:sz w:val="20"/>
                <w:szCs w:val="20"/>
              </w:rPr>
              <w:t>Cementobeton</w:t>
            </w:r>
            <w:proofErr w:type="spellEnd"/>
          </w:p>
        </w:tc>
        <w:tc>
          <w:tcPr>
            <w:tcW w:w="1782" w:type="dxa"/>
            <w:noWrap/>
            <w:hideMark/>
          </w:tcPr>
          <w:p w14:paraId="029DF580" w14:textId="77777777" w:rsidR="00A14B9B" w:rsidRPr="002A0D4F" w:rsidRDefault="00A14B9B" w:rsidP="00DB1D1D">
            <w:pPr>
              <w:jc w:val="right"/>
              <w:rPr>
                <w:rFonts w:cstheme="minorHAnsi"/>
                <w:sz w:val="20"/>
                <w:szCs w:val="20"/>
              </w:rPr>
            </w:pPr>
            <w:r w:rsidRPr="002A0D4F">
              <w:rPr>
                <w:rFonts w:cstheme="minorHAnsi"/>
                <w:sz w:val="20"/>
                <w:szCs w:val="20"/>
              </w:rPr>
              <w:t>4 717</w:t>
            </w:r>
          </w:p>
        </w:tc>
        <w:tc>
          <w:tcPr>
            <w:tcW w:w="1781" w:type="dxa"/>
            <w:noWrap/>
            <w:hideMark/>
          </w:tcPr>
          <w:p w14:paraId="00DFD857" w14:textId="77777777" w:rsidR="00A14B9B" w:rsidRPr="002A0D4F" w:rsidRDefault="00A14B9B" w:rsidP="00DB1D1D">
            <w:pPr>
              <w:jc w:val="right"/>
              <w:rPr>
                <w:rFonts w:cstheme="minorHAnsi"/>
                <w:sz w:val="20"/>
                <w:szCs w:val="20"/>
              </w:rPr>
            </w:pPr>
            <w:r w:rsidRPr="002A0D4F">
              <w:rPr>
                <w:rFonts w:cstheme="minorHAnsi"/>
                <w:sz w:val="20"/>
                <w:szCs w:val="20"/>
              </w:rPr>
              <w:t>1 396</w:t>
            </w:r>
          </w:p>
        </w:tc>
        <w:tc>
          <w:tcPr>
            <w:tcW w:w="1781" w:type="dxa"/>
            <w:noWrap/>
            <w:hideMark/>
          </w:tcPr>
          <w:p w14:paraId="267B34DC" w14:textId="77777777" w:rsidR="00A14B9B" w:rsidRPr="002A0D4F" w:rsidRDefault="00A14B9B" w:rsidP="00DB1D1D">
            <w:pPr>
              <w:jc w:val="right"/>
              <w:rPr>
                <w:rFonts w:cstheme="minorHAnsi"/>
                <w:sz w:val="20"/>
                <w:szCs w:val="20"/>
              </w:rPr>
            </w:pPr>
            <w:r w:rsidRPr="002A0D4F">
              <w:rPr>
                <w:rFonts w:cstheme="minorHAnsi"/>
                <w:sz w:val="20"/>
                <w:szCs w:val="20"/>
              </w:rPr>
              <w:t>37</w:t>
            </w:r>
          </w:p>
        </w:tc>
        <w:tc>
          <w:tcPr>
            <w:tcW w:w="1781" w:type="dxa"/>
            <w:noWrap/>
            <w:hideMark/>
          </w:tcPr>
          <w:p w14:paraId="5FA7AFAF" w14:textId="77777777" w:rsidR="00A14B9B" w:rsidRPr="002A0D4F" w:rsidRDefault="00A14B9B" w:rsidP="00DB1D1D">
            <w:pPr>
              <w:jc w:val="right"/>
              <w:rPr>
                <w:rFonts w:cstheme="minorHAnsi"/>
                <w:sz w:val="20"/>
                <w:szCs w:val="20"/>
              </w:rPr>
            </w:pPr>
            <w:r w:rsidRPr="002A0D4F">
              <w:rPr>
                <w:rFonts w:cstheme="minorHAnsi"/>
                <w:sz w:val="20"/>
                <w:szCs w:val="20"/>
              </w:rPr>
              <w:t>6 150</w:t>
            </w:r>
          </w:p>
        </w:tc>
      </w:tr>
      <w:tr w:rsidR="00A14B9B" w:rsidRPr="002A0D4F" w14:paraId="2B6A54A2" w14:textId="77777777" w:rsidTr="00DB1D1D">
        <w:trPr>
          <w:trHeight w:val="270"/>
        </w:trPr>
        <w:tc>
          <w:tcPr>
            <w:tcW w:w="1937" w:type="dxa"/>
            <w:noWrap/>
            <w:hideMark/>
          </w:tcPr>
          <w:p w14:paraId="404A8C0E" w14:textId="77777777" w:rsidR="00A14B9B" w:rsidRPr="002A0D4F" w:rsidRDefault="00A14B9B" w:rsidP="00DB1D1D">
            <w:pPr>
              <w:rPr>
                <w:rFonts w:cstheme="minorHAnsi"/>
                <w:sz w:val="20"/>
                <w:szCs w:val="20"/>
              </w:rPr>
            </w:pPr>
            <w:r w:rsidRPr="002A0D4F">
              <w:rPr>
                <w:rFonts w:cstheme="minorHAnsi"/>
                <w:sz w:val="20"/>
                <w:szCs w:val="20"/>
              </w:rPr>
              <w:t>Dlážděný</w:t>
            </w:r>
          </w:p>
        </w:tc>
        <w:tc>
          <w:tcPr>
            <w:tcW w:w="1782" w:type="dxa"/>
            <w:noWrap/>
            <w:hideMark/>
          </w:tcPr>
          <w:p w14:paraId="06EBD8F8" w14:textId="77777777" w:rsidR="00A14B9B" w:rsidRPr="002A0D4F" w:rsidRDefault="00A14B9B" w:rsidP="00DB1D1D">
            <w:pPr>
              <w:jc w:val="right"/>
              <w:rPr>
                <w:rFonts w:cstheme="minorHAnsi"/>
                <w:sz w:val="20"/>
                <w:szCs w:val="20"/>
              </w:rPr>
            </w:pPr>
            <w:r w:rsidRPr="002A0D4F">
              <w:rPr>
                <w:rFonts w:cstheme="minorHAnsi"/>
                <w:sz w:val="20"/>
                <w:szCs w:val="20"/>
              </w:rPr>
              <w:t>17</w:t>
            </w:r>
          </w:p>
        </w:tc>
        <w:tc>
          <w:tcPr>
            <w:tcW w:w="1781" w:type="dxa"/>
            <w:noWrap/>
            <w:hideMark/>
          </w:tcPr>
          <w:p w14:paraId="20EF5A71" w14:textId="77777777" w:rsidR="00A14B9B" w:rsidRPr="002A0D4F" w:rsidRDefault="00A14B9B" w:rsidP="00DB1D1D">
            <w:pPr>
              <w:jc w:val="right"/>
              <w:rPr>
                <w:rFonts w:cstheme="minorHAnsi"/>
                <w:sz w:val="20"/>
                <w:szCs w:val="20"/>
              </w:rPr>
            </w:pPr>
            <w:r w:rsidRPr="002A0D4F">
              <w:rPr>
                <w:rFonts w:cstheme="minorHAnsi"/>
                <w:sz w:val="20"/>
                <w:szCs w:val="20"/>
              </w:rPr>
              <w:t>10</w:t>
            </w:r>
          </w:p>
        </w:tc>
        <w:tc>
          <w:tcPr>
            <w:tcW w:w="1781" w:type="dxa"/>
            <w:noWrap/>
            <w:hideMark/>
          </w:tcPr>
          <w:p w14:paraId="196D6B4F" w14:textId="77777777" w:rsidR="00A14B9B" w:rsidRPr="002A0D4F" w:rsidRDefault="00A14B9B" w:rsidP="00DB1D1D">
            <w:pPr>
              <w:jc w:val="right"/>
              <w:rPr>
                <w:rFonts w:cstheme="minorHAnsi"/>
                <w:sz w:val="20"/>
                <w:szCs w:val="20"/>
              </w:rPr>
            </w:pPr>
            <w:r w:rsidRPr="002A0D4F">
              <w:rPr>
                <w:rFonts w:cstheme="minorHAnsi"/>
                <w:sz w:val="20"/>
                <w:szCs w:val="20"/>
              </w:rPr>
              <w:t>0</w:t>
            </w:r>
          </w:p>
        </w:tc>
        <w:tc>
          <w:tcPr>
            <w:tcW w:w="1781" w:type="dxa"/>
            <w:noWrap/>
            <w:hideMark/>
          </w:tcPr>
          <w:p w14:paraId="15BA6967" w14:textId="77777777" w:rsidR="00A14B9B" w:rsidRPr="002A0D4F" w:rsidRDefault="00A14B9B" w:rsidP="00DB1D1D">
            <w:pPr>
              <w:jc w:val="right"/>
              <w:rPr>
                <w:rFonts w:cstheme="minorHAnsi"/>
                <w:sz w:val="20"/>
                <w:szCs w:val="20"/>
              </w:rPr>
            </w:pPr>
            <w:r w:rsidRPr="002A0D4F">
              <w:rPr>
                <w:rFonts w:cstheme="minorHAnsi"/>
                <w:sz w:val="20"/>
                <w:szCs w:val="20"/>
              </w:rPr>
              <w:t>27</w:t>
            </w:r>
          </w:p>
        </w:tc>
      </w:tr>
      <w:tr w:rsidR="00A14B9B" w:rsidRPr="002A0D4F" w14:paraId="555EB7DE" w14:textId="77777777" w:rsidTr="00DB1D1D">
        <w:trPr>
          <w:trHeight w:val="270"/>
        </w:trPr>
        <w:tc>
          <w:tcPr>
            <w:tcW w:w="1937" w:type="dxa"/>
            <w:noWrap/>
            <w:hideMark/>
          </w:tcPr>
          <w:p w14:paraId="293D97E1" w14:textId="77777777" w:rsidR="00A14B9B" w:rsidRPr="002A0D4F" w:rsidRDefault="00A14B9B" w:rsidP="00DB1D1D">
            <w:pPr>
              <w:rPr>
                <w:rFonts w:cstheme="minorHAnsi"/>
                <w:sz w:val="20"/>
                <w:szCs w:val="20"/>
              </w:rPr>
            </w:pPr>
            <w:r w:rsidRPr="002A0D4F">
              <w:rPr>
                <w:rFonts w:cstheme="minorHAnsi"/>
                <w:sz w:val="20"/>
                <w:szCs w:val="20"/>
              </w:rPr>
              <w:t>Nezpevněný</w:t>
            </w:r>
          </w:p>
        </w:tc>
        <w:tc>
          <w:tcPr>
            <w:tcW w:w="1782" w:type="dxa"/>
            <w:noWrap/>
            <w:hideMark/>
          </w:tcPr>
          <w:p w14:paraId="3AF86217" w14:textId="77777777" w:rsidR="00A14B9B" w:rsidRPr="002A0D4F" w:rsidRDefault="00A14B9B" w:rsidP="00DB1D1D">
            <w:pPr>
              <w:jc w:val="right"/>
              <w:rPr>
                <w:rFonts w:cstheme="minorHAnsi"/>
                <w:sz w:val="20"/>
                <w:szCs w:val="20"/>
              </w:rPr>
            </w:pPr>
            <w:r w:rsidRPr="002A0D4F">
              <w:rPr>
                <w:rFonts w:cstheme="minorHAnsi"/>
                <w:sz w:val="20"/>
                <w:szCs w:val="20"/>
              </w:rPr>
              <w:t>5 789</w:t>
            </w:r>
          </w:p>
        </w:tc>
        <w:tc>
          <w:tcPr>
            <w:tcW w:w="1781" w:type="dxa"/>
            <w:noWrap/>
            <w:hideMark/>
          </w:tcPr>
          <w:p w14:paraId="65D7CD8B" w14:textId="77777777" w:rsidR="00A14B9B" w:rsidRPr="002A0D4F" w:rsidRDefault="00A14B9B" w:rsidP="00DB1D1D">
            <w:pPr>
              <w:jc w:val="right"/>
              <w:rPr>
                <w:rFonts w:cstheme="minorHAnsi"/>
                <w:sz w:val="20"/>
                <w:szCs w:val="20"/>
              </w:rPr>
            </w:pPr>
            <w:r w:rsidRPr="002A0D4F">
              <w:rPr>
                <w:rFonts w:cstheme="minorHAnsi"/>
                <w:sz w:val="20"/>
                <w:szCs w:val="20"/>
              </w:rPr>
              <w:t>2 431</w:t>
            </w:r>
          </w:p>
        </w:tc>
        <w:tc>
          <w:tcPr>
            <w:tcW w:w="1781" w:type="dxa"/>
            <w:noWrap/>
            <w:hideMark/>
          </w:tcPr>
          <w:p w14:paraId="22F52863" w14:textId="77777777" w:rsidR="00A14B9B" w:rsidRPr="002A0D4F" w:rsidRDefault="00A14B9B" w:rsidP="00DB1D1D">
            <w:pPr>
              <w:jc w:val="right"/>
              <w:rPr>
                <w:rFonts w:cstheme="minorHAnsi"/>
                <w:sz w:val="20"/>
                <w:szCs w:val="20"/>
              </w:rPr>
            </w:pPr>
            <w:r w:rsidRPr="002A0D4F">
              <w:rPr>
                <w:rFonts w:cstheme="minorHAnsi"/>
                <w:sz w:val="20"/>
                <w:szCs w:val="20"/>
              </w:rPr>
              <w:t>77</w:t>
            </w:r>
          </w:p>
        </w:tc>
        <w:tc>
          <w:tcPr>
            <w:tcW w:w="1781" w:type="dxa"/>
            <w:noWrap/>
            <w:hideMark/>
          </w:tcPr>
          <w:p w14:paraId="321B1E1B" w14:textId="77777777" w:rsidR="00A14B9B" w:rsidRPr="002A0D4F" w:rsidRDefault="00A14B9B" w:rsidP="00DB1D1D">
            <w:pPr>
              <w:jc w:val="right"/>
              <w:rPr>
                <w:rFonts w:cstheme="minorHAnsi"/>
                <w:sz w:val="20"/>
                <w:szCs w:val="20"/>
              </w:rPr>
            </w:pPr>
            <w:r w:rsidRPr="002A0D4F">
              <w:rPr>
                <w:rFonts w:cstheme="minorHAnsi"/>
                <w:sz w:val="20"/>
                <w:szCs w:val="20"/>
              </w:rPr>
              <w:t>8 297</w:t>
            </w:r>
          </w:p>
        </w:tc>
      </w:tr>
      <w:tr w:rsidR="00A14B9B" w:rsidRPr="002A0D4F" w14:paraId="2F63A2D5" w14:textId="77777777" w:rsidTr="00DB1D1D">
        <w:trPr>
          <w:trHeight w:val="270"/>
        </w:trPr>
        <w:tc>
          <w:tcPr>
            <w:tcW w:w="1937" w:type="dxa"/>
            <w:noWrap/>
            <w:hideMark/>
          </w:tcPr>
          <w:p w14:paraId="2DC0931F" w14:textId="77777777" w:rsidR="00A14B9B" w:rsidRPr="002A0D4F" w:rsidRDefault="00A14B9B" w:rsidP="00DB1D1D">
            <w:pPr>
              <w:rPr>
                <w:rFonts w:cstheme="minorHAnsi"/>
                <w:sz w:val="20"/>
                <w:szCs w:val="20"/>
              </w:rPr>
            </w:pPr>
            <w:r w:rsidRPr="002A0D4F">
              <w:rPr>
                <w:rFonts w:cstheme="minorHAnsi"/>
                <w:sz w:val="20"/>
                <w:szCs w:val="20"/>
              </w:rPr>
              <w:t>Penetrace</w:t>
            </w:r>
          </w:p>
        </w:tc>
        <w:tc>
          <w:tcPr>
            <w:tcW w:w="1782" w:type="dxa"/>
            <w:noWrap/>
            <w:hideMark/>
          </w:tcPr>
          <w:p w14:paraId="4FD8CD13" w14:textId="77777777" w:rsidR="00A14B9B" w:rsidRPr="002A0D4F" w:rsidRDefault="00A14B9B" w:rsidP="00DB1D1D">
            <w:pPr>
              <w:jc w:val="right"/>
              <w:rPr>
                <w:rFonts w:cstheme="minorHAnsi"/>
                <w:sz w:val="20"/>
                <w:szCs w:val="20"/>
              </w:rPr>
            </w:pPr>
            <w:r w:rsidRPr="002A0D4F">
              <w:rPr>
                <w:rFonts w:cstheme="minorHAnsi"/>
                <w:sz w:val="20"/>
                <w:szCs w:val="20"/>
              </w:rPr>
              <w:t>2 223</w:t>
            </w:r>
          </w:p>
        </w:tc>
        <w:tc>
          <w:tcPr>
            <w:tcW w:w="1781" w:type="dxa"/>
            <w:noWrap/>
            <w:hideMark/>
          </w:tcPr>
          <w:p w14:paraId="4B403050" w14:textId="77777777" w:rsidR="00A14B9B" w:rsidRPr="002A0D4F" w:rsidRDefault="00A14B9B" w:rsidP="00DB1D1D">
            <w:pPr>
              <w:jc w:val="right"/>
              <w:rPr>
                <w:rFonts w:cstheme="minorHAnsi"/>
                <w:sz w:val="20"/>
                <w:szCs w:val="20"/>
              </w:rPr>
            </w:pPr>
            <w:r w:rsidRPr="002A0D4F">
              <w:rPr>
                <w:rFonts w:cstheme="minorHAnsi"/>
                <w:sz w:val="20"/>
                <w:szCs w:val="20"/>
              </w:rPr>
              <w:t>316</w:t>
            </w:r>
          </w:p>
        </w:tc>
        <w:tc>
          <w:tcPr>
            <w:tcW w:w="1781" w:type="dxa"/>
            <w:noWrap/>
            <w:hideMark/>
          </w:tcPr>
          <w:p w14:paraId="788A41CE" w14:textId="77777777" w:rsidR="00A14B9B" w:rsidRPr="002A0D4F" w:rsidRDefault="00A14B9B" w:rsidP="00DB1D1D">
            <w:pPr>
              <w:jc w:val="right"/>
              <w:rPr>
                <w:rFonts w:cstheme="minorHAnsi"/>
                <w:sz w:val="20"/>
                <w:szCs w:val="20"/>
              </w:rPr>
            </w:pPr>
            <w:r w:rsidRPr="002A0D4F">
              <w:rPr>
                <w:rFonts w:cstheme="minorHAnsi"/>
                <w:sz w:val="20"/>
                <w:szCs w:val="20"/>
              </w:rPr>
              <w:t>4</w:t>
            </w:r>
          </w:p>
        </w:tc>
        <w:tc>
          <w:tcPr>
            <w:tcW w:w="1781" w:type="dxa"/>
            <w:noWrap/>
            <w:hideMark/>
          </w:tcPr>
          <w:p w14:paraId="6B0B6662" w14:textId="77777777" w:rsidR="00A14B9B" w:rsidRPr="002A0D4F" w:rsidRDefault="00A14B9B" w:rsidP="00DB1D1D">
            <w:pPr>
              <w:jc w:val="right"/>
              <w:rPr>
                <w:rFonts w:cstheme="minorHAnsi"/>
                <w:sz w:val="20"/>
                <w:szCs w:val="20"/>
              </w:rPr>
            </w:pPr>
            <w:r w:rsidRPr="002A0D4F">
              <w:rPr>
                <w:rFonts w:cstheme="minorHAnsi"/>
                <w:sz w:val="20"/>
                <w:szCs w:val="20"/>
              </w:rPr>
              <w:t>2 542</w:t>
            </w:r>
          </w:p>
        </w:tc>
      </w:tr>
      <w:tr w:rsidR="00A14B9B" w:rsidRPr="002A0D4F" w14:paraId="4E05FCAA" w14:textId="77777777" w:rsidTr="00DB1D1D">
        <w:trPr>
          <w:trHeight w:val="270"/>
        </w:trPr>
        <w:tc>
          <w:tcPr>
            <w:tcW w:w="1937" w:type="dxa"/>
            <w:noWrap/>
            <w:hideMark/>
          </w:tcPr>
          <w:p w14:paraId="1C6A8824" w14:textId="77777777" w:rsidR="00A14B9B" w:rsidRPr="002A0D4F" w:rsidRDefault="00A14B9B" w:rsidP="00DB1D1D">
            <w:pPr>
              <w:rPr>
                <w:rFonts w:cstheme="minorHAnsi"/>
                <w:sz w:val="20"/>
                <w:szCs w:val="20"/>
              </w:rPr>
            </w:pPr>
            <w:r w:rsidRPr="002A0D4F">
              <w:rPr>
                <w:rFonts w:cstheme="minorHAnsi"/>
                <w:sz w:val="20"/>
                <w:szCs w:val="20"/>
              </w:rPr>
              <w:t>Stabilizovaný</w:t>
            </w:r>
          </w:p>
        </w:tc>
        <w:tc>
          <w:tcPr>
            <w:tcW w:w="1782" w:type="dxa"/>
            <w:noWrap/>
            <w:hideMark/>
          </w:tcPr>
          <w:p w14:paraId="3DF5A0D9" w14:textId="77777777" w:rsidR="00A14B9B" w:rsidRPr="002A0D4F" w:rsidRDefault="00A14B9B" w:rsidP="00DB1D1D">
            <w:pPr>
              <w:jc w:val="right"/>
              <w:rPr>
                <w:rFonts w:cstheme="minorHAnsi"/>
                <w:sz w:val="20"/>
                <w:szCs w:val="20"/>
              </w:rPr>
            </w:pPr>
            <w:r w:rsidRPr="002A0D4F">
              <w:rPr>
                <w:rFonts w:cstheme="minorHAnsi"/>
                <w:sz w:val="20"/>
                <w:szCs w:val="20"/>
              </w:rPr>
              <w:t>1 367</w:t>
            </w:r>
          </w:p>
        </w:tc>
        <w:tc>
          <w:tcPr>
            <w:tcW w:w="1781" w:type="dxa"/>
            <w:noWrap/>
            <w:hideMark/>
          </w:tcPr>
          <w:p w14:paraId="13288185" w14:textId="77777777" w:rsidR="00A14B9B" w:rsidRPr="002A0D4F" w:rsidRDefault="00A14B9B" w:rsidP="00DB1D1D">
            <w:pPr>
              <w:jc w:val="right"/>
              <w:rPr>
                <w:rFonts w:cstheme="minorHAnsi"/>
                <w:sz w:val="20"/>
                <w:szCs w:val="20"/>
              </w:rPr>
            </w:pPr>
            <w:r w:rsidRPr="002A0D4F">
              <w:rPr>
                <w:rFonts w:cstheme="minorHAnsi"/>
                <w:sz w:val="20"/>
                <w:szCs w:val="20"/>
              </w:rPr>
              <w:t>764</w:t>
            </w:r>
          </w:p>
        </w:tc>
        <w:tc>
          <w:tcPr>
            <w:tcW w:w="1781" w:type="dxa"/>
            <w:noWrap/>
            <w:hideMark/>
          </w:tcPr>
          <w:p w14:paraId="13FD993F" w14:textId="77777777" w:rsidR="00A14B9B" w:rsidRPr="002A0D4F" w:rsidRDefault="00A14B9B" w:rsidP="00DB1D1D">
            <w:pPr>
              <w:jc w:val="right"/>
              <w:rPr>
                <w:rFonts w:cstheme="minorHAnsi"/>
                <w:sz w:val="20"/>
                <w:szCs w:val="20"/>
              </w:rPr>
            </w:pPr>
            <w:r w:rsidRPr="002A0D4F">
              <w:rPr>
                <w:rFonts w:cstheme="minorHAnsi"/>
                <w:sz w:val="20"/>
                <w:szCs w:val="20"/>
              </w:rPr>
              <w:t>27</w:t>
            </w:r>
          </w:p>
        </w:tc>
        <w:tc>
          <w:tcPr>
            <w:tcW w:w="1781" w:type="dxa"/>
            <w:noWrap/>
            <w:hideMark/>
          </w:tcPr>
          <w:p w14:paraId="02ECB5C5" w14:textId="77777777" w:rsidR="00A14B9B" w:rsidRPr="002A0D4F" w:rsidRDefault="00A14B9B" w:rsidP="00DB1D1D">
            <w:pPr>
              <w:jc w:val="right"/>
              <w:rPr>
                <w:rFonts w:cstheme="minorHAnsi"/>
                <w:sz w:val="20"/>
                <w:szCs w:val="20"/>
              </w:rPr>
            </w:pPr>
            <w:r w:rsidRPr="002A0D4F">
              <w:rPr>
                <w:rFonts w:cstheme="minorHAnsi"/>
                <w:sz w:val="20"/>
                <w:szCs w:val="20"/>
              </w:rPr>
              <w:t>2 158</w:t>
            </w:r>
          </w:p>
        </w:tc>
      </w:tr>
      <w:tr w:rsidR="00A14B9B" w:rsidRPr="002A0D4F" w14:paraId="1800EF03" w14:textId="77777777" w:rsidTr="00DB1D1D">
        <w:trPr>
          <w:trHeight w:val="270"/>
        </w:trPr>
        <w:tc>
          <w:tcPr>
            <w:tcW w:w="1937" w:type="dxa"/>
            <w:noWrap/>
            <w:hideMark/>
          </w:tcPr>
          <w:p w14:paraId="56BAE525" w14:textId="77777777" w:rsidR="00A14B9B" w:rsidRPr="002A0D4F" w:rsidRDefault="00A14B9B" w:rsidP="00DB1D1D">
            <w:pPr>
              <w:rPr>
                <w:rFonts w:cstheme="minorHAnsi"/>
                <w:sz w:val="20"/>
                <w:szCs w:val="20"/>
              </w:rPr>
            </w:pPr>
            <w:r w:rsidRPr="002A0D4F">
              <w:rPr>
                <w:rFonts w:cstheme="minorHAnsi"/>
                <w:sz w:val="20"/>
                <w:szCs w:val="20"/>
              </w:rPr>
              <w:t>Štěrkový</w:t>
            </w:r>
          </w:p>
        </w:tc>
        <w:tc>
          <w:tcPr>
            <w:tcW w:w="1782" w:type="dxa"/>
            <w:noWrap/>
            <w:hideMark/>
          </w:tcPr>
          <w:p w14:paraId="5AF58FAF" w14:textId="77777777" w:rsidR="00A14B9B" w:rsidRPr="002A0D4F" w:rsidRDefault="00A14B9B" w:rsidP="00DB1D1D">
            <w:pPr>
              <w:jc w:val="right"/>
              <w:rPr>
                <w:rFonts w:cstheme="minorHAnsi"/>
                <w:sz w:val="20"/>
                <w:szCs w:val="20"/>
              </w:rPr>
            </w:pPr>
            <w:r w:rsidRPr="002A0D4F">
              <w:rPr>
                <w:rFonts w:cstheme="minorHAnsi"/>
                <w:sz w:val="20"/>
                <w:szCs w:val="20"/>
              </w:rPr>
              <w:t>3 335</w:t>
            </w:r>
          </w:p>
        </w:tc>
        <w:tc>
          <w:tcPr>
            <w:tcW w:w="1781" w:type="dxa"/>
            <w:noWrap/>
            <w:hideMark/>
          </w:tcPr>
          <w:p w14:paraId="19962536" w14:textId="77777777" w:rsidR="00A14B9B" w:rsidRPr="002A0D4F" w:rsidRDefault="00A14B9B" w:rsidP="00DB1D1D">
            <w:pPr>
              <w:jc w:val="right"/>
              <w:rPr>
                <w:rFonts w:cstheme="minorHAnsi"/>
                <w:sz w:val="20"/>
                <w:szCs w:val="20"/>
              </w:rPr>
            </w:pPr>
            <w:r w:rsidRPr="002A0D4F">
              <w:rPr>
                <w:rFonts w:cstheme="minorHAnsi"/>
                <w:sz w:val="20"/>
                <w:szCs w:val="20"/>
              </w:rPr>
              <w:t>851</w:t>
            </w:r>
          </w:p>
        </w:tc>
        <w:tc>
          <w:tcPr>
            <w:tcW w:w="1781" w:type="dxa"/>
            <w:noWrap/>
            <w:hideMark/>
          </w:tcPr>
          <w:p w14:paraId="301E4D07" w14:textId="77777777" w:rsidR="00A14B9B" w:rsidRPr="002A0D4F" w:rsidRDefault="00A14B9B" w:rsidP="00DB1D1D">
            <w:pPr>
              <w:jc w:val="right"/>
              <w:rPr>
                <w:rFonts w:cstheme="minorHAnsi"/>
                <w:sz w:val="20"/>
                <w:szCs w:val="20"/>
              </w:rPr>
            </w:pPr>
            <w:r w:rsidRPr="002A0D4F">
              <w:rPr>
                <w:rFonts w:cstheme="minorHAnsi"/>
                <w:sz w:val="20"/>
                <w:szCs w:val="20"/>
              </w:rPr>
              <w:t>31</w:t>
            </w:r>
          </w:p>
        </w:tc>
        <w:tc>
          <w:tcPr>
            <w:tcW w:w="1781" w:type="dxa"/>
            <w:noWrap/>
            <w:hideMark/>
          </w:tcPr>
          <w:p w14:paraId="157DD92A" w14:textId="77777777" w:rsidR="00A14B9B" w:rsidRPr="002A0D4F" w:rsidRDefault="00A14B9B" w:rsidP="00DB1D1D">
            <w:pPr>
              <w:jc w:val="right"/>
              <w:rPr>
                <w:rFonts w:cstheme="minorHAnsi"/>
                <w:sz w:val="20"/>
                <w:szCs w:val="20"/>
              </w:rPr>
            </w:pPr>
            <w:r w:rsidRPr="002A0D4F">
              <w:rPr>
                <w:rFonts w:cstheme="minorHAnsi"/>
                <w:sz w:val="20"/>
                <w:szCs w:val="20"/>
              </w:rPr>
              <w:t>4 216</w:t>
            </w:r>
          </w:p>
        </w:tc>
      </w:tr>
      <w:tr w:rsidR="00A14B9B" w:rsidRPr="002A0D4F" w14:paraId="0569FE1C" w14:textId="77777777" w:rsidTr="00DB1D1D">
        <w:trPr>
          <w:trHeight w:val="270"/>
        </w:trPr>
        <w:tc>
          <w:tcPr>
            <w:tcW w:w="1937" w:type="dxa"/>
            <w:noWrap/>
            <w:hideMark/>
          </w:tcPr>
          <w:p w14:paraId="76DDF5E4" w14:textId="77777777" w:rsidR="00A14B9B" w:rsidRPr="002A0D4F" w:rsidRDefault="00A14B9B" w:rsidP="00DB1D1D">
            <w:pPr>
              <w:rPr>
                <w:rFonts w:cstheme="minorHAnsi"/>
                <w:sz w:val="20"/>
                <w:szCs w:val="20"/>
              </w:rPr>
            </w:pPr>
            <w:r w:rsidRPr="002A0D4F">
              <w:rPr>
                <w:rFonts w:cstheme="minorHAnsi"/>
                <w:sz w:val="20"/>
                <w:szCs w:val="20"/>
              </w:rPr>
              <w:t>Ostatní</w:t>
            </w:r>
          </w:p>
        </w:tc>
        <w:tc>
          <w:tcPr>
            <w:tcW w:w="1782" w:type="dxa"/>
            <w:noWrap/>
            <w:hideMark/>
          </w:tcPr>
          <w:p w14:paraId="3C2F27AF" w14:textId="77777777" w:rsidR="00A14B9B" w:rsidRPr="002A0D4F" w:rsidRDefault="00A14B9B" w:rsidP="00DB1D1D">
            <w:pPr>
              <w:jc w:val="right"/>
              <w:rPr>
                <w:rFonts w:cstheme="minorHAnsi"/>
                <w:sz w:val="20"/>
                <w:szCs w:val="20"/>
              </w:rPr>
            </w:pPr>
            <w:r w:rsidRPr="002A0D4F">
              <w:rPr>
                <w:rFonts w:cstheme="minorHAnsi"/>
                <w:sz w:val="20"/>
                <w:szCs w:val="20"/>
              </w:rPr>
              <w:t>2 268</w:t>
            </w:r>
          </w:p>
        </w:tc>
        <w:tc>
          <w:tcPr>
            <w:tcW w:w="1781" w:type="dxa"/>
            <w:noWrap/>
            <w:hideMark/>
          </w:tcPr>
          <w:p w14:paraId="78124827" w14:textId="77777777" w:rsidR="00A14B9B" w:rsidRPr="002A0D4F" w:rsidRDefault="00A14B9B" w:rsidP="00DB1D1D">
            <w:pPr>
              <w:jc w:val="right"/>
              <w:rPr>
                <w:rFonts w:cstheme="minorHAnsi"/>
                <w:sz w:val="20"/>
                <w:szCs w:val="20"/>
              </w:rPr>
            </w:pPr>
            <w:r w:rsidRPr="002A0D4F">
              <w:rPr>
                <w:rFonts w:cstheme="minorHAnsi"/>
                <w:sz w:val="20"/>
                <w:szCs w:val="20"/>
              </w:rPr>
              <w:t>587</w:t>
            </w:r>
          </w:p>
        </w:tc>
        <w:tc>
          <w:tcPr>
            <w:tcW w:w="1781" w:type="dxa"/>
            <w:noWrap/>
            <w:hideMark/>
          </w:tcPr>
          <w:p w14:paraId="7066E95D" w14:textId="77777777" w:rsidR="00A14B9B" w:rsidRPr="002A0D4F" w:rsidRDefault="00A14B9B" w:rsidP="00DB1D1D">
            <w:pPr>
              <w:jc w:val="right"/>
              <w:rPr>
                <w:rFonts w:cstheme="minorHAnsi"/>
                <w:sz w:val="20"/>
                <w:szCs w:val="20"/>
              </w:rPr>
            </w:pPr>
            <w:r w:rsidRPr="002A0D4F">
              <w:rPr>
                <w:rFonts w:cstheme="minorHAnsi"/>
                <w:sz w:val="20"/>
                <w:szCs w:val="20"/>
              </w:rPr>
              <w:t>11</w:t>
            </w:r>
          </w:p>
        </w:tc>
        <w:tc>
          <w:tcPr>
            <w:tcW w:w="1781" w:type="dxa"/>
            <w:noWrap/>
            <w:hideMark/>
          </w:tcPr>
          <w:p w14:paraId="371395E3" w14:textId="77777777" w:rsidR="00A14B9B" w:rsidRPr="002A0D4F" w:rsidRDefault="00A14B9B" w:rsidP="00DB1D1D">
            <w:pPr>
              <w:jc w:val="right"/>
              <w:rPr>
                <w:rFonts w:cstheme="minorHAnsi"/>
                <w:sz w:val="20"/>
                <w:szCs w:val="20"/>
              </w:rPr>
            </w:pPr>
            <w:r w:rsidRPr="002A0D4F">
              <w:rPr>
                <w:rFonts w:cstheme="minorHAnsi"/>
                <w:sz w:val="20"/>
                <w:szCs w:val="20"/>
              </w:rPr>
              <w:t>2 866</w:t>
            </w:r>
          </w:p>
        </w:tc>
      </w:tr>
      <w:tr w:rsidR="00A14B9B" w:rsidRPr="002A0D4F" w14:paraId="6CD65464" w14:textId="77777777" w:rsidTr="00DB1D1D">
        <w:trPr>
          <w:trHeight w:val="270"/>
        </w:trPr>
        <w:tc>
          <w:tcPr>
            <w:tcW w:w="1937" w:type="dxa"/>
            <w:noWrap/>
            <w:hideMark/>
          </w:tcPr>
          <w:p w14:paraId="4E462714" w14:textId="77777777" w:rsidR="00A14B9B" w:rsidRPr="002A0D4F" w:rsidRDefault="00A14B9B" w:rsidP="00DB1D1D">
            <w:pPr>
              <w:rPr>
                <w:rFonts w:cstheme="minorHAnsi"/>
                <w:sz w:val="20"/>
                <w:szCs w:val="20"/>
              </w:rPr>
            </w:pPr>
            <w:r w:rsidRPr="002A0D4F">
              <w:rPr>
                <w:rFonts w:cstheme="minorHAnsi"/>
                <w:sz w:val="20"/>
                <w:szCs w:val="20"/>
              </w:rPr>
              <w:t>Neuvedeno</w:t>
            </w:r>
          </w:p>
        </w:tc>
        <w:tc>
          <w:tcPr>
            <w:tcW w:w="1782" w:type="dxa"/>
            <w:noWrap/>
            <w:hideMark/>
          </w:tcPr>
          <w:p w14:paraId="7455F8DD" w14:textId="77777777" w:rsidR="00A14B9B" w:rsidRPr="002A0D4F" w:rsidRDefault="00A14B9B" w:rsidP="00DB1D1D">
            <w:pPr>
              <w:jc w:val="right"/>
              <w:rPr>
                <w:rFonts w:cstheme="minorHAnsi"/>
                <w:sz w:val="20"/>
                <w:szCs w:val="20"/>
              </w:rPr>
            </w:pPr>
            <w:r w:rsidRPr="002A0D4F">
              <w:rPr>
                <w:rFonts w:cstheme="minorHAnsi"/>
                <w:sz w:val="20"/>
                <w:szCs w:val="20"/>
              </w:rPr>
              <w:t>4 175</w:t>
            </w:r>
          </w:p>
        </w:tc>
        <w:tc>
          <w:tcPr>
            <w:tcW w:w="1781" w:type="dxa"/>
            <w:noWrap/>
            <w:hideMark/>
          </w:tcPr>
          <w:p w14:paraId="213924E2" w14:textId="77777777" w:rsidR="00A14B9B" w:rsidRPr="002A0D4F" w:rsidRDefault="00A14B9B" w:rsidP="00DB1D1D">
            <w:pPr>
              <w:jc w:val="right"/>
              <w:rPr>
                <w:rFonts w:cstheme="minorHAnsi"/>
                <w:sz w:val="20"/>
                <w:szCs w:val="20"/>
              </w:rPr>
            </w:pPr>
            <w:r w:rsidRPr="002A0D4F">
              <w:rPr>
                <w:rFonts w:cstheme="minorHAnsi"/>
                <w:sz w:val="20"/>
                <w:szCs w:val="20"/>
              </w:rPr>
              <w:t>1 782</w:t>
            </w:r>
          </w:p>
        </w:tc>
        <w:tc>
          <w:tcPr>
            <w:tcW w:w="1781" w:type="dxa"/>
            <w:noWrap/>
            <w:hideMark/>
          </w:tcPr>
          <w:p w14:paraId="2848A97A" w14:textId="77777777" w:rsidR="00A14B9B" w:rsidRPr="002A0D4F" w:rsidRDefault="00A14B9B" w:rsidP="00DB1D1D">
            <w:pPr>
              <w:jc w:val="right"/>
              <w:rPr>
                <w:rFonts w:cstheme="minorHAnsi"/>
                <w:sz w:val="20"/>
                <w:szCs w:val="20"/>
              </w:rPr>
            </w:pPr>
            <w:r w:rsidRPr="002A0D4F">
              <w:rPr>
                <w:rFonts w:cstheme="minorHAnsi"/>
                <w:sz w:val="20"/>
                <w:szCs w:val="20"/>
              </w:rPr>
              <w:t>472</w:t>
            </w:r>
          </w:p>
        </w:tc>
        <w:tc>
          <w:tcPr>
            <w:tcW w:w="1781" w:type="dxa"/>
            <w:noWrap/>
            <w:hideMark/>
          </w:tcPr>
          <w:p w14:paraId="069A69B7" w14:textId="77777777" w:rsidR="00A14B9B" w:rsidRPr="002A0D4F" w:rsidRDefault="00A14B9B" w:rsidP="00DB1D1D">
            <w:pPr>
              <w:jc w:val="right"/>
              <w:rPr>
                <w:rFonts w:cstheme="minorHAnsi"/>
                <w:sz w:val="20"/>
                <w:szCs w:val="20"/>
              </w:rPr>
            </w:pPr>
            <w:r w:rsidRPr="002A0D4F">
              <w:rPr>
                <w:rFonts w:cstheme="minorHAnsi"/>
                <w:sz w:val="20"/>
                <w:szCs w:val="20"/>
              </w:rPr>
              <w:t>6 430</w:t>
            </w:r>
          </w:p>
        </w:tc>
      </w:tr>
    </w:tbl>
    <w:p w14:paraId="75706208" w14:textId="77777777" w:rsidR="00A14B9B" w:rsidRPr="002A0D4F" w:rsidRDefault="00A14B9B" w:rsidP="00C229B5">
      <w:pPr>
        <w:pStyle w:val="UZEIZdroj"/>
      </w:pPr>
      <w:r w:rsidRPr="002A0D4F">
        <w:t>Zdroj: SPÚ, databáze polních cest realizovaných 1994-2020, vlastní zpracování</w:t>
      </w:r>
    </w:p>
    <w:p w14:paraId="736DC7B6" w14:textId="77777777" w:rsidR="00A14B9B" w:rsidRPr="002A0D4F" w:rsidRDefault="00A14B9B" w:rsidP="00C229B5">
      <w:pPr>
        <w:pStyle w:val="UZEIZdroj"/>
      </w:pPr>
      <w:r w:rsidRPr="002A0D4F">
        <w:t>* Vypočteno z poskytnutých dat dle obvodu polygonu polní cesty</w:t>
      </w:r>
    </w:p>
    <w:p w14:paraId="17915BAE" w14:textId="4AA6906F" w:rsidR="00A14B9B" w:rsidRPr="002A0D4F" w:rsidRDefault="00A14B9B" w:rsidP="00C229B5">
      <w:pPr>
        <w:pStyle w:val="UZEINormaln"/>
      </w:pPr>
      <w:bookmarkStart w:id="985" w:name="_Hlk25751714"/>
      <w:r w:rsidRPr="002A0D4F">
        <w:t>V </w:t>
      </w:r>
      <w:r w:rsidR="00C229B5">
        <w:fldChar w:fldCharType="begin"/>
      </w:r>
      <w:r w:rsidR="00C229B5">
        <w:instrText xml:space="preserve"> REF _Ref81776593 \r \h </w:instrText>
      </w:r>
      <w:r w:rsidR="00C229B5">
        <w:fldChar w:fldCharType="separate"/>
      </w:r>
      <w:r w:rsidR="00C229B5">
        <w:t>Tabulka 63</w:t>
      </w:r>
      <w:r w:rsidR="00C229B5">
        <w:fldChar w:fldCharType="end"/>
      </w:r>
      <w:r w:rsidR="00C229B5">
        <w:t xml:space="preserve"> </w:t>
      </w:r>
      <w:r w:rsidRPr="002A0D4F">
        <w:t xml:space="preserve">byla vyčíslena orientační hodnota nákladů při realizaci různých druhů povrchů polních cest. Data vychází z databáze polních cest realizovaných v letech 1994–2020, ale pro zajištění aktuálnosti hodnoty pro jednotlivé typy povrchů jsou průměrné ceny za kilometr polní cesty počítány pouze z období posledních tří let, tedy z let 2017–2019. </w:t>
      </w:r>
    </w:p>
    <w:p w14:paraId="38EFDF23" w14:textId="4FCC5E22" w:rsidR="00A14B9B" w:rsidRPr="00C229B5" w:rsidRDefault="00C229B5" w:rsidP="00C229B5">
      <w:pPr>
        <w:pStyle w:val="UZEITaB"/>
      </w:pPr>
      <w:bookmarkStart w:id="986" w:name="_Toc25920056"/>
      <w:bookmarkEnd w:id="985"/>
      <w:r w:rsidRPr="00C229B5">
        <w:rPr>
          <w:rFonts w:eastAsiaTheme="minorEastAsia"/>
        </w:rPr>
        <w:t xml:space="preserve"> </w:t>
      </w:r>
      <w:bookmarkStart w:id="987" w:name="_Ref81776593"/>
      <w:bookmarkStart w:id="988" w:name="_Toc81815379"/>
      <w:bookmarkStart w:id="989" w:name="_Toc81817057"/>
      <w:bookmarkStart w:id="990" w:name="_Toc81817570"/>
      <w:r w:rsidR="00A14B9B" w:rsidRPr="00C229B5">
        <w:rPr>
          <w:rFonts w:eastAsiaTheme="minorEastAsia"/>
        </w:rPr>
        <w:t>Orientační náklady povrchu za kilometr u cest realizovaných v letech 2017–2019</w:t>
      </w:r>
      <w:bookmarkEnd w:id="986"/>
      <w:bookmarkEnd w:id="987"/>
      <w:bookmarkEnd w:id="988"/>
      <w:bookmarkEnd w:id="989"/>
      <w:bookmarkEnd w:id="990"/>
    </w:p>
    <w:tbl>
      <w:tblPr>
        <w:tblStyle w:val="Mkatabulky"/>
        <w:tblW w:w="5000" w:type="pct"/>
        <w:tblLook w:val="04A0" w:firstRow="1" w:lastRow="0" w:firstColumn="1" w:lastColumn="0" w:noHBand="0" w:noVBand="1"/>
      </w:tblPr>
      <w:tblGrid>
        <w:gridCol w:w="2254"/>
        <w:gridCol w:w="2254"/>
        <w:gridCol w:w="2254"/>
        <w:gridCol w:w="2254"/>
      </w:tblGrid>
      <w:tr w:rsidR="00A14B9B" w:rsidRPr="00C229B5" w14:paraId="69F7131C" w14:textId="77777777" w:rsidTr="00DB1D1D">
        <w:trPr>
          <w:trHeight w:val="270"/>
        </w:trPr>
        <w:tc>
          <w:tcPr>
            <w:tcW w:w="1250" w:type="pct"/>
            <w:noWrap/>
            <w:hideMark/>
          </w:tcPr>
          <w:p w14:paraId="6550054C" w14:textId="77777777" w:rsidR="00A14B9B" w:rsidRPr="00C229B5" w:rsidRDefault="00A14B9B" w:rsidP="00DB1D1D">
            <w:pPr>
              <w:tabs>
                <w:tab w:val="left" w:pos="1985"/>
                <w:tab w:val="left" w:pos="3686"/>
                <w:tab w:val="left" w:pos="5529"/>
                <w:tab w:val="left" w:pos="7230"/>
              </w:tabs>
              <w:jc w:val="center"/>
              <w:rPr>
                <w:rFonts w:cstheme="minorHAnsi"/>
                <w:b/>
                <w:bCs/>
                <w:sz w:val="22"/>
              </w:rPr>
            </w:pPr>
            <w:r w:rsidRPr="00C229B5">
              <w:rPr>
                <w:rFonts w:cstheme="minorHAnsi"/>
                <w:b/>
                <w:bCs/>
                <w:sz w:val="22"/>
              </w:rPr>
              <w:t>Popisky řádků</w:t>
            </w:r>
          </w:p>
        </w:tc>
        <w:tc>
          <w:tcPr>
            <w:tcW w:w="1250" w:type="pct"/>
            <w:noWrap/>
            <w:hideMark/>
          </w:tcPr>
          <w:p w14:paraId="49E82EAB" w14:textId="77777777" w:rsidR="00A14B9B" w:rsidRPr="00C229B5" w:rsidRDefault="00A14B9B" w:rsidP="00DB1D1D">
            <w:pPr>
              <w:tabs>
                <w:tab w:val="left" w:pos="1985"/>
                <w:tab w:val="left" w:pos="3686"/>
                <w:tab w:val="left" w:pos="5529"/>
                <w:tab w:val="left" w:pos="7230"/>
              </w:tabs>
              <w:jc w:val="center"/>
              <w:rPr>
                <w:rFonts w:cstheme="minorHAnsi"/>
                <w:b/>
                <w:bCs/>
                <w:sz w:val="22"/>
              </w:rPr>
            </w:pPr>
            <w:r w:rsidRPr="00C229B5">
              <w:rPr>
                <w:rFonts w:cstheme="minorHAnsi"/>
                <w:b/>
                <w:bCs/>
                <w:sz w:val="22"/>
              </w:rPr>
              <w:t>Náklady (mil.)</w:t>
            </w:r>
          </w:p>
        </w:tc>
        <w:tc>
          <w:tcPr>
            <w:tcW w:w="1250" w:type="pct"/>
            <w:noWrap/>
            <w:hideMark/>
          </w:tcPr>
          <w:p w14:paraId="6B532BD6" w14:textId="77777777" w:rsidR="00A14B9B" w:rsidRPr="00C229B5" w:rsidRDefault="00A14B9B" w:rsidP="00DB1D1D">
            <w:pPr>
              <w:tabs>
                <w:tab w:val="left" w:pos="1985"/>
                <w:tab w:val="left" w:pos="3686"/>
                <w:tab w:val="left" w:pos="5529"/>
                <w:tab w:val="left" w:pos="7230"/>
              </w:tabs>
              <w:jc w:val="center"/>
              <w:rPr>
                <w:rFonts w:cstheme="minorHAnsi"/>
                <w:b/>
                <w:bCs/>
                <w:sz w:val="22"/>
              </w:rPr>
            </w:pPr>
            <w:r w:rsidRPr="00C229B5">
              <w:rPr>
                <w:rFonts w:cstheme="minorHAnsi"/>
                <w:b/>
                <w:bCs/>
                <w:sz w:val="22"/>
              </w:rPr>
              <w:t>Délka cesty (km)</w:t>
            </w:r>
          </w:p>
        </w:tc>
        <w:tc>
          <w:tcPr>
            <w:tcW w:w="1250" w:type="pct"/>
            <w:noWrap/>
            <w:hideMark/>
          </w:tcPr>
          <w:p w14:paraId="70C5A926" w14:textId="77777777" w:rsidR="00A14B9B" w:rsidRPr="00C229B5" w:rsidRDefault="00A14B9B" w:rsidP="00DB1D1D">
            <w:pPr>
              <w:tabs>
                <w:tab w:val="left" w:pos="1985"/>
                <w:tab w:val="left" w:pos="3686"/>
                <w:tab w:val="left" w:pos="5529"/>
                <w:tab w:val="left" w:pos="7230"/>
              </w:tabs>
              <w:jc w:val="center"/>
              <w:rPr>
                <w:rFonts w:cstheme="minorHAnsi"/>
                <w:b/>
                <w:bCs/>
                <w:sz w:val="22"/>
              </w:rPr>
            </w:pPr>
            <w:r w:rsidRPr="00C229B5">
              <w:rPr>
                <w:rFonts w:cstheme="minorHAnsi"/>
                <w:b/>
                <w:bCs/>
                <w:sz w:val="22"/>
              </w:rPr>
              <w:t>Náklady na km (mil.)</w:t>
            </w:r>
          </w:p>
        </w:tc>
      </w:tr>
      <w:tr w:rsidR="00A14B9B" w:rsidRPr="00C229B5" w14:paraId="6338FA17" w14:textId="77777777" w:rsidTr="00DB1D1D">
        <w:trPr>
          <w:trHeight w:val="270"/>
        </w:trPr>
        <w:tc>
          <w:tcPr>
            <w:tcW w:w="1250" w:type="pct"/>
            <w:noWrap/>
            <w:hideMark/>
          </w:tcPr>
          <w:p w14:paraId="46A50033" w14:textId="77777777" w:rsidR="00A14B9B" w:rsidRPr="00C229B5" w:rsidRDefault="00A14B9B" w:rsidP="00DB1D1D">
            <w:pPr>
              <w:tabs>
                <w:tab w:val="left" w:pos="1985"/>
                <w:tab w:val="left" w:pos="3686"/>
                <w:tab w:val="left" w:pos="5529"/>
                <w:tab w:val="left" w:pos="7230"/>
              </w:tabs>
              <w:rPr>
                <w:rFonts w:cstheme="minorHAnsi"/>
                <w:sz w:val="22"/>
              </w:rPr>
            </w:pPr>
            <w:r w:rsidRPr="00C229B5">
              <w:rPr>
                <w:rFonts w:cstheme="minorHAnsi"/>
                <w:sz w:val="22"/>
              </w:rPr>
              <w:t>asfalt/asfaltobeton</w:t>
            </w:r>
          </w:p>
        </w:tc>
        <w:tc>
          <w:tcPr>
            <w:tcW w:w="1250" w:type="pct"/>
            <w:noWrap/>
            <w:hideMark/>
          </w:tcPr>
          <w:p w14:paraId="43057500" w14:textId="77777777" w:rsidR="00A14B9B" w:rsidRPr="00C229B5" w:rsidRDefault="00A14B9B" w:rsidP="00DB1D1D">
            <w:pPr>
              <w:tabs>
                <w:tab w:val="left" w:pos="1985"/>
                <w:tab w:val="left" w:pos="3686"/>
                <w:tab w:val="left" w:pos="5529"/>
                <w:tab w:val="left" w:pos="7230"/>
              </w:tabs>
              <w:jc w:val="right"/>
              <w:rPr>
                <w:rFonts w:cstheme="minorHAnsi"/>
                <w:sz w:val="22"/>
              </w:rPr>
            </w:pPr>
            <w:r w:rsidRPr="00C229B5">
              <w:rPr>
                <w:rFonts w:cstheme="minorHAnsi"/>
                <w:sz w:val="22"/>
              </w:rPr>
              <w:t>-</w:t>
            </w:r>
          </w:p>
        </w:tc>
        <w:tc>
          <w:tcPr>
            <w:tcW w:w="1250" w:type="pct"/>
            <w:noWrap/>
            <w:hideMark/>
          </w:tcPr>
          <w:p w14:paraId="43665DFC" w14:textId="77777777" w:rsidR="00A14B9B" w:rsidRPr="00C229B5" w:rsidRDefault="00A14B9B" w:rsidP="00DB1D1D">
            <w:pPr>
              <w:tabs>
                <w:tab w:val="left" w:pos="1985"/>
                <w:tab w:val="left" w:pos="3686"/>
                <w:tab w:val="left" w:pos="5529"/>
                <w:tab w:val="left" w:pos="7230"/>
              </w:tabs>
              <w:jc w:val="right"/>
              <w:rPr>
                <w:rFonts w:cstheme="minorHAnsi"/>
                <w:sz w:val="22"/>
              </w:rPr>
            </w:pPr>
            <w:r w:rsidRPr="00C229B5">
              <w:rPr>
                <w:rFonts w:cstheme="minorHAnsi"/>
                <w:sz w:val="22"/>
              </w:rPr>
              <w:t>0,25</w:t>
            </w:r>
          </w:p>
        </w:tc>
        <w:tc>
          <w:tcPr>
            <w:tcW w:w="1250" w:type="pct"/>
            <w:noWrap/>
            <w:hideMark/>
          </w:tcPr>
          <w:p w14:paraId="49307658" w14:textId="77777777" w:rsidR="00A14B9B" w:rsidRPr="00C229B5" w:rsidRDefault="00A14B9B" w:rsidP="00DB1D1D">
            <w:pPr>
              <w:tabs>
                <w:tab w:val="left" w:pos="1985"/>
                <w:tab w:val="left" w:pos="3686"/>
                <w:tab w:val="left" w:pos="5529"/>
                <w:tab w:val="left" w:pos="7230"/>
              </w:tabs>
              <w:jc w:val="right"/>
              <w:rPr>
                <w:rFonts w:cstheme="minorHAnsi"/>
                <w:sz w:val="22"/>
              </w:rPr>
            </w:pPr>
            <w:r w:rsidRPr="00C229B5">
              <w:rPr>
                <w:rFonts w:cstheme="minorHAnsi"/>
                <w:sz w:val="22"/>
              </w:rPr>
              <w:t>-</w:t>
            </w:r>
          </w:p>
        </w:tc>
      </w:tr>
      <w:tr w:rsidR="00A14B9B" w:rsidRPr="00C229B5" w14:paraId="227058D1" w14:textId="77777777" w:rsidTr="00DB1D1D">
        <w:trPr>
          <w:trHeight w:val="270"/>
        </w:trPr>
        <w:tc>
          <w:tcPr>
            <w:tcW w:w="1250" w:type="pct"/>
            <w:noWrap/>
            <w:hideMark/>
          </w:tcPr>
          <w:p w14:paraId="1BDF2251" w14:textId="77777777" w:rsidR="00A14B9B" w:rsidRPr="00C229B5" w:rsidRDefault="00A14B9B" w:rsidP="00DB1D1D">
            <w:pPr>
              <w:tabs>
                <w:tab w:val="left" w:pos="1985"/>
                <w:tab w:val="left" w:pos="3686"/>
                <w:tab w:val="left" w:pos="5529"/>
                <w:tab w:val="left" w:pos="7230"/>
              </w:tabs>
              <w:rPr>
                <w:rFonts w:cstheme="minorHAnsi"/>
                <w:sz w:val="22"/>
              </w:rPr>
            </w:pPr>
            <w:proofErr w:type="spellStart"/>
            <w:r w:rsidRPr="00C229B5">
              <w:rPr>
                <w:rFonts w:cstheme="minorHAnsi"/>
                <w:sz w:val="22"/>
              </w:rPr>
              <w:t>cementobeton</w:t>
            </w:r>
            <w:proofErr w:type="spellEnd"/>
          </w:p>
        </w:tc>
        <w:tc>
          <w:tcPr>
            <w:tcW w:w="1250" w:type="pct"/>
            <w:noWrap/>
            <w:hideMark/>
          </w:tcPr>
          <w:p w14:paraId="5A344EB9" w14:textId="77777777" w:rsidR="00A14B9B" w:rsidRPr="00C229B5" w:rsidRDefault="00A14B9B" w:rsidP="00DB1D1D">
            <w:pPr>
              <w:tabs>
                <w:tab w:val="left" w:pos="1985"/>
                <w:tab w:val="left" w:pos="3686"/>
                <w:tab w:val="left" w:pos="5529"/>
                <w:tab w:val="left" w:pos="7230"/>
              </w:tabs>
              <w:jc w:val="right"/>
              <w:rPr>
                <w:rFonts w:cstheme="minorHAnsi"/>
                <w:sz w:val="22"/>
              </w:rPr>
            </w:pPr>
            <w:r w:rsidRPr="00C229B5">
              <w:rPr>
                <w:rFonts w:cstheme="minorHAnsi"/>
                <w:sz w:val="22"/>
              </w:rPr>
              <w:t>1 821</w:t>
            </w:r>
          </w:p>
        </w:tc>
        <w:tc>
          <w:tcPr>
            <w:tcW w:w="1250" w:type="pct"/>
            <w:noWrap/>
            <w:hideMark/>
          </w:tcPr>
          <w:p w14:paraId="23BCEC1F" w14:textId="77777777" w:rsidR="00A14B9B" w:rsidRPr="00C229B5" w:rsidRDefault="00A14B9B" w:rsidP="00DB1D1D">
            <w:pPr>
              <w:tabs>
                <w:tab w:val="left" w:pos="1985"/>
                <w:tab w:val="left" w:pos="3686"/>
                <w:tab w:val="left" w:pos="5529"/>
                <w:tab w:val="left" w:pos="7230"/>
              </w:tabs>
              <w:jc w:val="right"/>
              <w:rPr>
                <w:rFonts w:cstheme="minorHAnsi"/>
                <w:sz w:val="22"/>
              </w:rPr>
            </w:pPr>
            <w:r w:rsidRPr="00C229B5">
              <w:rPr>
                <w:rFonts w:cstheme="minorHAnsi"/>
                <w:sz w:val="22"/>
              </w:rPr>
              <w:t>273</w:t>
            </w:r>
          </w:p>
        </w:tc>
        <w:tc>
          <w:tcPr>
            <w:tcW w:w="1250" w:type="pct"/>
            <w:noWrap/>
            <w:hideMark/>
          </w:tcPr>
          <w:p w14:paraId="21BB1DBB" w14:textId="77777777" w:rsidR="00A14B9B" w:rsidRPr="00C229B5" w:rsidRDefault="00A14B9B" w:rsidP="00DB1D1D">
            <w:pPr>
              <w:tabs>
                <w:tab w:val="left" w:pos="1985"/>
                <w:tab w:val="left" w:pos="3686"/>
                <w:tab w:val="left" w:pos="5529"/>
                <w:tab w:val="left" w:pos="7230"/>
              </w:tabs>
              <w:jc w:val="right"/>
              <w:rPr>
                <w:rFonts w:cstheme="minorHAnsi"/>
                <w:sz w:val="22"/>
              </w:rPr>
            </w:pPr>
            <w:r w:rsidRPr="00C229B5">
              <w:rPr>
                <w:rFonts w:cstheme="minorHAnsi"/>
                <w:sz w:val="22"/>
              </w:rPr>
              <w:t>6,66</w:t>
            </w:r>
          </w:p>
        </w:tc>
      </w:tr>
      <w:tr w:rsidR="00A14B9B" w:rsidRPr="00C229B5" w14:paraId="0BDCB13E" w14:textId="77777777" w:rsidTr="00DB1D1D">
        <w:trPr>
          <w:trHeight w:val="270"/>
        </w:trPr>
        <w:tc>
          <w:tcPr>
            <w:tcW w:w="1250" w:type="pct"/>
            <w:noWrap/>
            <w:hideMark/>
          </w:tcPr>
          <w:p w14:paraId="4B0C0126" w14:textId="77777777" w:rsidR="00A14B9B" w:rsidRPr="00C229B5" w:rsidRDefault="00A14B9B" w:rsidP="00DB1D1D">
            <w:pPr>
              <w:tabs>
                <w:tab w:val="left" w:pos="1985"/>
                <w:tab w:val="left" w:pos="3686"/>
                <w:tab w:val="left" w:pos="5529"/>
                <w:tab w:val="left" w:pos="7230"/>
              </w:tabs>
              <w:rPr>
                <w:rFonts w:cstheme="minorHAnsi"/>
                <w:sz w:val="22"/>
              </w:rPr>
            </w:pPr>
            <w:r w:rsidRPr="00C229B5">
              <w:rPr>
                <w:rFonts w:cstheme="minorHAnsi"/>
                <w:sz w:val="22"/>
              </w:rPr>
              <w:t>nezpevněný</w:t>
            </w:r>
          </w:p>
        </w:tc>
        <w:tc>
          <w:tcPr>
            <w:tcW w:w="1250" w:type="pct"/>
            <w:noWrap/>
            <w:hideMark/>
          </w:tcPr>
          <w:p w14:paraId="2694E3A0" w14:textId="77777777" w:rsidR="00A14B9B" w:rsidRPr="00C229B5" w:rsidRDefault="00A14B9B" w:rsidP="00DB1D1D">
            <w:pPr>
              <w:tabs>
                <w:tab w:val="left" w:pos="1985"/>
                <w:tab w:val="left" w:pos="3686"/>
                <w:tab w:val="left" w:pos="5529"/>
                <w:tab w:val="left" w:pos="7230"/>
              </w:tabs>
              <w:jc w:val="right"/>
              <w:rPr>
                <w:rFonts w:cstheme="minorHAnsi"/>
                <w:sz w:val="22"/>
              </w:rPr>
            </w:pPr>
            <w:r w:rsidRPr="00C229B5">
              <w:rPr>
                <w:rFonts w:cstheme="minorHAnsi"/>
                <w:sz w:val="22"/>
              </w:rPr>
              <w:t>11</w:t>
            </w:r>
          </w:p>
        </w:tc>
        <w:tc>
          <w:tcPr>
            <w:tcW w:w="1250" w:type="pct"/>
            <w:noWrap/>
            <w:hideMark/>
          </w:tcPr>
          <w:p w14:paraId="38ED3C47" w14:textId="77777777" w:rsidR="00A14B9B" w:rsidRPr="00C229B5" w:rsidRDefault="00A14B9B" w:rsidP="00DB1D1D">
            <w:pPr>
              <w:tabs>
                <w:tab w:val="left" w:pos="1985"/>
                <w:tab w:val="left" w:pos="3686"/>
                <w:tab w:val="left" w:pos="5529"/>
                <w:tab w:val="left" w:pos="7230"/>
              </w:tabs>
              <w:jc w:val="right"/>
              <w:rPr>
                <w:rFonts w:cstheme="minorHAnsi"/>
                <w:sz w:val="22"/>
              </w:rPr>
            </w:pPr>
            <w:r w:rsidRPr="00C229B5">
              <w:rPr>
                <w:rFonts w:cstheme="minorHAnsi"/>
                <w:sz w:val="22"/>
              </w:rPr>
              <w:t>6</w:t>
            </w:r>
          </w:p>
        </w:tc>
        <w:tc>
          <w:tcPr>
            <w:tcW w:w="1250" w:type="pct"/>
            <w:noWrap/>
            <w:hideMark/>
          </w:tcPr>
          <w:p w14:paraId="002E50C1" w14:textId="77777777" w:rsidR="00A14B9B" w:rsidRPr="00C229B5" w:rsidRDefault="00A14B9B" w:rsidP="00DB1D1D">
            <w:pPr>
              <w:tabs>
                <w:tab w:val="left" w:pos="1985"/>
                <w:tab w:val="left" w:pos="3686"/>
                <w:tab w:val="left" w:pos="5529"/>
                <w:tab w:val="left" w:pos="7230"/>
              </w:tabs>
              <w:jc w:val="right"/>
              <w:rPr>
                <w:rFonts w:cstheme="minorHAnsi"/>
                <w:sz w:val="22"/>
              </w:rPr>
            </w:pPr>
            <w:r w:rsidRPr="00C229B5">
              <w:rPr>
                <w:rFonts w:cstheme="minorHAnsi"/>
                <w:sz w:val="22"/>
              </w:rPr>
              <w:t>1,68</w:t>
            </w:r>
          </w:p>
        </w:tc>
      </w:tr>
      <w:tr w:rsidR="00A14B9B" w:rsidRPr="00C229B5" w14:paraId="08A4A8E3" w14:textId="77777777" w:rsidTr="00DB1D1D">
        <w:trPr>
          <w:trHeight w:val="270"/>
        </w:trPr>
        <w:tc>
          <w:tcPr>
            <w:tcW w:w="1250" w:type="pct"/>
            <w:noWrap/>
            <w:hideMark/>
          </w:tcPr>
          <w:p w14:paraId="2C8842AF" w14:textId="77777777" w:rsidR="00A14B9B" w:rsidRPr="00C229B5" w:rsidRDefault="00A14B9B" w:rsidP="00DB1D1D">
            <w:pPr>
              <w:tabs>
                <w:tab w:val="left" w:pos="1985"/>
                <w:tab w:val="left" w:pos="3686"/>
                <w:tab w:val="left" w:pos="5529"/>
                <w:tab w:val="left" w:pos="7230"/>
              </w:tabs>
              <w:rPr>
                <w:rFonts w:cstheme="minorHAnsi"/>
                <w:sz w:val="22"/>
              </w:rPr>
            </w:pPr>
            <w:r w:rsidRPr="00C229B5">
              <w:rPr>
                <w:rFonts w:cstheme="minorHAnsi"/>
                <w:sz w:val="22"/>
              </w:rPr>
              <w:t>penetrace</w:t>
            </w:r>
          </w:p>
        </w:tc>
        <w:tc>
          <w:tcPr>
            <w:tcW w:w="1250" w:type="pct"/>
            <w:noWrap/>
            <w:hideMark/>
          </w:tcPr>
          <w:p w14:paraId="02730D68" w14:textId="77777777" w:rsidR="00A14B9B" w:rsidRPr="00C229B5" w:rsidRDefault="00A14B9B" w:rsidP="00DB1D1D">
            <w:pPr>
              <w:tabs>
                <w:tab w:val="left" w:pos="1985"/>
                <w:tab w:val="left" w:pos="3686"/>
                <w:tab w:val="left" w:pos="5529"/>
                <w:tab w:val="left" w:pos="7230"/>
              </w:tabs>
              <w:jc w:val="right"/>
              <w:rPr>
                <w:rFonts w:cstheme="minorHAnsi"/>
                <w:sz w:val="22"/>
              </w:rPr>
            </w:pPr>
            <w:r w:rsidRPr="00C229B5">
              <w:rPr>
                <w:rFonts w:cstheme="minorHAnsi"/>
                <w:sz w:val="22"/>
              </w:rPr>
              <w:t>244</w:t>
            </w:r>
          </w:p>
        </w:tc>
        <w:tc>
          <w:tcPr>
            <w:tcW w:w="1250" w:type="pct"/>
            <w:noWrap/>
            <w:hideMark/>
          </w:tcPr>
          <w:p w14:paraId="12D61135" w14:textId="77777777" w:rsidR="00A14B9B" w:rsidRPr="00C229B5" w:rsidRDefault="00A14B9B" w:rsidP="00DB1D1D">
            <w:pPr>
              <w:tabs>
                <w:tab w:val="left" w:pos="1985"/>
                <w:tab w:val="left" w:pos="3686"/>
                <w:tab w:val="left" w:pos="5529"/>
                <w:tab w:val="left" w:pos="7230"/>
              </w:tabs>
              <w:jc w:val="right"/>
              <w:rPr>
                <w:rFonts w:cstheme="minorHAnsi"/>
                <w:sz w:val="22"/>
              </w:rPr>
            </w:pPr>
            <w:r w:rsidRPr="00C229B5">
              <w:rPr>
                <w:rFonts w:cstheme="minorHAnsi"/>
                <w:sz w:val="22"/>
              </w:rPr>
              <w:t>59</w:t>
            </w:r>
          </w:p>
        </w:tc>
        <w:tc>
          <w:tcPr>
            <w:tcW w:w="1250" w:type="pct"/>
            <w:noWrap/>
            <w:hideMark/>
          </w:tcPr>
          <w:p w14:paraId="395EE5DA" w14:textId="77777777" w:rsidR="00A14B9B" w:rsidRPr="00C229B5" w:rsidRDefault="00A14B9B" w:rsidP="00DB1D1D">
            <w:pPr>
              <w:tabs>
                <w:tab w:val="left" w:pos="1985"/>
                <w:tab w:val="left" w:pos="3686"/>
                <w:tab w:val="left" w:pos="5529"/>
                <w:tab w:val="left" w:pos="7230"/>
              </w:tabs>
              <w:jc w:val="right"/>
              <w:rPr>
                <w:rFonts w:cstheme="minorHAnsi"/>
                <w:sz w:val="22"/>
              </w:rPr>
            </w:pPr>
            <w:r w:rsidRPr="00C229B5">
              <w:rPr>
                <w:rFonts w:cstheme="minorHAnsi"/>
                <w:sz w:val="22"/>
              </w:rPr>
              <w:t>4,12</w:t>
            </w:r>
          </w:p>
        </w:tc>
      </w:tr>
      <w:tr w:rsidR="00A14B9B" w:rsidRPr="00C229B5" w14:paraId="3139CDA6" w14:textId="77777777" w:rsidTr="00DB1D1D">
        <w:trPr>
          <w:trHeight w:val="270"/>
        </w:trPr>
        <w:tc>
          <w:tcPr>
            <w:tcW w:w="1250" w:type="pct"/>
            <w:noWrap/>
            <w:hideMark/>
          </w:tcPr>
          <w:p w14:paraId="2FEFCF9A" w14:textId="77777777" w:rsidR="00A14B9B" w:rsidRPr="00C229B5" w:rsidRDefault="00A14B9B" w:rsidP="00DB1D1D">
            <w:pPr>
              <w:tabs>
                <w:tab w:val="left" w:pos="1985"/>
                <w:tab w:val="left" w:pos="3686"/>
                <w:tab w:val="left" w:pos="5529"/>
                <w:tab w:val="left" w:pos="7230"/>
              </w:tabs>
              <w:rPr>
                <w:rFonts w:cstheme="minorHAnsi"/>
                <w:sz w:val="22"/>
              </w:rPr>
            </w:pPr>
            <w:r w:rsidRPr="00C229B5">
              <w:rPr>
                <w:rFonts w:cstheme="minorHAnsi"/>
                <w:sz w:val="22"/>
              </w:rPr>
              <w:t>stabilizovaný</w:t>
            </w:r>
          </w:p>
        </w:tc>
        <w:tc>
          <w:tcPr>
            <w:tcW w:w="1250" w:type="pct"/>
            <w:noWrap/>
            <w:hideMark/>
          </w:tcPr>
          <w:p w14:paraId="1DFC1732" w14:textId="77777777" w:rsidR="00A14B9B" w:rsidRPr="00C229B5" w:rsidRDefault="00A14B9B" w:rsidP="00DB1D1D">
            <w:pPr>
              <w:tabs>
                <w:tab w:val="left" w:pos="1985"/>
                <w:tab w:val="left" w:pos="3686"/>
                <w:tab w:val="left" w:pos="5529"/>
                <w:tab w:val="left" w:pos="7230"/>
              </w:tabs>
              <w:jc w:val="right"/>
              <w:rPr>
                <w:rFonts w:cstheme="minorHAnsi"/>
                <w:sz w:val="22"/>
              </w:rPr>
            </w:pPr>
            <w:r w:rsidRPr="00C229B5">
              <w:rPr>
                <w:rFonts w:cstheme="minorHAnsi"/>
                <w:sz w:val="22"/>
              </w:rPr>
              <w:t>12</w:t>
            </w:r>
          </w:p>
        </w:tc>
        <w:tc>
          <w:tcPr>
            <w:tcW w:w="1250" w:type="pct"/>
            <w:noWrap/>
            <w:hideMark/>
          </w:tcPr>
          <w:p w14:paraId="6B12A13E" w14:textId="77777777" w:rsidR="00A14B9B" w:rsidRPr="00C229B5" w:rsidRDefault="00A14B9B" w:rsidP="00DB1D1D">
            <w:pPr>
              <w:tabs>
                <w:tab w:val="left" w:pos="1985"/>
                <w:tab w:val="left" w:pos="3686"/>
                <w:tab w:val="left" w:pos="5529"/>
                <w:tab w:val="left" w:pos="7230"/>
              </w:tabs>
              <w:jc w:val="right"/>
              <w:rPr>
                <w:rFonts w:cstheme="minorHAnsi"/>
                <w:sz w:val="22"/>
              </w:rPr>
            </w:pPr>
            <w:r w:rsidRPr="00C229B5">
              <w:rPr>
                <w:rFonts w:cstheme="minorHAnsi"/>
                <w:sz w:val="22"/>
              </w:rPr>
              <w:t>5</w:t>
            </w:r>
          </w:p>
        </w:tc>
        <w:tc>
          <w:tcPr>
            <w:tcW w:w="1250" w:type="pct"/>
            <w:noWrap/>
            <w:hideMark/>
          </w:tcPr>
          <w:p w14:paraId="44C0BDAF" w14:textId="77777777" w:rsidR="00A14B9B" w:rsidRPr="00C229B5" w:rsidRDefault="00A14B9B" w:rsidP="00DB1D1D">
            <w:pPr>
              <w:tabs>
                <w:tab w:val="left" w:pos="1985"/>
                <w:tab w:val="left" w:pos="3686"/>
                <w:tab w:val="left" w:pos="5529"/>
                <w:tab w:val="left" w:pos="7230"/>
              </w:tabs>
              <w:jc w:val="right"/>
              <w:rPr>
                <w:rFonts w:cstheme="minorHAnsi"/>
                <w:sz w:val="22"/>
              </w:rPr>
            </w:pPr>
            <w:r w:rsidRPr="00C229B5">
              <w:rPr>
                <w:rFonts w:cstheme="minorHAnsi"/>
                <w:sz w:val="22"/>
              </w:rPr>
              <w:t>2,50</w:t>
            </w:r>
          </w:p>
        </w:tc>
      </w:tr>
      <w:tr w:rsidR="00A14B9B" w:rsidRPr="00C229B5" w14:paraId="5C19579E" w14:textId="77777777" w:rsidTr="00DB1D1D">
        <w:trPr>
          <w:trHeight w:val="270"/>
        </w:trPr>
        <w:tc>
          <w:tcPr>
            <w:tcW w:w="1250" w:type="pct"/>
            <w:noWrap/>
            <w:hideMark/>
          </w:tcPr>
          <w:p w14:paraId="11932270" w14:textId="77777777" w:rsidR="00A14B9B" w:rsidRPr="00C229B5" w:rsidRDefault="00A14B9B" w:rsidP="00DB1D1D">
            <w:pPr>
              <w:tabs>
                <w:tab w:val="left" w:pos="1985"/>
                <w:tab w:val="left" w:pos="3686"/>
                <w:tab w:val="left" w:pos="5529"/>
                <w:tab w:val="left" w:pos="7230"/>
              </w:tabs>
              <w:rPr>
                <w:rFonts w:cstheme="minorHAnsi"/>
                <w:sz w:val="22"/>
              </w:rPr>
            </w:pPr>
            <w:r w:rsidRPr="00C229B5">
              <w:rPr>
                <w:rFonts w:cstheme="minorHAnsi"/>
                <w:sz w:val="22"/>
              </w:rPr>
              <w:t>štěrkový</w:t>
            </w:r>
          </w:p>
        </w:tc>
        <w:tc>
          <w:tcPr>
            <w:tcW w:w="1250" w:type="pct"/>
            <w:noWrap/>
            <w:hideMark/>
          </w:tcPr>
          <w:p w14:paraId="549CE0F4" w14:textId="77777777" w:rsidR="00A14B9B" w:rsidRPr="00C229B5" w:rsidRDefault="00A14B9B" w:rsidP="00DB1D1D">
            <w:pPr>
              <w:tabs>
                <w:tab w:val="left" w:pos="1985"/>
                <w:tab w:val="left" w:pos="3686"/>
                <w:tab w:val="left" w:pos="5529"/>
                <w:tab w:val="left" w:pos="7230"/>
              </w:tabs>
              <w:jc w:val="right"/>
              <w:rPr>
                <w:rFonts w:cstheme="minorHAnsi"/>
                <w:sz w:val="22"/>
              </w:rPr>
            </w:pPr>
            <w:r w:rsidRPr="00C229B5">
              <w:rPr>
                <w:rFonts w:cstheme="minorHAnsi"/>
                <w:sz w:val="22"/>
              </w:rPr>
              <w:t>83</w:t>
            </w:r>
          </w:p>
        </w:tc>
        <w:tc>
          <w:tcPr>
            <w:tcW w:w="1250" w:type="pct"/>
            <w:noWrap/>
            <w:hideMark/>
          </w:tcPr>
          <w:p w14:paraId="216EC84F" w14:textId="77777777" w:rsidR="00A14B9B" w:rsidRPr="00C229B5" w:rsidRDefault="00A14B9B" w:rsidP="00DB1D1D">
            <w:pPr>
              <w:tabs>
                <w:tab w:val="left" w:pos="1985"/>
                <w:tab w:val="left" w:pos="3686"/>
                <w:tab w:val="left" w:pos="5529"/>
                <w:tab w:val="left" w:pos="7230"/>
              </w:tabs>
              <w:jc w:val="right"/>
              <w:rPr>
                <w:rFonts w:cstheme="minorHAnsi"/>
                <w:sz w:val="22"/>
              </w:rPr>
            </w:pPr>
            <w:r w:rsidRPr="00C229B5">
              <w:rPr>
                <w:rFonts w:cstheme="minorHAnsi"/>
                <w:sz w:val="22"/>
              </w:rPr>
              <w:t>21</w:t>
            </w:r>
          </w:p>
        </w:tc>
        <w:tc>
          <w:tcPr>
            <w:tcW w:w="1250" w:type="pct"/>
            <w:noWrap/>
            <w:hideMark/>
          </w:tcPr>
          <w:p w14:paraId="3207461B" w14:textId="77777777" w:rsidR="00A14B9B" w:rsidRPr="00C229B5" w:rsidRDefault="00A14B9B" w:rsidP="00DB1D1D">
            <w:pPr>
              <w:tabs>
                <w:tab w:val="left" w:pos="1985"/>
                <w:tab w:val="left" w:pos="3686"/>
                <w:tab w:val="left" w:pos="5529"/>
                <w:tab w:val="left" w:pos="7230"/>
              </w:tabs>
              <w:jc w:val="right"/>
              <w:rPr>
                <w:rFonts w:cstheme="minorHAnsi"/>
                <w:sz w:val="22"/>
              </w:rPr>
            </w:pPr>
            <w:r w:rsidRPr="00C229B5">
              <w:rPr>
                <w:rFonts w:cstheme="minorHAnsi"/>
                <w:sz w:val="22"/>
              </w:rPr>
              <w:t>3,90</w:t>
            </w:r>
          </w:p>
        </w:tc>
      </w:tr>
      <w:tr w:rsidR="00A14B9B" w:rsidRPr="00C229B5" w14:paraId="383C27BA" w14:textId="77777777" w:rsidTr="00DB1D1D">
        <w:trPr>
          <w:trHeight w:val="270"/>
        </w:trPr>
        <w:tc>
          <w:tcPr>
            <w:tcW w:w="1250" w:type="pct"/>
            <w:noWrap/>
            <w:hideMark/>
          </w:tcPr>
          <w:p w14:paraId="5343321F" w14:textId="77777777" w:rsidR="00A14B9B" w:rsidRPr="00C229B5" w:rsidRDefault="00A14B9B" w:rsidP="00DB1D1D">
            <w:pPr>
              <w:tabs>
                <w:tab w:val="left" w:pos="1985"/>
                <w:tab w:val="left" w:pos="3686"/>
                <w:tab w:val="left" w:pos="5529"/>
                <w:tab w:val="left" w:pos="7230"/>
              </w:tabs>
              <w:rPr>
                <w:rFonts w:cstheme="minorHAnsi"/>
                <w:sz w:val="22"/>
              </w:rPr>
            </w:pPr>
            <w:r w:rsidRPr="00C229B5">
              <w:rPr>
                <w:rFonts w:cstheme="minorHAnsi"/>
                <w:sz w:val="22"/>
              </w:rPr>
              <w:t>neuvedeno</w:t>
            </w:r>
          </w:p>
        </w:tc>
        <w:tc>
          <w:tcPr>
            <w:tcW w:w="1250" w:type="pct"/>
            <w:noWrap/>
            <w:hideMark/>
          </w:tcPr>
          <w:p w14:paraId="53E6B46A" w14:textId="77777777" w:rsidR="00A14B9B" w:rsidRPr="00C229B5" w:rsidRDefault="00A14B9B" w:rsidP="00DB1D1D">
            <w:pPr>
              <w:tabs>
                <w:tab w:val="left" w:pos="1985"/>
                <w:tab w:val="left" w:pos="3686"/>
                <w:tab w:val="left" w:pos="5529"/>
                <w:tab w:val="left" w:pos="7230"/>
              </w:tabs>
              <w:jc w:val="right"/>
              <w:rPr>
                <w:rFonts w:cstheme="minorHAnsi"/>
                <w:sz w:val="22"/>
              </w:rPr>
            </w:pPr>
            <w:r w:rsidRPr="00C229B5">
              <w:rPr>
                <w:rFonts w:cstheme="minorHAnsi"/>
                <w:sz w:val="22"/>
              </w:rPr>
              <w:t>45</w:t>
            </w:r>
          </w:p>
        </w:tc>
        <w:tc>
          <w:tcPr>
            <w:tcW w:w="1250" w:type="pct"/>
            <w:noWrap/>
            <w:hideMark/>
          </w:tcPr>
          <w:p w14:paraId="54A42897" w14:textId="77777777" w:rsidR="00A14B9B" w:rsidRPr="00C229B5" w:rsidRDefault="00A14B9B" w:rsidP="00DB1D1D">
            <w:pPr>
              <w:tabs>
                <w:tab w:val="left" w:pos="1985"/>
                <w:tab w:val="left" w:pos="3686"/>
                <w:tab w:val="left" w:pos="5529"/>
                <w:tab w:val="left" w:pos="7230"/>
              </w:tabs>
              <w:jc w:val="right"/>
              <w:rPr>
                <w:rFonts w:cstheme="minorHAnsi"/>
                <w:sz w:val="22"/>
              </w:rPr>
            </w:pPr>
            <w:r w:rsidRPr="00C229B5">
              <w:rPr>
                <w:rFonts w:cstheme="minorHAnsi"/>
                <w:sz w:val="22"/>
              </w:rPr>
              <w:t>7</w:t>
            </w:r>
          </w:p>
        </w:tc>
        <w:tc>
          <w:tcPr>
            <w:tcW w:w="1250" w:type="pct"/>
            <w:noWrap/>
            <w:hideMark/>
          </w:tcPr>
          <w:p w14:paraId="38B5F9C7" w14:textId="77777777" w:rsidR="00A14B9B" w:rsidRPr="00C229B5" w:rsidRDefault="00A14B9B" w:rsidP="00DB1D1D">
            <w:pPr>
              <w:tabs>
                <w:tab w:val="left" w:pos="1985"/>
                <w:tab w:val="left" w:pos="3686"/>
                <w:tab w:val="left" w:pos="5529"/>
                <w:tab w:val="left" w:pos="7230"/>
              </w:tabs>
              <w:jc w:val="right"/>
              <w:rPr>
                <w:rFonts w:cstheme="minorHAnsi"/>
                <w:sz w:val="22"/>
              </w:rPr>
            </w:pPr>
            <w:r w:rsidRPr="00C229B5">
              <w:rPr>
                <w:rFonts w:cstheme="minorHAnsi"/>
                <w:sz w:val="22"/>
              </w:rPr>
              <w:t>6,36</w:t>
            </w:r>
          </w:p>
        </w:tc>
      </w:tr>
      <w:tr w:rsidR="00A14B9B" w:rsidRPr="00C229B5" w14:paraId="0DE50324" w14:textId="77777777" w:rsidTr="00DB1D1D">
        <w:trPr>
          <w:trHeight w:val="270"/>
        </w:trPr>
        <w:tc>
          <w:tcPr>
            <w:tcW w:w="1250" w:type="pct"/>
            <w:noWrap/>
            <w:hideMark/>
          </w:tcPr>
          <w:p w14:paraId="76CCDBA4" w14:textId="77777777" w:rsidR="00A14B9B" w:rsidRPr="00C229B5" w:rsidRDefault="00A14B9B" w:rsidP="00DB1D1D">
            <w:pPr>
              <w:tabs>
                <w:tab w:val="left" w:pos="1985"/>
                <w:tab w:val="left" w:pos="3686"/>
                <w:tab w:val="left" w:pos="5529"/>
                <w:tab w:val="left" w:pos="7230"/>
              </w:tabs>
              <w:rPr>
                <w:rFonts w:cstheme="minorHAnsi"/>
                <w:sz w:val="22"/>
              </w:rPr>
            </w:pPr>
            <w:r w:rsidRPr="00C229B5">
              <w:rPr>
                <w:rFonts w:cstheme="minorHAnsi"/>
                <w:sz w:val="22"/>
              </w:rPr>
              <w:t>ostatní</w:t>
            </w:r>
          </w:p>
        </w:tc>
        <w:tc>
          <w:tcPr>
            <w:tcW w:w="1250" w:type="pct"/>
            <w:noWrap/>
            <w:hideMark/>
          </w:tcPr>
          <w:p w14:paraId="2C1310F3" w14:textId="77777777" w:rsidR="00A14B9B" w:rsidRPr="00C229B5" w:rsidRDefault="00A14B9B" w:rsidP="00DB1D1D">
            <w:pPr>
              <w:tabs>
                <w:tab w:val="left" w:pos="1985"/>
                <w:tab w:val="left" w:pos="3686"/>
                <w:tab w:val="left" w:pos="5529"/>
                <w:tab w:val="left" w:pos="7230"/>
              </w:tabs>
              <w:jc w:val="right"/>
              <w:rPr>
                <w:rFonts w:cstheme="minorHAnsi"/>
                <w:sz w:val="22"/>
              </w:rPr>
            </w:pPr>
            <w:r w:rsidRPr="00C229B5">
              <w:rPr>
                <w:rFonts w:cstheme="minorHAnsi"/>
                <w:sz w:val="22"/>
              </w:rPr>
              <w:t>8</w:t>
            </w:r>
          </w:p>
        </w:tc>
        <w:tc>
          <w:tcPr>
            <w:tcW w:w="1250" w:type="pct"/>
            <w:noWrap/>
            <w:hideMark/>
          </w:tcPr>
          <w:p w14:paraId="727E032E" w14:textId="77777777" w:rsidR="00A14B9B" w:rsidRPr="00C229B5" w:rsidRDefault="00A14B9B" w:rsidP="00DB1D1D">
            <w:pPr>
              <w:tabs>
                <w:tab w:val="left" w:pos="1985"/>
                <w:tab w:val="left" w:pos="3686"/>
                <w:tab w:val="left" w:pos="5529"/>
                <w:tab w:val="left" w:pos="7230"/>
              </w:tabs>
              <w:jc w:val="right"/>
              <w:rPr>
                <w:rFonts w:cstheme="minorHAnsi"/>
                <w:sz w:val="22"/>
              </w:rPr>
            </w:pPr>
            <w:r w:rsidRPr="00C229B5">
              <w:rPr>
                <w:rFonts w:cstheme="minorHAnsi"/>
                <w:sz w:val="22"/>
              </w:rPr>
              <w:t>4</w:t>
            </w:r>
          </w:p>
        </w:tc>
        <w:tc>
          <w:tcPr>
            <w:tcW w:w="1250" w:type="pct"/>
            <w:noWrap/>
            <w:hideMark/>
          </w:tcPr>
          <w:p w14:paraId="674CF1CC" w14:textId="77777777" w:rsidR="00A14B9B" w:rsidRPr="00C229B5" w:rsidRDefault="00A14B9B" w:rsidP="00DB1D1D">
            <w:pPr>
              <w:tabs>
                <w:tab w:val="left" w:pos="1985"/>
                <w:tab w:val="left" w:pos="3686"/>
                <w:tab w:val="left" w:pos="5529"/>
                <w:tab w:val="left" w:pos="7230"/>
              </w:tabs>
              <w:jc w:val="right"/>
              <w:rPr>
                <w:rFonts w:cstheme="minorHAnsi"/>
                <w:sz w:val="22"/>
              </w:rPr>
            </w:pPr>
            <w:r w:rsidRPr="00C229B5">
              <w:rPr>
                <w:rFonts w:cstheme="minorHAnsi"/>
                <w:sz w:val="22"/>
              </w:rPr>
              <w:t>1,97</w:t>
            </w:r>
          </w:p>
        </w:tc>
      </w:tr>
      <w:tr w:rsidR="00A14B9B" w:rsidRPr="00C229B5" w14:paraId="3FA66D3F" w14:textId="77777777" w:rsidTr="00DB1D1D">
        <w:trPr>
          <w:trHeight w:val="270"/>
        </w:trPr>
        <w:tc>
          <w:tcPr>
            <w:tcW w:w="1250" w:type="pct"/>
            <w:noWrap/>
            <w:hideMark/>
          </w:tcPr>
          <w:p w14:paraId="25B6425D" w14:textId="77777777" w:rsidR="00A14B9B" w:rsidRPr="00C229B5" w:rsidRDefault="00A14B9B" w:rsidP="00DB1D1D">
            <w:pPr>
              <w:tabs>
                <w:tab w:val="left" w:pos="1985"/>
                <w:tab w:val="left" w:pos="3686"/>
                <w:tab w:val="left" w:pos="5529"/>
                <w:tab w:val="left" w:pos="7230"/>
              </w:tabs>
              <w:rPr>
                <w:rFonts w:cstheme="minorHAnsi"/>
                <w:b/>
                <w:bCs/>
                <w:sz w:val="22"/>
              </w:rPr>
            </w:pPr>
            <w:r w:rsidRPr="00C229B5">
              <w:rPr>
                <w:rFonts w:cstheme="minorHAnsi"/>
                <w:b/>
                <w:bCs/>
                <w:sz w:val="22"/>
              </w:rPr>
              <w:t>Celkem</w:t>
            </w:r>
          </w:p>
        </w:tc>
        <w:tc>
          <w:tcPr>
            <w:tcW w:w="1250" w:type="pct"/>
            <w:noWrap/>
            <w:hideMark/>
          </w:tcPr>
          <w:p w14:paraId="5C1CABCC" w14:textId="77777777" w:rsidR="00A14B9B" w:rsidRPr="00C229B5" w:rsidRDefault="00A14B9B" w:rsidP="00DB1D1D">
            <w:pPr>
              <w:tabs>
                <w:tab w:val="left" w:pos="1985"/>
                <w:tab w:val="left" w:pos="3686"/>
                <w:tab w:val="left" w:pos="5529"/>
                <w:tab w:val="left" w:pos="7230"/>
              </w:tabs>
              <w:jc w:val="right"/>
              <w:rPr>
                <w:rFonts w:cstheme="minorHAnsi"/>
                <w:b/>
                <w:bCs/>
                <w:sz w:val="22"/>
              </w:rPr>
            </w:pPr>
            <w:r w:rsidRPr="00C229B5">
              <w:rPr>
                <w:rFonts w:cstheme="minorHAnsi"/>
                <w:b/>
                <w:bCs/>
                <w:sz w:val="22"/>
              </w:rPr>
              <w:t>2 224</w:t>
            </w:r>
          </w:p>
        </w:tc>
        <w:tc>
          <w:tcPr>
            <w:tcW w:w="1250" w:type="pct"/>
            <w:noWrap/>
            <w:hideMark/>
          </w:tcPr>
          <w:p w14:paraId="52F78BEC" w14:textId="77777777" w:rsidR="00A14B9B" w:rsidRPr="00C229B5" w:rsidRDefault="00A14B9B" w:rsidP="00DB1D1D">
            <w:pPr>
              <w:tabs>
                <w:tab w:val="left" w:pos="1985"/>
                <w:tab w:val="left" w:pos="3686"/>
                <w:tab w:val="left" w:pos="5529"/>
                <w:tab w:val="left" w:pos="7230"/>
              </w:tabs>
              <w:jc w:val="right"/>
              <w:rPr>
                <w:rFonts w:cstheme="minorHAnsi"/>
                <w:b/>
                <w:bCs/>
                <w:sz w:val="22"/>
              </w:rPr>
            </w:pPr>
            <w:r w:rsidRPr="00C229B5">
              <w:rPr>
                <w:rFonts w:cstheme="minorHAnsi"/>
                <w:b/>
                <w:bCs/>
                <w:sz w:val="22"/>
              </w:rPr>
              <w:t>377</w:t>
            </w:r>
          </w:p>
        </w:tc>
        <w:tc>
          <w:tcPr>
            <w:tcW w:w="1250" w:type="pct"/>
            <w:noWrap/>
            <w:hideMark/>
          </w:tcPr>
          <w:p w14:paraId="7DBFBC44" w14:textId="77777777" w:rsidR="00A14B9B" w:rsidRPr="00C229B5" w:rsidRDefault="00A14B9B" w:rsidP="00DB1D1D">
            <w:pPr>
              <w:tabs>
                <w:tab w:val="left" w:pos="1985"/>
                <w:tab w:val="left" w:pos="3686"/>
                <w:tab w:val="left" w:pos="5529"/>
                <w:tab w:val="left" w:pos="7230"/>
              </w:tabs>
              <w:jc w:val="right"/>
              <w:rPr>
                <w:rFonts w:cstheme="minorHAnsi"/>
                <w:b/>
                <w:bCs/>
                <w:sz w:val="22"/>
              </w:rPr>
            </w:pPr>
            <w:r w:rsidRPr="00C229B5">
              <w:rPr>
                <w:rFonts w:cstheme="minorHAnsi"/>
                <w:b/>
                <w:bCs/>
                <w:sz w:val="22"/>
              </w:rPr>
              <w:t>5,90</w:t>
            </w:r>
          </w:p>
        </w:tc>
      </w:tr>
    </w:tbl>
    <w:p w14:paraId="6EB9DD21" w14:textId="77777777" w:rsidR="00A14B9B" w:rsidRPr="00C229B5" w:rsidRDefault="00A14B9B" w:rsidP="00C229B5">
      <w:pPr>
        <w:pStyle w:val="UZEIZdroj"/>
      </w:pPr>
      <w:r w:rsidRPr="00C229B5">
        <w:t xml:space="preserve">Zdroj: SPÚ, z databáze polních cest realizovaných (1994-2020), vlastní zpracování </w:t>
      </w:r>
    </w:p>
    <w:bookmarkEnd w:id="955"/>
    <w:p w14:paraId="01D02C36" w14:textId="77777777" w:rsidR="00A14B9B" w:rsidRPr="00C229B5" w:rsidRDefault="00A14B9B" w:rsidP="00447DBC">
      <w:pPr>
        <w:pStyle w:val="UZEINormaln"/>
      </w:pPr>
      <w:r w:rsidRPr="00C229B5">
        <w:t>Projekty Spolupráce MAS</w:t>
      </w:r>
    </w:p>
    <w:p w14:paraId="2410C702" w14:textId="2DA32E26" w:rsidR="008466FB" w:rsidRDefault="00B5272B" w:rsidP="00B5272B">
      <w:pPr>
        <w:spacing w:after="160" w:line="259" w:lineRule="auto"/>
        <w:rPr>
          <w:rFonts w:eastAsia="Times New Roman" w:cs="Arial"/>
          <w:b/>
          <w:color w:val="000000" w:themeColor="text1"/>
          <w:sz w:val="20"/>
          <w:szCs w:val="20"/>
          <w:lang w:val="cs-CZ" w:eastAsia="cs-CZ"/>
        </w:rPr>
      </w:pPr>
      <w:r w:rsidRPr="00B5272B">
        <w:t xml:space="preserve">V </w:t>
      </w:r>
      <w:proofErr w:type="spellStart"/>
      <w:r w:rsidRPr="00B5272B">
        <w:t>programovém</w:t>
      </w:r>
      <w:proofErr w:type="spellEnd"/>
      <w:r w:rsidRPr="00B5272B">
        <w:t xml:space="preserve"> </w:t>
      </w:r>
      <w:proofErr w:type="spellStart"/>
      <w:r w:rsidRPr="00B5272B">
        <w:t>období</w:t>
      </w:r>
      <w:proofErr w:type="spellEnd"/>
      <w:r w:rsidRPr="00B5272B">
        <w:t xml:space="preserve"> 2014 – 2020 </w:t>
      </w:r>
      <w:proofErr w:type="spellStart"/>
      <w:r w:rsidRPr="00B5272B">
        <w:t>byl</w:t>
      </w:r>
      <w:proofErr w:type="spellEnd"/>
      <w:r w:rsidRPr="00B5272B">
        <w:t xml:space="preserve"> </w:t>
      </w:r>
      <w:proofErr w:type="spellStart"/>
      <w:r w:rsidRPr="00B5272B">
        <w:t>nízký</w:t>
      </w:r>
      <w:proofErr w:type="spellEnd"/>
      <w:r w:rsidRPr="00B5272B">
        <w:t xml:space="preserve"> </w:t>
      </w:r>
      <w:proofErr w:type="spellStart"/>
      <w:r w:rsidRPr="00B5272B">
        <w:t>zájem</w:t>
      </w:r>
      <w:proofErr w:type="spellEnd"/>
      <w:r w:rsidRPr="00B5272B">
        <w:t xml:space="preserve"> o </w:t>
      </w:r>
      <w:proofErr w:type="spellStart"/>
      <w:r w:rsidRPr="00B5272B">
        <w:t>projekty</w:t>
      </w:r>
      <w:proofErr w:type="spellEnd"/>
      <w:r w:rsidRPr="00B5272B">
        <w:t xml:space="preserve"> </w:t>
      </w:r>
      <w:proofErr w:type="spellStart"/>
      <w:r w:rsidRPr="00B5272B">
        <w:t>spolupráce</w:t>
      </w:r>
      <w:proofErr w:type="spellEnd"/>
      <w:r w:rsidRPr="00B5272B">
        <w:t xml:space="preserve"> (viz. </w:t>
      </w:r>
      <w:proofErr w:type="spellStart"/>
      <w:r w:rsidRPr="00B5272B">
        <w:t>tabulka</w:t>
      </w:r>
      <w:proofErr w:type="spellEnd"/>
      <w:r w:rsidRPr="00B5272B">
        <w:t xml:space="preserve"> </w:t>
      </w:r>
      <w:proofErr w:type="spellStart"/>
      <w:r w:rsidRPr="00B5272B">
        <w:t>níže</w:t>
      </w:r>
      <w:proofErr w:type="spellEnd"/>
      <w:r w:rsidRPr="00B5272B">
        <w:t xml:space="preserve">), </w:t>
      </w:r>
      <w:proofErr w:type="spellStart"/>
      <w:r w:rsidRPr="00B5272B">
        <w:t>jako</w:t>
      </w:r>
      <w:proofErr w:type="spellEnd"/>
      <w:r w:rsidRPr="00B5272B">
        <w:t xml:space="preserve"> </w:t>
      </w:r>
      <w:proofErr w:type="spellStart"/>
      <w:r w:rsidRPr="00B5272B">
        <w:t>příčinu</w:t>
      </w:r>
      <w:proofErr w:type="spellEnd"/>
      <w:r w:rsidRPr="00B5272B">
        <w:t xml:space="preserve"> </w:t>
      </w:r>
      <w:proofErr w:type="spellStart"/>
      <w:r w:rsidRPr="00B5272B">
        <w:t>nezájmu</w:t>
      </w:r>
      <w:proofErr w:type="spellEnd"/>
      <w:r w:rsidRPr="00B5272B">
        <w:t xml:space="preserve"> </w:t>
      </w:r>
      <w:proofErr w:type="spellStart"/>
      <w:r w:rsidRPr="00B5272B">
        <w:t>uvedly</w:t>
      </w:r>
      <w:proofErr w:type="spellEnd"/>
      <w:r w:rsidRPr="00B5272B">
        <w:t xml:space="preserve"> MAS, </w:t>
      </w:r>
      <w:proofErr w:type="spellStart"/>
      <w:r w:rsidRPr="00B5272B">
        <w:t>složitost</w:t>
      </w:r>
      <w:proofErr w:type="spellEnd"/>
      <w:r w:rsidRPr="00B5272B">
        <w:t xml:space="preserve"> </w:t>
      </w:r>
      <w:proofErr w:type="spellStart"/>
      <w:r w:rsidRPr="00B5272B">
        <w:t>podmínek</w:t>
      </w:r>
      <w:proofErr w:type="spellEnd"/>
      <w:r w:rsidRPr="00B5272B">
        <w:t xml:space="preserve"> </w:t>
      </w:r>
      <w:proofErr w:type="gramStart"/>
      <w:r w:rsidRPr="00B5272B">
        <w:t>a</w:t>
      </w:r>
      <w:proofErr w:type="gramEnd"/>
      <w:r w:rsidRPr="00B5272B">
        <w:t xml:space="preserve"> </w:t>
      </w:r>
      <w:proofErr w:type="spellStart"/>
      <w:r w:rsidRPr="00B5272B">
        <w:t>obtížné</w:t>
      </w:r>
      <w:proofErr w:type="spellEnd"/>
      <w:r w:rsidRPr="00B5272B">
        <w:t xml:space="preserve"> </w:t>
      </w:r>
      <w:proofErr w:type="spellStart"/>
      <w:r w:rsidRPr="00B5272B">
        <w:t>kontrolovatelnosti</w:t>
      </w:r>
      <w:proofErr w:type="spellEnd"/>
      <w:r w:rsidRPr="00B5272B">
        <w:t xml:space="preserve"> </w:t>
      </w:r>
      <w:proofErr w:type="spellStart"/>
      <w:r w:rsidRPr="00B5272B">
        <w:t>podpory</w:t>
      </w:r>
      <w:proofErr w:type="spellEnd"/>
      <w:r w:rsidRPr="00B5272B">
        <w:t xml:space="preserve">. O </w:t>
      </w:r>
      <w:proofErr w:type="spellStart"/>
      <w:r w:rsidRPr="00B5272B">
        <w:t>projekty</w:t>
      </w:r>
      <w:proofErr w:type="spellEnd"/>
      <w:r w:rsidRPr="00B5272B">
        <w:t xml:space="preserve"> </w:t>
      </w:r>
      <w:proofErr w:type="spellStart"/>
      <w:r w:rsidRPr="00B5272B">
        <w:t>spolupráce</w:t>
      </w:r>
      <w:proofErr w:type="spellEnd"/>
      <w:r w:rsidRPr="00B5272B">
        <w:t xml:space="preserve"> je ale </w:t>
      </w:r>
      <w:proofErr w:type="spellStart"/>
      <w:r w:rsidRPr="00B5272B">
        <w:t>stále</w:t>
      </w:r>
      <w:proofErr w:type="spellEnd"/>
      <w:r w:rsidRPr="00B5272B">
        <w:t xml:space="preserve"> </w:t>
      </w:r>
      <w:proofErr w:type="spellStart"/>
      <w:r w:rsidRPr="00B5272B">
        <w:t>velký</w:t>
      </w:r>
      <w:proofErr w:type="spellEnd"/>
      <w:r w:rsidRPr="00B5272B">
        <w:t xml:space="preserve"> </w:t>
      </w:r>
      <w:proofErr w:type="spellStart"/>
      <w:r w:rsidRPr="00B5272B">
        <w:t>zájem</w:t>
      </w:r>
      <w:proofErr w:type="spellEnd"/>
      <w:r w:rsidRPr="00B5272B">
        <w:t xml:space="preserve"> a </w:t>
      </w:r>
      <w:proofErr w:type="spellStart"/>
      <w:r w:rsidRPr="00B5272B">
        <w:t>očekávání</w:t>
      </w:r>
      <w:proofErr w:type="spellEnd"/>
      <w:r w:rsidRPr="00B5272B">
        <w:t xml:space="preserve"> v </w:t>
      </w:r>
      <w:proofErr w:type="spellStart"/>
      <w:r w:rsidRPr="00B5272B">
        <w:t>nadcházejícím</w:t>
      </w:r>
      <w:proofErr w:type="spellEnd"/>
      <w:r w:rsidRPr="00B5272B">
        <w:t xml:space="preserve"> </w:t>
      </w:r>
      <w:proofErr w:type="spellStart"/>
      <w:r w:rsidRPr="00B5272B">
        <w:t>programovém</w:t>
      </w:r>
      <w:proofErr w:type="spellEnd"/>
      <w:r w:rsidRPr="00B5272B">
        <w:t xml:space="preserve"> </w:t>
      </w:r>
      <w:proofErr w:type="spellStart"/>
      <w:r w:rsidRPr="00B5272B">
        <w:t>období</w:t>
      </w:r>
      <w:proofErr w:type="spellEnd"/>
      <w:r w:rsidRPr="00B5272B">
        <w:t>.</w:t>
      </w:r>
      <w:r>
        <w:t xml:space="preserve"> </w:t>
      </w:r>
      <w:r w:rsidR="008466FB">
        <w:br w:type="page"/>
      </w:r>
    </w:p>
    <w:p w14:paraId="24DDEC98" w14:textId="774DAF35" w:rsidR="00447DBC" w:rsidRPr="00C229B5" w:rsidRDefault="00EE4085" w:rsidP="008466FB">
      <w:pPr>
        <w:pStyle w:val="UZEITaB"/>
      </w:pPr>
      <w:bookmarkStart w:id="991" w:name="_Toc81815380"/>
      <w:bookmarkStart w:id="992" w:name="_Toc81817058"/>
      <w:bookmarkStart w:id="993" w:name="_Toc81817571"/>
      <w:r>
        <w:lastRenderedPageBreak/>
        <w:t>Přehled projektových opatření priority 6 a jej</w:t>
      </w:r>
      <w:r w:rsidR="008466FB">
        <w:t>ich rozpočet a plnění v letech 2016 a 2020</w:t>
      </w:r>
      <w:bookmarkEnd w:id="991"/>
      <w:bookmarkEnd w:id="992"/>
      <w:bookmarkEnd w:id="993"/>
    </w:p>
    <w:p w14:paraId="76D46ABB" w14:textId="77777777" w:rsidR="00A14B9B" w:rsidRPr="002A0D4F" w:rsidRDefault="00A14B9B" w:rsidP="00A14B9B">
      <w:pPr>
        <w:tabs>
          <w:tab w:val="left" w:pos="1985"/>
          <w:tab w:val="left" w:pos="3686"/>
          <w:tab w:val="left" w:pos="5529"/>
          <w:tab w:val="left" w:pos="7230"/>
        </w:tabs>
        <w:rPr>
          <w:szCs w:val="24"/>
          <w:lang w:val="cs-CZ"/>
        </w:rPr>
      </w:pPr>
      <w:r w:rsidRPr="002A0D4F">
        <w:rPr>
          <w:noProof/>
          <w:lang w:val="cs-CZ" w:eastAsia="cs-CZ"/>
        </w:rPr>
        <w:drawing>
          <wp:inline distT="0" distB="0" distL="0" distR="0" wp14:anchorId="2A5EEFBD" wp14:editId="12A769CB">
            <wp:extent cx="6464300" cy="1981014"/>
            <wp:effectExtent l="0" t="0" r="0" b="635"/>
            <wp:docPr id="984373294" name="Picture 984373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03">
                      <a:extLst>
                        <a:ext uri="{28A0092B-C50C-407E-A947-70E740481C1C}">
                          <a14:useLocalDpi xmlns:a14="http://schemas.microsoft.com/office/drawing/2010/main" val="0"/>
                        </a:ext>
                      </a:extLst>
                    </a:blip>
                    <a:srcRect t="6307"/>
                    <a:stretch/>
                  </pic:blipFill>
                  <pic:spPr bwMode="auto">
                    <a:xfrm>
                      <a:off x="0" y="0"/>
                      <a:ext cx="6472748" cy="1983603"/>
                    </a:xfrm>
                    <a:prstGeom prst="rect">
                      <a:avLst/>
                    </a:prstGeom>
                    <a:ln>
                      <a:noFill/>
                    </a:ln>
                    <a:extLst>
                      <a:ext uri="{53640926-AAD7-44D8-BBD7-CCE9431645EC}">
                        <a14:shadowObscured xmlns:a14="http://schemas.microsoft.com/office/drawing/2010/main"/>
                      </a:ext>
                    </a:extLst>
                  </pic:spPr>
                </pic:pic>
              </a:graphicData>
            </a:graphic>
          </wp:inline>
        </w:drawing>
      </w:r>
    </w:p>
    <w:p w14:paraId="37D68DB6" w14:textId="77777777" w:rsidR="00A14B9B" w:rsidRPr="009176C7" w:rsidRDefault="00A14B9B" w:rsidP="009176C7">
      <w:pPr>
        <w:pStyle w:val="UZEINormaln"/>
        <w:rPr>
          <w:b/>
          <w:bCs/>
          <w:i/>
          <w:iCs/>
        </w:rPr>
      </w:pPr>
      <w:r w:rsidRPr="009176C7">
        <w:rPr>
          <w:b/>
          <w:bCs/>
        </w:rPr>
        <w:t>Participace žen na trhu práce</w:t>
      </w:r>
    </w:p>
    <w:p w14:paraId="3D075ECD" w14:textId="77777777" w:rsidR="00A14B9B" w:rsidRPr="002A0D4F" w:rsidRDefault="00A14B9B" w:rsidP="009176C7">
      <w:pPr>
        <w:pStyle w:val="UZEINormaln"/>
      </w:pPr>
      <w:r w:rsidRPr="002A0D4F">
        <w:t>Podíl žen na celkové zaměstnanosti v NH je dlouhodobě nižší než podíl mužů. V roce 2019 činil 44,4 %, přičemž v převážně venkovských krajích dosahoval pouze 43,8 %, kdežto v převážně městských krajích 45 % (VŠPS, průměr 2019).</w:t>
      </w:r>
    </w:p>
    <w:p w14:paraId="5ECCB696" w14:textId="77777777" w:rsidR="00A14B9B" w:rsidRPr="002A0D4F" w:rsidRDefault="00A14B9B" w:rsidP="009176C7">
      <w:pPr>
        <w:pStyle w:val="UZEINormaln"/>
      </w:pPr>
      <w:r w:rsidRPr="002A0D4F">
        <w:t xml:space="preserve">Celkově však v evropském srovnání můžeme považovat zaměstnanost žen za vysokou. Celková míra zaměstnanosti se v ČR pohybuje nad průměrem EU (73,9 %). V roce 2019 dosahovala hodnoty 80,3 % pro populaci ve věku 20–64 let (87,7 % u mužů a 72,7 % u žen). </w:t>
      </w:r>
    </w:p>
    <w:p w14:paraId="1400D034" w14:textId="1B62EB6A" w:rsidR="00A14B9B" w:rsidRPr="002A0D4F" w:rsidRDefault="009176C7" w:rsidP="009176C7">
      <w:pPr>
        <w:pStyle w:val="UZEITaB"/>
      </w:pPr>
      <w:r>
        <w:t xml:space="preserve"> </w:t>
      </w:r>
      <w:bookmarkStart w:id="994" w:name="_Toc81815381"/>
      <w:bookmarkStart w:id="995" w:name="_Toc81817059"/>
      <w:bookmarkStart w:id="996" w:name="_Toc81817572"/>
      <w:r w:rsidR="00A14B9B" w:rsidRPr="002A0D4F">
        <w:t>Podíl žen na podnikatelích dle typologie městských a venkovských regionů NUTS 3 (%)</w:t>
      </w:r>
      <w:bookmarkEnd w:id="994"/>
      <w:bookmarkEnd w:id="995"/>
      <w:bookmarkEnd w:id="996"/>
    </w:p>
    <w:p w14:paraId="7E4020A5" w14:textId="77777777" w:rsidR="00A14B9B" w:rsidRPr="002A0D4F" w:rsidRDefault="00A14B9B" w:rsidP="00A14B9B">
      <w:pPr>
        <w:rPr>
          <w:b/>
          <w:bCs/>
          <w:color w:val="0070C0"/>
          <w:lang w:val="cs-CZ"/>
        </w:rPr>
      </w:pPr>
      <w:r w:rsidRPr="009176C7">
        <w:rPr>
          <w:rFonts w:cs="Times New Roman"/>
          <w:noProof/>
          <w:sz w:val="22"/>
          <w:lang w:val="cs-CZ" w:eastAsia="cs-CZ"/>
        </w:rPr>
        <w:drawing>
          <wp:inline distT="0" distB="0" distL="0" distR="0" wp14:anchorId="413AC771" wp14:editId="070201FC">
            <wp:extent cx="3990975" cy="819150"/>
            <wp:effectExtent l="0" t="0" r="9525" b="0"/>
            <wp:docPr id="2"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
                    <pic:cNvPicPr>
                      <a:picLocks noChangeAspect="1" noChangeArrowheads="1"/>
                    </pic:cNvPicPr>
                  </pic:nvPicPr>
                  <pic:blipFill>
                    <a:blip r:embed="rId204" r:link="rId205" cstate="print">
                      <a:extLst>
                        <a:ext uri="{28A0092B-C50C-407E-A947-70E740481C1C}">
                          <a14:useLocalDpi xmlns:a14="http://schemas.microsoft.com/office/drawing/2010/main" val="0"/>
                        </a:ext>
                      </a:extLst>
                    </a:blip>
                    <a:srcRect/>
                    <a:stretch>
                      <a:fillRect/>
                    </a:stretch>
                  </pic:blipFill>
                  <pic:spPr bwMode="auto">
                    <a:xfrm>
                      <a:off x="0" y="0"/>
                      <a:ext cx="3990975" cy="819150"/>
                    </a:xfrm>
                    <a:prstGeom prst="rect">
                      <a:avLst/>
                    </a:prstGeom>
                    <a:noFill/>
                    <a:ln>
                      <a:noFill/>
                    </a:ln>
                  </pic:spPr>
                </pic:pic>
              </a:graphicData>
            </a:graphic>
          </wp:inline>
        </w:drawing>
      </w:r>
    </w:p>
    <w:p w14:paraId="7D315E43" w14:textId="77777777" w:rsidR="00A14B9B" w:rsidRPr="002A0D4F" w:rsidRDefault="00A14B9B" w:rsidP="009176C7">
      <w:pPr>
        <w:pStyle w:val="UZEIZdroj"/>
      </w:pPr>
      <w:r w:rsidRPr="002A0D4F">
        <w:t>Zdroj: VŠPS, ČSÚ 2020</w:t>
      </w:r>
    </w:p>
    <w:p w14:paraId="69FA2826" w14:textId="77777777" w:rsidR="00A14B9B" w:rsidRPr="002A0D4F" w:rsidRDefault="00A14B9B" w:rsidP="002E263E">
      <w:pPr>
        <w:pStyle w:val="UZEINormaln"/>
      </w:pPr>
      <w:r w:rsidRPr="002A0D4F">
        <w:t>V obou podnikatelských kategoriích je ve všech typech krajů výrazně vyšší podíl mužů, v převážně venkovských krajích je zastoupení žen jak mezi zaměstnavateli, tak mezi pracujícími na vlastní účet nejnižší.</w:t>
      </w:r>
    </w:p>
    <w:p w14:paraId="3CE324BA" w14:textId="77777777" w:rsidR="00A14B9B" w:rsidRPr="002A0D4F" w:rsidRDefault="00A14B9B" w:rsidP="002E263E">
      <w:pPr>
        <w:pStyle w:val="UZEINormaln"/>
      </w:pPr>
      <w:r w:rsidRPr="002A0D4F">
        <w:t xml:space="preserve">Co se týče nezaměstnanosti, ženy </w:t>
      </w:r>
      <w:r w:rsidRPr="002A0D4F">
        <w:rPr>
          <w:rStyle w:val="td"/>
        </w:rPr>
        <w:t>tvoří 49,4 % uchazečů evidovaných na úřadech práce (leden 2021), ve venkovských krajích je tento podíl zpravidla mírně nižší (průměr převážně venkovských krajů činil 48,1 %).</w:t>
      </w:r>
    </w:p>
    <w:p w14:paraId="4AEBF421" w14:textId="77777777" w:rsidR="00A14B9B" w:rsidRPr="002A0D4F" w:rsidRDefault="00A14B9B" w:rsidP="002E263E">
      <w:pPr>
        <w:pStyle w:val="UZEINormaln"/>
        <w:rPr>
          <w:b/>
          <w:bCs/>
        </w:rPr>
      </w:pPr>
      <w:r w:rsidRPr="002A0D4F">
        <w:rPr>
          <w:b/>
          <w:bCs/>
        </w:rPr>
        <w:t>Participace žen na veřejné správě</w:t>
      </w:r>
    </w:p>
    <w:p w14:paraId="59016B68" w14:textId="77777777" w:rsidR="00A14B9B" w:rsidRPr="002A0D4F" w:rsidRDefault="00A14B9B" w:rsidP="002E263E">
      <w:pPr>
        <w:pStyle w:val="UZEINormaln"/>
      </w:pPr>
      <w:r w:rsidRPr="002A0D4F">
        <w:t>Zastoupení žen v politické sféře zůstává stále velmi nízké</w:t>
      </w:r>
      <w:r w:rsidRPr="002A0D4F">
        <w:rPr>
          <w:rStyle w:val="markedcontent"/>
          <w:rFonts w:ascii="Arial" w:hAnsi="Arial" w:cs="Arial"/>
          <w:sz w:val="30"/>
          <w:szCs w:val="30"/>
        </w:rPr>
        <w:t xml:space="preserve"> </w:t>
      </w:r>
      <w:r w:rsidRPr="002A0D4F">
        <w:t>– podíl žen na kandidátních listinách do obecních zastupitelstev nedosahuje jejich podílu v populaci, podíl žen v zastupitelstvech obcí má však výrazně rostoucí trend. V obcích do 3000 obyvatel činil podíl zastupitelů ženského pohlaví necelých 28 % (volby do obecních zastupitelstev 2018), podíl žen mezi zastupiteli je v nich mírně vyšší než ve větších obcích a městech.</w:t>
      </w:r>
    </w:p>
    <w:p w14:paraId="26825152" w14:textId="77777777" w:rsidR="00A14B9B" w:rsidRPr="002A0D4F" w:rsidRDefault="00A14B9B" w:rsidP="002E263E">
      <w:pPr>
        <w:pStyle w:val="UZEINormaln"/>
      </w:pPr>
      <w:r w:rsidRPr="002A0D4F">
        <w:t>Mezi starosty je pak podíl žen ještě nižší, častěji jsou ženy starostkami ve venkovských obcích. Jejich podíl přitom klesá s rostoucí velikostí obce od 28,2 % v obcích do 1000 obyvatel až po 7,7 % ve velkých městech (nad 100 tis. obyvatel; 2019).</w:t>
      </w:r>
    </w:p>
    <w:p w14:paraId="53873AD9" w14:textId="0E557B50" w:rsidR="00A14B9B" w:rsidRPr="002A0D4F" w:rsidRDefault="00A14B9B" w:rsidP="0017247C">
      <w:pPr>
        <w:pStyle w:val="UZEINormaln"/>
        <w:rPr>
          <w:rFonts w:asciiTheme="majorHAnsi" w:hAnsiTheme="majorHAnsi"/>
          <w:i/>
          <w:sz w:val="18"/>
          <w:szCs w:val="18"/>
        </w:rPr>
      </w:pPr>
      <w:r w:rsidRPr="002A0D4F">
        <w:t xml:space="preserve">Dle odborného odhadu analytika </w:t>
      </w:r>
      <w:r w:rsidRPr="002A0D4F">
        <w:rPr>
          <w:color w:val="000000"/>
        </w:rPr>
        <w:t xml:space="preserve">NS MAS ČR dosahovalo zastoupení žen mezi podnikateli </w:t>
      </w:r>
      <w:r w:rsidR="00F301CA">
        <w:rPr>
          <w:color w:val="000000"/>
        </w:rPr>
        <w:t>–</w:t>
      </w:r>
      <w:r w:rsidRPr="002A0D4F">
        <w:rPr>
          <w:color w:val="000000"/>
        </w:rPr>
        <w:t xml:space="preserve"> fyzickými osobami v MAS 28 % (2020).</w:t>
      </w:r>
    </w:p>
    <w:p w14:paraId="05E97ADD" w14:textId="77777777" w:rsidR="00A14B9B" w:rsidRPr="002A0D4F" w:rsidRDefault="00A14B9B" w:rsidP="00A14B9B">
      <w:pPr>
        <w:rPr>
          <w:rFonts w:asciiTheme="majorHAnsi" w:hAnsiTheme="majorHAnsi"/>
          <w:i/>
          <w:sz w:val="18"/>
          <w:szCs w:val="18"/>
          <w:lang w:val="cs-CZ"/>
        </w:rPr>
      </w:pPr>
    </w:p>
    <w:p w14:paraId="691B3691" w14:textId="477993B1" w:rsidR="00A14B9B" w:rsidRPr="00B51BA1" w:rsidRDefault="00A14B9B" w:rsidP="00B51BA1">
      <w:pPr>
        <w:spacing w:after="160" w:line="259" w:lineRule="auto"/>
        <w:jc w:val="left"/>
        <w:rPr>
          <w:rFonts w:eastAsia="Times New Roman" w:cs="Arial"/>
          <w:b/>
          <w:bCs/>
          <w:szCs w:val="24"/>
          <w:lang w:val="cs-CZ" w:eastAsia="cs-CZ"/>
        </w:rPr>
      </w:pPr>
    </w:p>
    <w:sectPr w:rsidR="00A14B9B" w:rsidRPr="00B51BA1">
      <w:headerReference w:type="default" r:id="rId206"/>
      <w:footerReference w:type="default" r:id="rId207"/>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9A4F20B" w14:textId="77777777" w:rsidR="004857D9" w:rsidRDefault="004857D9" w:rsidP="00B87E14">
      <w:r>
        <w:separator/>
      </w:r>
    </w:p>
  </w:endnote>
  <w:endnote w:type="continuationSeparator" w:id="0">
    <w:p w14:paraId="0B43A1C4" w14:textId="77777777" w:rsidR="004857D9" w:rsidRDefault="004857D9" w:rsidP="00B87E14">
      <w:r>
        <w:continuationSeparator/>
      </w:r>
    </w:p>
  </w:endnote>
  <w:endnote w:type="continuationNotice" w:id="1">
    <w:p w14:paraId="1D51150A" w14:textId="77777777" w:rsidR="004857D9" w:rsidRDefault="004857D9"/>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Book Antiqua">
    <w:panose1 w:val="02040602050305030304"/>
    <w:charset w:val="EE"/>
    <w:family w:val="roman"/>
    <w:pitch w:val="variable"/>
    <w:sig w:usb0="00000287" w:usb1="00000000" w:usb2="00000000" w:usb3="00000000" w:csb0="0000009F" w:csb1="00000000"/>
  </w:font>
  <w:font w:name="Calibri">
    <w:panose1 w:val="020F0502020204030204"/>
    <w:charset w:val="EE"/>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EE"/>
    <w:family w:val="swiss"/>
    <w:pitch w:val="variable"/>
    <w:sig w:usb0="E4002EFF" w:usb1="C000247B" w:usb2="00000009" w:usb3="00000000" w:csb0="000001FF" w:csb1="00000000"/>
  </w:font>
  <w:font w:name="Segoe UI">
    <w:panose1 w:val="020B0502040204020203"/>
    <w:charset w:val="EE"/>
    <w:family w:val="swiss"/>
    <w:pitch w:val="variable"/>
    <w:sig w:usb0="E4002EFF" w:usb1="C000E47F" w:usb2="00000009" w:usb3="00000000" w:csb0="000001FF" w:csb1="00000000"/>
  </w:font>
  <w:font w:name="Yu Mincho">
    <w:altName w:val="游明朝"/>
    <w:charset w:val="80"/>
    <w:family w:val="roman"/>
    <w:pitch w:val="variable"/>
    <w:sig w:usb0="800002E7" w:usb1="2AC7FCFF" w:usb2="00000012" w:usb3="00000000" w:csb0="0002009F" w:csb1="00000000"/>
  </w:font>
  <w:font w:name="Roboto">
    <w:altName w:val="Times New Roman"/>
    <w:charset w:val="00"/>
    <w:family w:val="auto"/>
    <w:pitch w:val="variable"/>
    <w:sig w:usb0="E00002FF" w:usb1="5000205B" w:usb2="0000002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950241669"/>
      <w:docPartObj>
        <w:docPartGallery w:val="Page Numbers (Bottom of Page)"/>
        <w:docPartUnique/>
      </w:docPartObj>
    </w:sdtPr>
    <w:sdtEndPr/>
    <w:sdtContent>
      <w:p w14:paraId="6670FB55" w14:textId="0ECF303D" w:rsidR="004857D9" w:rsidRDefault="004857D9">
        <w:pPr>
          <w:pStyle w:val="Zpat"/>
          <w:jc w:val="center"/>
        </w:pPr>
        <w:r>
          <w:fldChar w:fldCharType="begin"/>
        </w:r>
        <w:r>
          <w:instrText>PAGE   \* MERGEFORMAT</w:instrText>
        </w:r>
        <w:r>
          <w:fldChar w:fldCharType="separate"/>
        </w:r>
        <w:r w:rsidR="00580A34" w:rsidRPr="00580A34">
          <w:rPr>
            <w:noProof/>
            <w:lang w:val="cs-CZ"/>
          </w:rPr>
          <w:t>30</w:t>
        </w:r>
        <w:r>
          <w:fldChar w:fldCharType="end"/>
        </w:r>
      </w:p>
    </w:sdtContent>
  </w:sdt>
  <w:p w14:paraId="1766D528" w14:textId="77777777" w:rsidR="004857D9" w:rsidRDefault="004857D9">
    <w:pPr>
      <w:pStyle w:val="Zp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630432E" w14:textId="77777777" w:rsidR="004857D9" w:rsidRDefault="004857D9" w:rsidP="00B87E14">
      <w:r>
        <w:separator/>
      </w:r>
    </w:p>
  </w:footnote>
  <w:footnote w:type="continuationSeparator" w:id="0">
    <w:p w14:paraId="682007F0" w14:textId="77777777" w:rsidR="004857D9" w:rsidRDefault="004857D9" w:rsidP="00B87E14">
      <w:r>
        <w:continuationSeparator/>
      </w:r>
    </w:p>
  </w:footnote>
  <w:footnote w:type="continuationNotice" w:id="1">
    <w:p w14:paraId="5DCC3FEC" w14:textId="77777777" w:rsidR="004857D9" w:rsidRDefault="004857D9"/>
  </w:footnote>
  <w:footnote w:id="2">
    <w:p w14:paraId="7312E268" w14:textId="77777777" w:rsidR="004857D9" w:rsidRPr="00FA55C9" w:rsidRDefault="004857D9" w:rsidP="00A14B9B">
      <w:pPr>
        <w:pStyle w:val="Normlnweb"/>
        <w:spacing w:before="0" w:beforeAutospacing="0" w:after="0" w:afterAutospacing="0"/>
        <w:rPr>
          <w:rFonts w:eastAsiaTheme="majorEastAsia"/>
          <w:i/>
          <w:iCs/>
          <w:sz w:val="18"/>
          <w:szCs w:val="18"/>
        </w:rPr>
      </w:pPr>
      <w:r w:rsidRPr="00FA55C9">
        <w:rPr>
          <w:rStyle w:val="Znakapoznpodarou"/>
          <w:rFonts w:eastAsiaTheme="majorEastAsia"/>
          <w:i/>
          <w:iCs/>
          <w:sz w:val="18"/>
          <w:szCs w:val="18"/>
        </w:rPr>
        <w:footnoteRef/>
      </w:r>
      <w:r w:rsidRPr="00FA55C9">
        <w:rPr>
          <w:rFonts w:eastAsiaTheme="majorEastAsia"/>
          <w:i/>
          <w:iCs/>
          <w:sz w:val="18"/>
          <w:szCs w:val="18"/>
        </w:rPr>
        <w:t xml:space="preserve"> </w:t>
      </w:r>
      <w:r w:rsidRPr="00FA55C9">
        <w:rPr>
          <w:rFonts w:eastAsiaTheme="majorEastAsia"/>
          <w:i/>
          <w:iCs/>
          <w:sz w:val="18"/>
          <w:szCs w:val="18"/>
          <w:lang w:eastAsia="en-US"/>
        </w:rPr>
        <w:t>The bioeconomy comprises those parts of the economy that use renewable biological resources from land and sea – such as crops, forests, fish, animals and micro-organisms – to produce food, materials and energy.</w:t>
      </w:r>
      <w:r w:rsidRPr="00FA55C9">
        <w:rPr>
          <w:rFonts w:eastAsiaTheme="majorEastAsia"/>
          <w:i/>
          <w:iCs/>
          <w:sz w:val="18"/>
          <w:szCs w:val="18"/>
        </w:rPr>
        <w:t xml:space="preserve"> </w:t>
      </w:r>
    </w:p>
    <w:p w14:paraId="3684A306" w14:textId="77777777" w:rsidR="004857D9" w:rsidRPr="00FA55C9" w:rsidRDefault="004857D9" w:rsidP="00A14B9B">
      <w:pPr>
        <w:pStyle w:val="Normlnweb"/>
        <w:spacing w:before="0" w:beforeAutospacing="0" w:after="0" w:afterAutospacing="0"/>
        <w:rPr>
          <w:rFonts w:eastAsiaTheme="majorEastAsia"/>
          <w:i/>
          <w:iCs/>
          <w:sz w:val="18"/>
          <w:szCs w:val="18"/>
          <w:lang w:eastAsia="en-US"/>
        </w:rPr>
      </w:pPr>
      <w:r w:rsidRPr="00FA55C9">
        <w:rPr>
          <w:rFonts w:eastAsiaTheme="majorEastAsia"/>
          <w:i/>
          <w:iCs/>
          <w:sz w:val="18"/>
          <w:szCs w:val="18"/>
          <w:lang w:eastAsia="en-US"/>
        </w:rPr>
        <w:t>The Bioeconomy clearly fits and contributes to these three strategic priorities:</w:t>
      </w:r>
    </w:p>
    <w:p w14:paraId="196EDEBF" w14:textId="77777777" w:rsidR="004857D9" w:rsidRPr="00FA55C9" w:rsidRDefault="004857D9" w:rsidP="00536527">
      <w:pPr>
        <w:numPr>
          <w:ilvl w:val="0"/>
          <w:numId w:val="11"/>
        </w:numPr>
        <w:jc w:val="left"/>
        <w:rPr>
          <w:rFonts w:eastAsiaTheme="majorEastAsia" w:cs="Times New Roman"/>
          <w:i/>
          <w:iCs/>
          <w:sz w:val="18"/>
          <w:szCs w:val="18"/>
          <w:lang w:val="cs-CZ"/>
        </w:rPr>
      </w:pPr>
      <w:r w:rsidRPr="00FA55C9">
        <w:rPr>
          <w:rFonts w:eastAsiaTheme="majorEastAsia" w:cs="Times New Roman"/>
          <w:i/>
          <w:iCs/>
          <w:sz w:val="18"/>
          <w:szCs w:val="18"/>
          <w:lang w:val="cs-CZ"/>
        </w:rPr>
        <w:t>it can help tackle grand challenges regarding food and energy that require an open innovation approach, with close collaboration among all stakeholders;</w:t>
      </w:r>
    </w:p>
    <w:p w14:paraId="4D63F664" w14:textId="77777777" w:rsidR="004857D9" w:rsidRPr="00FA55C9" w:rsidRDefault="004857D9" w:rsidP="00536527">
      <w:pPr>
        <w:numPr>
          <w:ilvl w:val="0"/>
          <w:numId w:val="11"/>
        </w:numPr>
        <w:jc w:val="left"/>
        <w:rPr>
          <w:rFonts w:eastAsiaTheme="majorEastAsia" w:cs="Times New Roman"/>
          <w:i/>
          <w:iCs/>
          <w:sz w:val="18"/>
          <w:szCs w:val="18"/>
          <w:lang w:val="cs-CZ"/>
        </w:rPr>
      </w:pPr>
      <w:r w:rsidRPr="00FA55C9">
        <w:rPr>
          <w:rFonts w:eastAsiaTheme="majorEastAsia" w:cs="Times New Roman"/>
          <w:i/>
          <w:iCs/>
          <w:sz w:val="18"/>
          <w:szCs w:val="18"/>
          <w:lang w:val="cs-CZ"/>
        </w:rPr>
        <w:t xml:space="preserve">it is open science as it promotes research across disciplines and borders; </w:t>
      </w:r>
    </w:p>
    <w:p w14:paraId="0EF02C3A" w14:textId="77777777" w:rsidR="004857D9" w:rsidRPr="00FA55C9" w:rsidRDefault="004857D9" w:rsidP="00536527">
      <w:pPr>
        <w:numPr>
          <w:ilvl w:val="0"/>
          <w:numId w:val="11"/>
        </w:numPr>
        <w:jc w:val="left"/>
        <w:rPr>
          <w:rFonts w:ascii="Arial" w:eastAsia="Arial" w:hAnsi="Arial" w:cs="Arial"/>
          <w:sz w:val="16"/>
          <w:szCs w:val="16"/>
          <w:lang w:val="cs-CZ"/>
        </w:rPr>
      </w:pPr>
      <w:r w:rsidRPr="00FA55C9">
        <w:rPr>
          <w:rFonts w:eastAsiaTheme="majorEastAsia" w:cs="Times New Roman"/>
          <w:i/>
          <w:iCs/>
          <w:sz w:val="18"/>
          <w:szCs w:val="18"/>
          <w:lang w:val="cs-CZ"/>
        </w:rPr>
        <w:t>it is open to the world because it promotes research across the EU and outside the EU borders and cooperation at a global scale to tackle global challenges.</w:t>
      </w:r>
    </w:p>
  </w:footnote>
  <w:footnote w:id="3">
    <w:p w14:paraId="2EDD7501" w14:textId="77777777" w:rsidR="004857D9" w:rsidRPr="00FA55C9" w:rsidRDefault="004857D9" w:rsidP="00A14B9B">
      <w:pPr>
        <w:pStyle w:val="Textpoznpodarou"/>
        <w:rPr>
          <w:i/>
          <w:iCs/>
          <w:sz w:val="18"/>
          <w:szCs w:val="18"/>
        </w:rPr>
      </w:pPr>
      <w:r w:rsidRPr="00FA55C9">
        <w:rPr>
          <w:rStyle w:val="Znakapoznpodarou"/>
          <w:i/>
          <w:iCs/>
          <w:sz w:val="18"/>
          <w:szCs w:val="18"/>
        </w:rPr>
        <w:footnoteRef/>
      </w:r>
      <w:r w:rsidRPr="00FA55C9">
        <w:rPr>
          <w:i/>
          <w:iCs/>
          <w:sz w:val="18"/>
          <w:szCs w:val="18"/>
        </w:rPr>
        <w:t xml:space="preserve"> CENIA (2020). Zpráva o životním prostředí České republiky. Praha: Ministerstvo životního prostředí ČR. Dostupné z: </w:t>
      </w:r>
      <w:hyperlink r:id="rId1" w:history="1">
        <w:r w:rsidRPr="00FA55C9">
          <w:rPr>
            <w:rStyle w:val="Hypertextovodkaz"/>
            <w:i/>
            <w:iCs/>
            <w:color w:val="auto"/>
            <w:sz w:val="18"/>
            <w:szCs w:val="18"/>
          </w:rPr>
          <w:t>https://www.cenia.cz/wp-content/uploads/2020/05/Zprava_o_ZP_CR_2019.pdf</w:t>
        </w:r>
      </w:hyperlink>
      <w:r w:rsidRPr="00FA55C9">
        <w:rPr>
          <w:i/>
          <w:iCs/>
          <w:sz w:val="18"/>
          <w:szCs w:val="18"/>
        </w:rPr>
        <w:t xml:space="preserve"> </w:t>
      </w:r>
    </w:p>
  </w:footnote>
  <w:footnote w:id="4">
    <w:p w14:paraId="00DE693B" w14:textId="77777777" w:rsidR="004857D9" w:rsidRPr="00FA55C9" w:rsidRDefault="004857D9" w:rsidP="00A14B9B">
      <w:pPr>
        <w:pStyle w:val="Textpoznpodarou"/>
        <w:rPr>
          <w:rFonts w:cstheme="minorHAnsi"/>
          <w:i/>
          <w:iCs/>
          <w:sz w:val="18"/>
          <w:szCs w:val="18"/>
        </w:rPr>
      </w:pPr>
      <w:r w:rsidRPr="00FA55C9">
        <w:rPr>
          <w:rStyle w:val="Znakapoznpodarou"/>
          <w:rFonts w:cstheme="minorHAnsi"/>
          <w:i/>
          <w:iCs/>
          <w:sz w:val="18"/>
          <w:szCs w:val="18"/>
        </w:rPr>
        <w:footnoteRef/>
      </w:r>
      <w:r w:rsidRPr="00FA55C9">
        <w:rPr>
          <w:rFonts w:cstheme="minorHAnsi"/>
          <w:i/>
          <w:iCs/>
          <w:sz w:val="18"/>
          <w:szCs w:val="18"/>
        </w:rPr>
        <w:t xml:space="preserve"> </w:t>
      </w:r>
      <w:hyperlink r:id="rId2" w:history="1">
        <w:r w:rsidRPr="00FA55C9">
          <w:rPr>
            <w:rStyle w:val="Hypertextovodkaz"/>
            <w:rFonts w:cstheme="minorHAnsi"/>
            <w:i/>
            <w:iCs/>
            <w:color w:val="auto"/>
            <w:sz w:val="18"/>
            <w:szCs w:val="18"/>
          </w:rPr>
          <w:t>https://www.uur.cz/images/5-publikacni-cinnost-a-knihovna/casopis/2012/2012-06/03_zemedelske.pdf</w:t>
        </w:r>
      </w:hyperlink>
      <w:r w:rsidRPr="00FA55C9">
        <w:rPr>
          <w:rFonts w:cstheme="minorHAnsi"/>
          <w:i/>
          <w:iCs/>
          <w:sz w:val="18"/>
          <w:szCs w:val="18"/>
        </w:rPr>
        <w:t>.</w:t>
      </w:r>
    </w:p>
  </w:footnote>
  <w:footnote w:id="5">
    <w:p w14:paraId="6F77A2F2" w14:textId="77777777" w:rsidR="004857D9" w:rsidRPr="00FA55C9" w:rsidRDefault="004857D9" w:rsidP="00A14B9B">
      <w:pPr>
        <w:pStyle w:val="Textpoznpodarou"/>
        <w:rPr>
          <w:rFonts w:cstheme="minorHAnsi"/>
          <w:i/>
          <w:iCs/>
          <w:sz w:val="18"/>
          <w:szCs w:val="18"/>
        </w:rPr>
      </w:pPr>
      <w:r w:rsidRPr="00FA55C9">
        <w:rPr>
          <w:rStyle w:val="Znakapoznpodarou"/>
          <w:rFonts w:cstheme="minorHAnsi"/>
          <w:i/>
          <w:iCs/>
          <w:sz w:val="18"/>
          <w:szCs w:val="18"/>
        </w:rPr>
        <w:footnoteRef/>
      </w:r>
      <w:r w:rsidRPr="00FA55C9">
        <w:rPr>
          <w:rFonts w:cstheme="minorHAnsi"/>
          <w:i/>
          <w:iCs/>
          <w:sz w:val="18"/>
          <w:szCs w:val="18"/>
        </w:rPr>
        <w:t xml:space="preserve"> </w:t>
      </w:r>
      <w:hyperlink r:id="rId3" w:history="1">
        <w:r w:rsidRPr="00FA55C9">
          <w:rPr>
            <w:rStyle w:val="Hypertextovodkaz"/>
            <w:rFonts w:cstheme="minorHAnsi"/>
            <w:i/>
            <w:iCs/>
            <w:color w:val="auto"/>
            <w:sz w:val="18"/>
            <w:szCs w:val="18"/>
          </w:rPr>
          <w:t>https://www.czechinvest.org/cz/Sluzby-pro-municipality/Nemovitosti-pro-podnikatelske-ucely/Brownfieldy</w:t>
        </w:r>
      </w:hyperlink>
      <w:r w:rsidRPr="00FA55C9">
        <w:rPr>
          <w:rStyle w:val="Hypertextovodkaz"/>
          <w:rFonts w:cstheme="minorHAnsi"/>
          <w:i/>
          <w:iCs/>
          <w:color w:val="auto"/>
          <w:sz w:val="18"/>
          <w:szCs w:val="18"/>
        </w:rPr>
        <w:t xml:space="preserve"> (září, 2018).</w:t>
      </w:r>
    </w:p>
  </w:footnote>
  <w:footnote w:id="6">
    <w:p w14:paraId="5BB305B1" w14:textId="77777777" w:rsidR="004857D9" w:rsidRPr="00FA55C9" w:rsidRDefault="004857D9" w:rsidP="00A14B9B">
      <w:pPr>
        <w:pStyle w:val="Textpoznpodarou"/>
      </w:pPr>
      <w:r w:rsidRPr="00FA55C9">
        <w:rPr>
          <w:rStyle w:val="Znakapoznpodarou"/>
          <w:i/>
          <w:iCs/>
          <w:sz w:val="18"/>
          <w:szCs w:val="18"/>
        </w:rPr>
        <w:footnoteRef/>
      </w:r>
      <w:r w:rsidRPr="00FA55C9">
        <w:rPr>
          <w:i/>
          <w:iCs/>
          <w:sz w:val="18"/>
          <w:szCs w:val="18"/>
        </w:rPr>
        <w:t xml:space="preserve"> http://www.brownfieldy.eu/statistiky/</w:t>
      </w:r>
    </w:p>
  </w:footnote>
  <w:footnote w:id="7">
    <w:p w14:paraId="7DEE2C57" w14:textId="77777777" w:rsidR="004857D9" w:rsidRPr="00FA55C9" w:rsidRDefault="004857D9" w:rsidP="00A14B9B">
      <w:pPr>
        <w:pStyle w:val="Textpoznpodarou"/>
        <w:rPr>
          <w:rFonts w:asciiTheme="majorHAnsi" w:eastAsiaTheme="majorEastAsia" w:hAnsiTheme="majorHAnsi" w:cstheme="majorBidi"/>
          <w:i/>
          <w:iCs/>
          <w:sz w:val="18"/>
          <w:szCs w:val="18"/>
        </w:rPr>
      </w:pPr>
      <w:r w:rsidRPr="00FA55C9">
        <w:rPr>
          <w:rStyle w:val="Znakapoznpodarou"/>
          <w:rFonts w:eastAsiaTheme="majorEastAsia" w:cstheme="minorHAnsi"/>
          <w:i/>
          <w:iCs/>
          <w:sz w:val="18"/>
          <w:szCs w:val="18"/>
        </w:rPr>
        <w:footnoteRef/>
      </w:r>
      <w:r w:rsidRPr="00FA55C9">
        <w:rPr>
          <w:rFonts w:eastAsiaTheme="majorEastAsia" w:cstheme="minorHAnsi"/>
          <w:i/>
          <w:iCs/>
          <w:sz w:val="18"/>
          <w:szCs w:val="18"/>
        </w:rPr>
        <w:t xml:space="preserve"> Čada, K. 2015. Analýza sociálně vyloučených lokalit ČR. GAC a spol.</w:t>
      </w:r>
    </w:p>
  </w:footnote>
  <w:footnote w:id="8">
    <w:p w14:paraId="35280C07" w14:textId="77777777" w:rsidR="004857D9" w:rsidRPr="00FA55C9" w:rsidRDefault="004857D9" w:rsidP="00A14B9B">
      <w:pPr>
        <w:pStyle w:val="Textpoznpodarou"/>
      </w:pPr>
      <w:r w:rsidRPr="00FA55C9">
        <w:rPr>
          <w:rStyle w:val="Znakapoznpodarou"/>
          <w:i/>
          <w:iCs/>
          <w:sz w:val="18"/>
          <w:szCs w:val="18"/>
        </w:rPr>
        <w:footnoteRef/>
      </w:r>
      <w:r w:rsidRPr="00FA55C9">
        <w:rPr>
          <w:i/>
          <w:iCs/>
          <w:sz w:val="18"/>
          <w:szCs w:val="18"/>
        </w:rPr>
        <w:t xml:space="preserve"> Jsou místa, ve kterých dochází ke koncentraci více jak 20 osob, které jsou závislé na pobírání příspěvku na živobytí, a které obývají fyzicky či symbolicky ohraničený prostor (GAC spol. s.r.o. 2015).</w:t>
      </w:r>
    </w:p>
  </w:footnote>
  <w:footnote w:id="9">
    <w:p w14:paraId="5C623D49" w14:textId="77777777" w:rsidR="004857D9" w:rsidRPr="00FA55C9" w:rsidRDefault="004857D9" w:rsidP="00A14B9B">
      <w:pPr>
        <w:pStyle w:val="Textpoznpodarou"/>
        <w:rPr>
          <w:i/>
          <w:iCs/>
          <w:sz w:val="18"/>
          <w:szCs w:val="18"/>
        </w:rPr>
      </w:pPr>
      <w:r w:rsidRPr="00FA55C9">
        <w:rPr>
          <w:rStyle w:val="Znakapoznpodarou"/>
          <w:i/>
          <w:iCs/>
          <w:sz w:val="18"/>
          <w:szCs w:val="18"/>
        </w:rPr>
        <w:footnoteRef/>
      </w:r>
      <w:r w:rsidRPr="00FA55C9">
        <w:rPr>
          <w:i/>
          <w:iCs/>
          <w:sz w:val="18"/>
          <w:szCs w:val="18"/>
        </w:rPr>
        <w:t xml:space="preserve"> Strategie komunitně vedeného místního rozvoje.</w:t>
      </w:r>
    </w:p>
  </w:footnote>
  <w:footnote w:id="10">
    <w:p w14:paraId="3FD60411" w14:textId="77777777" w:rsidR="004857D9" w:rsidRPr="00FA55C9" w:rsidRDefault="004857D9" w:rsidP="00A14B9B">
      <w:pPr>
        <w:pStyle w:val="Textpoznpodarou"/>
        <w:rPr>
          <w:rFonts w:ascii="Arial" w:eastAsia="Arial" w:hAnsi="Arial" w:cs="Arial"/>
          <w:i/>
          <w:iCs/>
          <w:sz w:val="18"/>
          <w:szCs w:val="18"/>
        </w:rPr>
      </w:pPr>
      <w:r w:rsidRPr="00FA55C9">
        <w:rPr>
          <w:rStyle w:val="Znakapoznpodarou"/>
          <w:i/>
          <w:iCs/>
          <w:sz w:val="18"/>
          <w:szCs w:val="18"/>
        </w:rPr>
        <w:footnoteRef/>
      </w:r>
      <w:r w:rsidRPr="00FA55C9">
        <w:rPr>
          <w:i/>
          <w:iCs/>
          <w:sz w:val="18"/>
          <w:szCs w:val="18"/>
        </w:rPr>
        <w:t xml:space="preserve"> Seznam vybraných MAS je dostupný na www.opzp.cz.</w:t>
      </w:r>
    </w:p>
  </w:footnote>
  <w:footnote w:id="11">
    <w:p w14:paraId="1066E542" w14:textId="77777777" w:rsidR="004857D9" w:rsidRPr="00FA55C9" w:rsidRDefault="004857D9" w:rsidP="00A14B9B">
      <w:pPr>
        <w:pStyle w:val="Textpoznpodarou"/>
        <w:rPr>
          <w:rFonts w:ascii="Arial" w:eastAsia="Arial" w:hAnsi="Arial" w:cs="Arial"/>
          <w:i/>
          <w:iCs/>
          <w:sz w:val="18"/>
          <w:szCs w:val="18"/>
        </w:rPr>
      </w:pPr>
      <w:r w:rsidRPr="00FA55C9">
        <w:rPr>
          <w:rStyle w:val="Znakapoznpodarou"/>
          <w:i/>
          <w:iCs/>
          <w:sz w:val="18"/>
          <w:szCs w:val="18"/>
        </w:rPr>
        <w:footnoteRef/>
      </w:r>
      <w:r w:rsidRPr="00FA55C9">
        <w:rPr>
          <w:i/>
          <w:iCs/>
          <w:sz w:val="18"/>
          <w:szCs w:val="18"/>
        </w:rPr>
        <w:t xml:space="preserve"> MMR: „Metodické stanovisko ministryně pro místní rozvoj č. 1 k Metodickému pokynu pro</w:t>
      </w:r>
    </w:p>
    <w:p w14:paraId="5675C9BA" w14:textId="77777777" w:rsidR="004857D9" w:rsidRPr="00FA55C9" w:rsidRDefault="004857D9" w:rsidP="00A14B9B">
      <w:pPr>
        <w:pStyle w:val="Textpoznpodarou"/>
        <w:rPr>
          <w:rFonts w:ascii="Arial" w:eastAsia="Arial" w:hAnsi="Arial" w:cs="Arial"/>
          <w:sz w:val="18"/>
          <w:szCs w:val="18"/>
        </w:rPr>
      </w:pPr>
      <w:r w:rsidRPr="00FA55C9">
        <w:rPr>
          <w:i/>
          <w:iCs/>
          <w:sz w:val="18"/>
          <w:szCs w:val="18"/>
        </w:rPr>
        <w:t>využití integrovaných nástrojů v programovém období 2014–2020 k integrovanému nástroji Komunitně vedeného místního rozvoje (CLLD)</w:t>
      </w:r>
    </w:p>
  </w:footnote>
  <w:footnote w:id="12">
    <w:p w14:paraId="7FC8B99C" w14:textId="77777777" w:rsidR="004857D9" w:rsidRPr="00AE4D0B" w:rsidRDefault="004857D9" w:rsidP="00A14B9B">
      <w:pPr>
        <w:pStyle w:val="Textpoznpodarou"/>
        <w:rPr>
          <w:i/>
          <w:iCs/>
          <w:sz w:val="18"/>
          <w:szCs w:val="18"/>
        </w:rPr>
      </w:pPr>
      <w:r w:rsidRPr="00AE4D0B">
        <w:rPr>
          <w:rStyle w:val="Znakapoznpodarou"/>
          <w:i/>
          <w:iCs/>
          <w:sz w:val="18"/>
          <w:szCs w:val="18"/>
        </w:rPr>
        <w:footnoteRef/>
      </w:r>
      <w:r w:rsidRPr="00AE4D0B">
        <w:rPr>
          <w:i/>
          <w:iCs/>
          <w:sz w:val="18"/>
          <w:szCs w:val="18"/>
        </w:rPr>
        <w:t xml:space="preserve"> Nová typologie regionů NUTS 3: </w:t>
      </w:r>
      <w:hyperlink r:id="rId4" w:history="1">
        <w:r w:rsidRPr="00AE4D0B">
          <w:rPr>
            <w:rStyle w:val="Hypertextovodkaz"/>
            <w:i/>
            <w:iCs/>
            <w:sz w:val="18"/>
            <w:szCs w:val="18"/>
          </w:rPr>
          <w:t>http://www.dvs.cz/clanek.asp?id=6485296</w:t>
        </w:r>
      </w:hyperlink>
    </w:p>
  </w:footnote>
  <w:footnote w:id="13">
    <w:p w14:paraId="26F3D5C1" w14:textId="058648DA" w:rsidR="004857D9" w:rsidRPr="00FA55C9" w:rsidRDefault="004857D9">
      <w:pPr>
        <w:pStyle w:val="Textpoznpodarou"/>
        <w:rPr>
          <w:i/>
          <w:iCs/>
          <w:sz w:val="18"/>
          <w:szCs w:val="18"/>
        </w:rPr>
      </w:pPr>
      <w:r w:rsidRPr="00FA55C9">
        <w:rPr>
          <w:rStyle w:val="Znakapoznpodarou"/>
          <w:i/>
          <w:iCs/>
          <w:sz w:val="18"/>
          <w:szCs w:val="18"/>
        </w:rPr>
        <w:footnoteRef/>
      </w:r>
      <w:r w:rsidRPr="00FA55C9">
        <w:rPr>
          <w:i/>
          <w:iCs/>
          <w:sz w:val="18"/>
          <w:szCs w:val="18"/>
        </w:rPr>
        <w:t xml:space="preserve"> </w:t>
      </w:r>
      <w:r w:rsidRPr="00FA55C9">
        <w:rPr>
          <w:i/>
          <w:iCs/>
          <w:color w:val="000000" w:themeColor="text1"/>
          <w:sz w:val="18"/>
          <w:szCs w:val="18"/>
        </w:rPr>
        <w:t>Vycházíme z rozložení obcí v kategoriích dle populační velikosti k 1. 1. 2020, počet obyvatel v jednotlivých velikostních skupinách obcí srovnáváme se stavem obyvatelstva těchto obcí k 1. 1. 2019.</w:t>
      </w:r>
    </w:p>
  </w:footnote>
  <w:footnote w:id="14">
    <w:p w14:paraId="52859C18" w14:textId="0A6B9FA6" w:rsidR="004857D9" w:rsidRPr="00BB7657" w:rsidRDefault="004857D9" w:rsidP="00BA1913">
      <w:pPr>
        <w:pStyle w:val="Textpoznpodarou"/>
        <w:spacing w:before="60" w:after="60" w:line="276" w:lineRule="auto"/>
        <w:rPr>
          <w:rStyle w:val="Znakapoznpodarou"/>
          <w:i/>
          <w:iCs/>
          <w:sz w:val="18"/>
          <w:szCs w:val="18"/>
          <w:vertAlign w:val="baseline"/>
        </w:rPr>
      </w:pPr>
      <w:r w:rsidRPr="00BB7657">
        <w:rPr>
          <w:rStyle w:val="Znakapoznpodarou"/>
          <w:i/>
          <w:iCs/>
          <w:sz w:val="18"/>
          <w:szCs w:val="18"/>
          <w:vertAlign w:val="baseline"/>
        </w:rPr>
        <w:footnoteRef/>
      </w:r>
      <w:r>
        <w:rPr>
          <w:i/>
          <w:iCs/>
          <w:sz w:val="18"/>
          <w:szCs w:val="18"/>
        </w:rPr>
        <w:t xml:space="preserve"> </w:t>
      </w:r>
      <w:r w:rsidRPr="00BB7657">
        <w:rPr>
          <w:rStyle w:val="Znakapoznpodarou"/>
          <w:i/>
          <w:iCs/>
          <w:sz w:val="18"/>
          <w:szCs w:val="18"/>
          <w:vertAlign w:val="baseline"/>
        </w:rPr>
        <w:t>Nejaktuálnější dostupné údaje.</w:t>
      </w:r>
    </w:p>
  </w:footnote>
  <w:footnote w:id="15">
    <w:p w14:paraId="6AC21976" w14:textId="4D27839E" w:rsidR="004857D9" w:rsidRPr="00BB7657" w:rsidRDefault="004857D9" w:rsidP="00BA1913">
      <w:pPr>
        <w:pStyle w:val="Textpoznpodarou"/>
        <w:spacing w:before="60" w:after="60" w:line="276" w:lineRule="auto"/>
        <w:rPr>
          <w:rStyle w:val="Znakapoznpodarou"/>
          <w:i/>
          <w:iCs/>
          <w:sz w:val="18"/>
          <w:szCs w:val="18"/>
          <w:vertAlign w:val="baseline"/>
        </w:rPr>
      </w:pPr>
      <w:r w:rsidRPr="00BB7657">
        <w:rPr>
          <w:rStyle w:val="Znakapoznpodarou"/>
          <w:i/>
          <w:iCs/>
          <w:sz w:val="18"/>
          <w:szCs w:val="18"/>
          <w:vertAlign w:val="baseline"/>
        </w:rPr>
        <w:footnoteRef/>
      </w:r>
      <w:r>
        <w:rPr>
          <w:rStyle w:val="Znakapoznpodarou"/>
          <w:i/>
          <w:iCs/>
          <w:sz w:val="18"/>
          <w:szCs w:val="18"/>
          <w:vertAlign w:val="baseline"/>
        </w:rPr>
        <w:t xml:space="preserve"> </w:t>
      </w:r>
      <w:r w:rsidRPr="00BB7657">
        <w:rPr>
          <w:rStyle w:val="Znakapoznpodarou"/>
          <w:i/>
          <w:iCs/>
          <w:sz w:val="18"/>
          <w:szCs w:val="18"/>
          <w:vertAlign w:val="baseline"/>
        </w:rPr>
        <w:t>Včetně bez udání počtu zaměstnanců (takové podniky v registru převažují, jejich podíl se v průměru za ČR blíží 60 %).</w:t>
      </w:r>
    </w:p>
  </w:footnote>
  <w:footnote w:id="16">
    <w:p w14:paraId="3357AE6B" w14:textId="5E2512B9" w:rsidR="004857D9" w:rsidRPr="00BB7657" w:rsidRDefault="004857D9" w:rsidP="00BA1913">
      <w:pPr>
        <w:pStyle w:val="Textpoznpodarou"/>
        <w:spacing w:before="60" w:after="60"/>
        <w:rPr>
          <w:rStyle w:val="Znakapoznpodarou"/>
          <w:i/>
          <w:iCs/>
          <w:sz w:val="18"/>
          <w:szCs w:val="18"/>
          <w:vertAlign w:val="baseline"/>
        </w:rPr>
      </w:pPr>
      <w:r w:rsidRPr="00BB7657">
        <w:rPr>
          <w:rStyle w:val="Znakapoznpodarou"/>
          <w:i/>
          <w:iCs/>
          <w:sz w:val="18"/>
          <w:szCs w:val="18"/>
          <w:vertAlign w:val="baseline"/>
        </w:rPr>
        <w:footnoteRef/>
      </w:r>
      <w:r>
        <w:rPr>
          <w:rStyle w:val="Znakapoznpodarou"/>
          <w:i/>
          <w:iCs/>
          <w:sz w:val="18"/>
          <w:szCs w:val="18"/>
          <w:vertAlign w:val="baseline"/>
        </w:rPr>
        <w:t xml:space="preserve"> </w:t>
      </w:r>
      <w:r w:rsidRPr="00BB7657">
        <w:rPr>
          <w:rStyle w:val="Znakapoznpodarou"/>
          <w:i/>
          <w:iCs/>
          <w:sz w:val="18"/>
          <w:szCs w:val="18"/>
          <w:vertAlign w:val="baseline"/>
        </w:rPr>
        <w:t>Na základě doporučení Komise č. 2003/361/ES, o definici mikropodniků, malých a středních podniků, je mikropodnik definován jako podnik, který zaměstnává méně než 10 zaměstnanců a jehož roční obrat a/nebo roční celková účetní rozvaha nepřekračují 2 mil. €.</w:t>
      </w:r>
    </w:p>
  </w:footnote>
  <w:footnote w:id="17">
    <w:p w14:paraId="45CAFD96" w14:textId="3608E6C6" w:rsidR="004857D9" w:rsidRPr="00BB7657" w:rsidRDefault="004857D9" w:rsidP="00BA1913">
      <w:pPr>
        <w:pStyle w:val="Textpoznpodarou"/>
        <w:spacing w:before="60" w:after="60" w:line="276" w:lineRule="auto"/>
        <w:rPr>
          <w:rStyle w:val="Znakapoznpodarou"/>
          <w:i/>
          <w:iCs/>
          <w:sz w:val="18"/>
          <w:szCs w:val="18"/>
          <w:vertAlign w:val="baseline"/>
        </w:rPr>
      </w:pPr>
      <w:r w:rsidRPr="00BB7657">
        <w:rPr>
          <w:rStyle w:val="Znakapoznpodarou"/>
          <w:i/>
          <w:iCs/>
          <w:sz w:val="18"/>
          <w:szCs w:val="18"/>
          <w:vertAlign w:val="baseline"/>
        </w:rPr>
        <w:footnoteRef/>
      </w:r>
      <w:r>
        <w:rPr>
          <w:rStyle w:val="Znakapoznpodarou"/>
          <w:i/>
          <w:iCs/>
          <w:sz w:val="18"/>
          <w:szCs w:val="18"/>
          <w:vertAlign w:val="baseline"/>
        </w:rPr>
        <w:t xml:space="preserve"> </w:t>
      </w:r>
      <w:r w:rsidRPr="00BB7657">
        <w:rPr>
          <w:rStyle w:val="Znakapoznpodarou"/>
          <w:i/>
          <w:iCs/>
          <w:sz w:val="18"/>
          <w:szCs w:val="18"/>
          <w:vertAlign w:val="baseline"/>
        </w:rPr>
        <w:t>Typologie regionů Evropské komise vymezuje na úrovni NUTS 3 regiony převážně městské, smíšené a převážně venkovské. Mezi převážně venkovské jsou řazeny kraje Jihočeský, Olomoucký, Pardubický, Plzeňský, Vysočina a Zlínský, převážně městským regionem je vedle hl. města Prahy i Středočeský kraj. Ostatní kraje spadají do kategorie regionů smíšených.</w:t>
      </w:r>
    </w:p>
  </w:footnote>
  <w:footnote w:id="18">
    <w:p w14:paraId="176F3E9C" w14:textId="60D7CD3D" w:rsidR="004857D9" w:rsidRPr="00FA55C9" w:rsidRDefault="004857D9" w:rsidP="00BA1913">
      <w:pPr>
        <w:pStyle w:val="Textpoznpodarou"/>
        <w:spacing w:before="60" w:after="60" w:line="276" w:lineRule="auto"/>
        <w:rPr>
          <w:rStyle w:val="Znakapoznpodarou"/>
          <w:i/>
        </w:rPr>
      </w:pPr>
      <w:r w:rsidRPr="00BB7657">
        <w:rPr>
          <w:rStyle w:val="Znakapoznpodarou"/>
          <w:i/>
          <w:iCs/>
          <w:sz w:val="18"/>
          <w:szCs w:val="18"/>
          <w:vertAlign w:val="baseline"/>
        </w:rPr>
        <w:footnoteRef/>
      </w:r>
      <w:r>
        <w:rPr>
          <w:rStyle w:val="Znakapoznpodarou"/>
          <w:i/>
          <w:iCs/>
          <w:sz w:val="18"/>
          <w:szCs w:val="18"/>
          <w:vertAlign w:val="baseline"/>
        </w:rPr>
        <w:t xml:space="preserve"> </w:t>
      </w:r>
      <w:r w:rsidRPr="00BB7657">
        <w:rPr>
          <w:rStyle w:val="Znakapoznpodarou"/>
          <w:i/>
          <w:iCs/>
          <w:sz w:val="18"/>
          <w:szCs w:val="18"/>
          <w:vertAlign w:val="baseline"/>
        </w:rPr>
        <w:t>Na základě definice malých a středních podniků, která platí od 1. 1. 2005 (§ 2, odst. (2) písm. a), b) a c) Obchodního zákoníku) je malý podnik definován jako podnik s 10–50 zaměstnanci, ročním obratem v rozmezí 2–10 mil. € nebo aktivy ve výši 2–10 mil. €.</w:t>
      </w:r>
    </w:p>
  </w:footnote>
  <w:footnote w:id="19">
    <w:p w14:paraId="21C1955B" w14:textId="77777777" w:rsidR="004857D9" w:rsidRPr="00FA55C9" w:rsidRDefault="004857D9" w:rsidP="00A14B9B">
      <w:pPr>
        <w:pStyle w:val="Textpoznpodarou"/>
        <w:rPr>
          <w:i/>
          <w:iCs/>
          <w:sz w:val="18"/>
          <w:szCs w:val="18"/>
        </w:rPr>
      </w:pPr>
      <w:r w:rsidRPr="00FA55C9">
        <w:rPr>
          <w:rStyle w:val="Znakapoznpodarou"/>
          <w:i/>
          <w:iCs/>
          <w:sz w:val="18"/>
          <w:szCs w:val="18"/>
        </w:rPr>
        <w:footnoteRef/>
      </w:r>
      <w:r w:rsidRPr="00FA55C9">
        <w:rPr>
          <w:i/>
          <w:iCs/>
          <w:sz w:val="18"/>
          <w:szCs w:val="18"/>
        </w:rPr>
        <w:t xml:space="preserve"> Za venkov počítáme regiony venkovské nebo přechodné.</w:t>
      </w:r>
    </w:p>
  </w:footnote>
  <w:footnote w:id="20">
    <w:p w14:paraId="1A8B7DC2" w14:textId="77777777" w:rsidR="004857D9" w:rsidRPr="00FA55C9" w:rsidRDefault="004857D9" w:rsidP="00A14B9B">
      <w:pPr>
        <w:rPr>
          <w:rFonts w:cstheme="minorHAnsi"/>
          <w:i/>
          <w:iCs/>
          <w:sz w:val="18"/>
          <w:szCs w:val="18"/>
          <w:lang w:val="cs-CZ"/>
        </w:rPr>
      </w:pPr>
      <w:r w:rsidRPr="00FA55C9">
        <w:rPr>
          <w:rStyle w:val="Znakapoznpodarou"/>
          <w:rFonts w:cstheme="minorHAnsi"/>
          <w:i/>
          <w:iCs/>
          <w:sz w:val="18"/>
          <w:szCs w:val="18"/>
          <w:lang w:val="cs-CZ"/>
        </w:rPr>
        <w:footnoteRef/>
      </w:r>
      <w:r w:rsidRPr="00FA55C9">
        <w:rPr>
          <w:rFonts w:cstheme="minorHAnsi"/>
          <w:i/>
          <w:iCs/>
          <w:sz w:val="18"/>
          <w:szCs w:val="18"/>
          <w:lang w:val="cs-CZ"/>
        </w:rPr>
        <w:t xml:space="preserve"> Podle definice malých a středních podniků z úředního věstníku EU se: „Podnikem rozumí každý subjekt vykonávající hospodářskou činnost, bez ohledu na sovou právní formu. K těmto subjektů patří zejména osoby samostatně výdělečně činné a rodinné podniky vykonávající řemeslné či jiné činnosti a obchodní společnosti nebo sdružení, která pravidelně vykonávají hospodářskou činnost.“</w:t>
      </w:r>
    </w:p>
  </w:footnote>
  <w:footnote w:id="21">
    <w:p w14:paraId="746429B4" w14:textId="77777777" w:rsidR="004857D9" w:rsidRPr="007A3E11" w:rsidRDefault="004857D9" w:rsidP="00A14B9B">
      <w:pPr>
        <w:pStyle w:val="Textpoznpodarou"/>
        <w:rPr>
          <w:i/>
          <w:iCs/>
          <w:sz w:val="18"/>
          <w:szCs w:val="18"/>
        </w:rPr>
      </w:pPr>
      <w:r w:rsidRPr="007A3E11">
        <w:rPr>
          <w:rStyle w:val="FootnoteCharacters"/>
          <w:i/>
          <w:iCs/>
          <w:sz w:val="18"/>
          <w:szCs w:val="18"/>
        </w:rPr>
        <w:footnoteRef/>
      </w:r>
      <w:r w:rsidRPr="007A3E11">
        <w:rPr>
          <w:i/>
          <w:iCs/>
          <w:sz w:val="18"/>
          <w:szCs w:val="18"/>
        </w:rPr>
        <w:t xml:space="preserve"> Ukazatel počtu pracovních míst se vypočítá podle vzorce: zaměstnané osoby – vyjíždějící osoby za prací (mimo obec) + dojíždějící osoby za prací (mimo obec). Tento ukazatel lze spočítat pro různé regionální úrovně i odvětvové struktury. Z něho vychází i nově zkonstruovaný ukazatel míry zaměstnatelnosti vyjadřující kolik pracovních míst připadá na jednoho ekonomicky aktivního obyvatele.</w:t>
      </w:r>
    </w:p>
  </w:footnote>
  <w:footnote w:id="22">
    <w:p w14:paraId="25B7FC05" w14:textId="20126983" w:rsidR="004857D9" w:rsidRPr="002A06D2" w:rsidRDefault="004857D9">
      <w:pPr>
        <w:pStyle w:val="Textpoznpodarou"/>
        <w:rPr>
          <w:i/>
          <w:iCs/>
          <w:sz w:val="18"/>
          <w:szCs w:val="18"/>
        </w:rPr>
      </w:pPr>
      <w:r w:rsidRPr="002A06D2">
        <w:rPr>
          <w:rStyle w:val="Znakapoznpodarou"/>
          <w:i/>
          <w:iCs/>
          <w:sz w:val="18"/>
          <w:szCs w:val="18"/>
        </w:rPr>
        <w:footnoteRef/>
      </w:r>
      <w:r w:rsidRPr="002A06D2">
        <w:rPr>
          <w:i/>
          <w:iCs/>
          <w:sz w:val="18"/>
          <w:szCs w:val="18"/>
        </w:rPr>
        <w:t xml:space="preserve"> Podíl nezaměstnaných osob vyjadřuje podíl dosažitelných uchazečů o zaměstnání ve věku 15–64 let ze všech obyvatel ve stejném věku. Počet dosažitelných uchazečů o práci dle měsíčně aktualizovaných údajů MPSV je pro jednotlivé obce vztažen k počtu jejich obyvatel ve věku 15-64 let k 1.1. daného roku. Metodicky se výpočet PNO ve městech a na venkově mírně odlišuje od výpočtu měsíčních průměrů PNO v ČR (data o obyvatelstvu jsou aktualizována pouze 1 x ročně, u části nezaměstnaných chybí údaje o jejich trvalém bydlišti). Za venkovské jsou považovány obce do 2000 obyvatel (vždy k 1.1. kalendářního roku dle Malého lexikonu obcí ČR).</w:t>
      </w:r>
    </w:p>
  </w:footnote>
  <w:footnote w:id="23">
    <w:p w14:paraId="1CF4B88F" w14:textId="7018151A" w:rsidR="004857D9" w:rsidRPr="00182CC0" w:rsidRDefault="004857D9">
      <w:pPr>
        <w:pStyle w:val="Textpoznpodarou"/>
        <w:rPr>
          <w:sz w:val="18"/>
          <w:szCs w:val="18"/>
        </w:rPr>
      </w:pPr>
      <w:r w:rsidRPr="002A06D2">
        <w:rPr>
          <w:rStyle w:val="Znakapoznpodarou"/>
          <w:i/>
          <w:iCs/>
          <w:sz w:val="18"/>
          <w:szCs w:val="18"/>
          <w:vertAlign w:val="baseline"/>
        </w:rPr>
        <w:footnoteRef/>
      </w:r>
      <w:r w:rsidRPr="002A06D2">
        <w:rPr>
          <w:i/>
          <w:iCs/>
          <w:sz w:val="18"/>
          <w:szCs w:val="18"/>
        </w:rPr>
        <w:t xml:space="preserve"> </w:t>
      </w:r>
      <w:r w:rsidRPr="002A06D2">
        <w:rPr>
          <w:i/>
          <w:iCs/>
          <w:color w:val="000000" w:themeColor="text1"/>
          <w:sz w:val="18"/>
          <w:szCs w:val="18"/>
        </w:rPr>
        <w:t>Ve zbylých případech není uchazeč o práci</w:t>
      </w:r>
      <w:r w:rsidRPr="002A06D2">
        <w:rPr>
          <w:rFonts w:ascii="Calibri" w:hAnsi="Calibri" w:cs="Calibri"/>
          <w:i/>
          <w:iCs/>
          <w:sz w:val="18"/>
          <w:szCs w:val="18"/>
        </w:rPr>
        <w:t xml:space="preserve"> </w:t>
      </w:r>
      <w:r w:rsidRPr="002A06D2">
        <w:rPr>
          <w:i/>
          <w:iCs/>
          <w:color w:val="000000" w:themeColor="text1"/>
          <w:sz w:val="18"/>
          <w:szCs w:val="18"/>
        </w:rPr>
        <w:t>nebo VPM územně specifikováno, ve statistice MPSV se jedná o uchazeče, resp. VPM z jiných okresů.</w:t>
      </w:r>
    </w:p>
  </w:footnote>
  <w:footnote w:id="24">
    <w:p w14:paraId="41A0E15E" w14:textId="77777777" w:rsidR="004857D9" w:rsidRPr="00FA253C" w:rsidRDefault="004857D9" w:rsidP="00A14B9B">
      <w:pPr>
        <w:rPr>
          <w:rFonts w:eastAsiaTheme="majorEastAsia" w:cs="Times New Roman"/>
          <w:i/>
          <w:iCs/>
          <w:sz w:val="18"/>
          <w:szCs w:val="18"/>
          <w:lang w:val="cs-CZ"/>
        </w:rPr>
      </w:pPr>
      <w:r w:rsidRPr="00FA253C">
        <w:rPr>
          <w:rStyle w:val="Znakapoznpodarou"/>
          <w:rFonts w:eastAsiaTheme="majorEastAsia"/>
          <w:i/>
          <w:iCs/>
          <w:sz w:val="18"/>
          <w:szCs w:val="18"/>
          <w:lang w:val="cs-CZ"/>
        </w:rPr>
        <w:footnoteRef/>
      </w:r>
      <w:r w:rsidRPr="00FA253C">
        <w:rPr>
          <w:rFonts w:eastAsiaTheme="majorEastAsia" w:cs="Times New Roman"/>
          <w:i/>
          <w:iCs/>
          <w:sz w:val="18"/>
          <w:szCs w:val="18"/>
          <w:lang w:val="cs-CZ"/>
        </w:rPr>
        <w:t xml:space="preserve"> Souhrnný ukazatel rizika chudoby nebo sociálního vyloučení je složen ze tří níže uvedených ukazatelů, každá osoba žijící v domácnosti, která spadá pod vymezenou hranici, byť v jediném z uvedených ukazatelů, je označena za ohroženou chudobou nebo sociálním vyloučením.</w:t>
      </w:r>
    </w:p>
    <w:p w14:paraId="53F29A1B" w14:textId="77777777" w:rsidR="004857D9" w:rsidRPr="00FA55C9" w:rsidRDefault="004857D9" w:rsidP="00A14B9B">
      <w:pPr>
        <w:pStyle w:val="Textpoznpodarou"/>
      </w:pPr>
    </w:p>
  </w:footnote>
  <w:footnote w:id="25">
    <w:p w14:paraId="1D0ED82D" w14:textId="77777777" w:rsidR="004857D9" w:rsidRPr="00FA253C" w:rsidRDefault="004857D9" w:rsidP="00A14B9B">
      <w:pPr>
        <w:rPr>
          <w:rFonts w:eastAsiaTheme="majorEastAsia" w:cs="Times New Roman"/>
          <w:i/>
          <w:iCs/>
          <w:sz w:val="18"/>
          <w:szCs w:val="18"/>
          <w:lang w:val="cs-CZ"/>
        </w:rPr>
      </w:pPr>
      <w:r w:rsidRPr="00FA253C">
        <w:rPr>
          <w:rStyle w:val="Znakapoznpodarou"/>
          <w:rFonts w:eastAsiaTheme="majorEastAsia"/>
          <w:i/>
          <w:iCs/>
          <w:sz w:val="18"/>
          <w:szCs w:val="18"/>
          <w:lang w:val="cs-CZ"/>
        </w:rPr>
        <w:footnoteRef/>
      </w:r>
      <w:r w:rsidRPr="00FA253C">
        <w:rPr>
          <w:rFonts w:eastAsiaTheme="majorEastAsia" w:cs="Times New Roman"/>
          <w:i/>
          <w:iCs/>
          <w:sz w:val="18"/>
          <w:szCs w:val="18"/>
          <w:lang w:val="cs-CZ"/>
        </w:rPr>
        <w:t xml:space="preserve"> Ohrožení příjmovou chudobou vychází z přepočtu různě velkých domácností na jeden společný základ tzv. ekvivalentních jednotek, kdy každé osobě v domácnosti je přiřazena váha; hranice ohrožení příjmovou chudobou je pak stanovena na 60 % národního mediánu přepočteného příjmu; Jedná se o relativní ukazatel. </w:t>
      </w:r>
    </w:p>
    <w:p w14:paraId="5D87EC12" w14:textId="77777777" w:rsidR="004857D9" w:rsidRPr="00FA55C9" w:rsidRDefault="004857D9" w:rsidP="00A14B9B">
      <w:pPr>
        <w:pStyle w:val="Textpoznpodarou"/>
      </w:pPr>
    </w:p>
  </w:footnote>
  <w:footnote w:id="26">
    <w:p w14:paraId="42785172" w14:textId="0FEDFE69" w:rsidR="004857D9" w:rsidRPr="00974937" w:rsidRDefault="004857D9" w:rsidP="00A14B9B">
      <w:pPr>
        <w:ind w:left="284" w:hanging="284"/>
        <w:rPr>
          <w:rFonts w:eastAsiaTheme="majorEastAsia" w:cs="Times New Roman"/>
          <w:i/>
          <w:iCs/>
          <w:sz w:val="18"/>
          <w:szCs w:val="18"/>
          <w:lang w:val="cs-CZ"/>
        </w:rPr>
      </w:pPr>
      <w:r w:rsidRPr="00974937">
        <w:rPr>
          <w:rStyle w:val="Znakapoznpodarou"/>
          <w:rFonts w:eastAsiaTheme="majorEastAsia"/>
          <w:i/>
          <w:iCs/>
          <w:sz w:val="18"/>
          <w:szCs w:val="18"/>
          <w:vertAlign w:val="baseline"/>
          <w:lang w:val="cs-CZ"/>
        </w:rPr>
        <w:footnoteRef/>
      </w:r>
      <w:r w:rsidRPr="00974937">
        <w:rPr>
          <w:rFonts w:eastAsiaTheme="majorEastAsia" w:cs="Times New Roman"/>
          <w:i/>
          <w:iCs/>
          <w:sz w:val="18"/>
          <w:szCs w:val="18"/>
          <w:lang w:val="cs-CZ"/>
        </w:rPr>
        <w:t xml:space="preserve"> Míra materiální deprivace představuje podíl osob žijících v domácnostech, jež čelí nedostatku a nemohou si z finančních důvodů dovolit některé položky. </w:t>
      </w:r>
      <w:r w:rsidRPr="00974937">
        <w:rPr>
          <w:rFonts w:cs="Times New Roman"/>
          <w:i/>
          <w:iCs/>
          <w:sz w:val="18"/>
          <w:szCs w:val="18"/>
          <w:lang w:val="cs-CZ"/>
        </w:rPr>
        <w:t>Míra materiální deprivace byla doposud stanovena na základě nemožnosti si finančně dovolit čtyři z devíti stanovených položek. Vzhledem k tomu, že sledování některých položek ztratilo význam (televizor, pračka, telefon). Indikátor byl na základě nové metodiky aktualizován a rozšířen o materiální i sociální prvky života (volnočasová aktivita, kontakt s přáteli, útrata pro sebe). Nyní je sledovaná míra materiální a sociální deprivace, která udává podíl osob, jejichž domácnost si nemůže dovolit pět a více ze seznamu třinácti uvedených položek (</w:t>
      </w:r>
      <w:r>
        <w:rPr>
          <w:rFonts w:cs="Times New Roman"/>
          <w:i/>
          <w:iCs/>
          <w:sz w:val="18"/>
          <w:szCs w:val="18"/>
          <w:lang w:val="cs-CZ"/>
        </w:rPr>
        <w:fldChar w:fldCharType="begin"/>
      </w:r>
      <w:r>
        <w:rPr>
          <w:rFonts w:cs="Times New Roman"/>
          <w:i/>
          <w:iCs/>
          <w:sz w:val="18"/>
          <w:szCs w:val="18"/>
          <w:lang w:val="cs-CZ"/>
        </w:rPr>
        <w:instrText xml:space="preserve"> REF _Ref81775215 \r \h </w:instrText>
      </w:r>
      <w:r>
        <w:rPr>
          <w:rFonts w:cs="Times New Roman"/>
          <w:i/>
          <w:iCs/>
          <w:sz w:val="18"/>
          <w:szCs w:val="18"/>
          <w:lang w:val="cs-CZ"/>
        </w:rPr>
      </w:r>
      <w:r>
        <w:rPr>
          <w:rFonts w:cs="Times New Roman"/>
          <w:i/>
          <w:iCs/>
          <w:sz w:val="18"/>
          <w:szCs w:val="18"/>
          <w:lang w:val="cs-CZ"/>
        </w:rPr>
        <w:fldChar w:fldCharType="separate"/>
      </w:r>
      <w:r>
        <w:rPr>
          <w:rFonts w:cs="Times New Roman"/>
          <w:i/>
          <w:iCs/>
          <w:sz w:val="18"/>
          <w:szCs w:val="18"/>
          <w:lang w:val="cs-CZ"/>
        </w:rPr>
        <w:t>Tabulka 49</w:t>
      </w:r>
      <w:r>
        <w:rPr>
          <w:rFonts w:cs="Times New Roman"/>
          <w:i/>
          <w:iCs/>
          <w:sz w:val="18"/>
          <w:szCs w:val="18"/>
          <w:lang w:val="cs-CZ"/>
        </w:rPr>
        <w:fldChar w:fldCharType="end"/>
      </w:r>
      <w:r w:rsidRPr="00974937">
        <w:rPr>
          <w:rFonts w:cs="Times New Roman"/>
          <w:i/>
          <w:iCs/>
          <w:sz w:val="18"/>
          <w:szCs w:val="18"/>
          <w:lang w:val="cs-CZ"/>
        </w:rPr>
        <w:t xml:space="preserve">), jehož hodnota se oproti předchozímu roku snížila z 5,3 % na 5,0 %. </w:t>
      </w:r>
    </w:p>
    <w:p w14:paraId="1CD95344" w14:textId="77777777" w:rsidR="004857D9" w:rsidRPr="00FA55C9" w:rsidRDefault="004857D9" w:rsidP="00A14B9B">
      <w:pPr>
        <w:pStyle w:val="Textpoznpodarou"/>
      </w:pPr>
    </w:p>
  </w:footnote>
  <w:footnote w:id="27">
    <w:p w14:paraId="585C0ACE" w14:textId="77777777" w:rsidR="004857D9" w:rsidRPr="00892CF2" w:rsidRDefault="004857D9" w:rsidP="00A14B9B">
      <w:pPr>
        <w:pStyle w:val="Textpoznpodarou"/>
        <w:rPr>
          <w:i/>
          <w:iCs/>
          <w:sz w:val="18"/>
          <w:szCs w:val="18"/>
        </w:rPr>
      </w:pPr>
      <w:r w:rsidRPr="00892CF2">
        <w:rPr>
          <w:rStyle w:val="Znakapoznpodarou"/>
          <w:i/>
          <w:iCs/>
          <w:sz w:val="18"/>
          <w:szCs w:val="18"/>
        </w:rPr>
        <w:footnoteRef/>
      </w:r>
      <w:r w:rsidRPr="00892CF2">
        <w:rPr>
          <w:i/>
          <w:iCs/>
          <w:sz w:val="18"/>
          <w:szCs w:val="18"/>
        </w:rPr>
        <w:t xml:space="preserve"> Aktualizovaný a rozšířený seznam pro hodnocení míry materiální a sociální deprivace podle nové metodiky Eurostatu (ČSÚ, 2020) </w:t>
      </w:r>
    </w:p>
  </w:footnote>
  <w:footnote w:id="28">
    <w:p w14:paraId="5E175607" w14:textId="77777777" w:rsidR="004857D9" w:rsidRPr="00892CF2" w:rsidRDefault="004857D9" w:rsidP="00A14B9B">
      <w:pPr>
        <w:rPr>
          <w:rFonts w:eastAsiaTheme="majorEastAsia" w:cs="Times New Roman"/>
          <w:i/>
          <w:iCs/>
          <w:sz w:val="18"/>
          <w:szCs w:val="18"/>
          <w:lang w:val="cs-CZ"/>
        </w:rPr>
      </w:pPr>
      <w:r w:rsidRPr="00892CF2">
        <w:rPr>
          <w:rStyle w:val="Znakapoznpodarou"/>
          <w:rFonts w:eastAsiaTheme="majorEastAsia"/>
          <w:i/>
          <w:iCs/>
          <w:sz w:val="18"/>
          <w:szCs w:val="18"/>
          <w:lang w:val="cs-CZ"/>
        </w:rPr>
        <w:footnoteRef/>
      </w:r>
      <w:r w:rsidRPr="00892CF2">
        <w:rPr>
          <w:rFonts w:eastAsiaTheme="majorEastAsia" w:cs="Times New Roman"/>
          <w:i/>
          <w:iCs/>
          <w:sz w:val="18"/>
          <w:szCs w:val="18"/>
          <w:lang w:val="cs-CZ"/>
        </w:rPr>
        <w:t xml:space="preserve"> Míra nízké pracovní intenzity je ekonomická aktivita členů domácnosti v jednotlivých měsících roku odpovídající období ročního příjmu, osoby 18–59 let, počet měsíců, kdy tito členové domácnosti pracovali, je vydělen počtem měsíců, kdy pracovat mohli </w:t>
      </w:r>
    </w:p>
    <w:p w14:paraId="404C388A" w14:textId="77777777" w:rsidR="004857D9" w:rsidRPr="00FA55C9" w:rsidRDefault="004857D9" w:rsidP="00A14B9B">
      <w:pPr>
        <w:pStyle w:val="Textpoznpodarou"/>
      </w:pPr>
    </w:p>
  </w:footnote>
  <w:footnote w:id="29">
    <w:p w14:paraId="5792FC09" w14:textId="2C98D3BE" w:rsidR="004857D9" w:rsidRPr="00DD7845" w:rsidRDefault="004857D9">
      <w:pPr>
        <w:pStyle w:val="Textpoznpodarou"/>
        <w:rPr>
          <w:i/>
          <w:iCs/>
          <w:sz w:val="18"/>
          <w:szCs w:val="18"/>
        </w:rPr>
      </w:pPr>
      <w:r w:rsidRPr="00DD7845">
        <w:rPr>
          <w:rStyle w:val="Znakapoznpodarou"/>
          <w:i/>
          <w:iCs/>
          <w:sz w:val="18"/>
          <w:szCs w:val="18"/>
        </w:rPr>
        <w:footnoteRef/>
      </w:r>
      <w:r w:rsidRPr="00DD7845">
        <w:rPr>
          <w:i/>
          <w:iCs/>
          <w:sz w:val="18"/>
          <w:szCs w:val="18"/>
        </w:rPr>
        <w:t xml:space="preserve"> LTE (zkratka z anglického 3GPP Long Term Evolution) je technologie určená pro vysokorychlostní internet v mobilních sítích. Formálně jde o technologii spadající do standardu 3G. V České republice jsou důležitá LTE pásma 1, 3, 7, 8 a 20 (800, 900, 1 800, 2 100 a 2 600 MHz).</w:t>
      </w:r>
    </w:p>
  </w:footnote>
  <w:footnote w:id="30">
    <w:p w14:paraId="4721D27C" w14:textId="77777777" w:rsidR="004857D9" w:rsidRPr="00DD6940" w:rsidRDefault="004857D9" w:rsidP="00A14B9B">
      <w:pPr>
        <w:pStyle w:val="Textpoznpodarou"/>
        <w:rPr>
          <w:i/>
          <w:iCs/>
          <w:sz w:val="18"/>
          <w:szCs w:val="18"/>
        </w:rPr>
      </w:pPr>
      <w:r w:rsidRPr="00DD6940">
        <w:rPr>
          <w:rStyle w:val="Znakapoznpodarou"/>
          <w:i/>
          <w:iCs/>
          <w:sz w:val="18"/>
          <w:szCs w:val="18"/>
        </w:rPr>
        <w:footnoteRef/>
      </w:r>
      <w:r w:rsidRPr="00DD6940">
        <w:rPr>
          <w:i/>
          <w:iCs/>
          <w:sz w:val="18"/>
          <w:szCs w:val="18"/>
        </w:rPr>
        <w:t xml:space="preserve"> Délka dopočtena z poskytnutých dat, kde byla u jednotlivých cest uvedena délka obvodu polygonu polní cesty. </w:t>
      </w:r>
    </w:p>
  </w:footnote>
  <w:footnote w:id="31">
    <w:p w14:paraId="7794BC68" w14:textId="77777777" w:rsidR="004857D9" w:rsidRPr="00FA55C9" w:rsidRDefault="004857D9" w:rsidP="00A14B9B">
      <w:pPr>
        <w:pStyle w:val="Textpoznpodarou"/>
      </w:pPr>
      <w:r w:rsidRPr="00DD6940">
        <w:rPr>
          <w:rStyle w:val="Znakapoznpodarou"/>
          <w:i/>
          <w:iCs/>
          <w:sz w:val="18"/>
          <w:szCs w:val="18"/>
        </w:rPr>
        <w:footnoteRef/>
      </w:r>
      <w:r w:rsidRPr="00DD6940">
        <w:rPr>
          <w:i/>
          <w:iCs/>
          <w:sz w:val="18"/>
          <w:szCs w:val="18"/>
        </w:rPr>
        <w:t xml:space="preserve"> K uvedenému kódu katastrálního území nebylo možno dohledat kraj, ke kterému náleží.</w:t>
      </w:r>
      <w:r w:rsidRPr="00FA55C9">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088D09" w14:textId="0B4B433D" w:rsidR="004857D9" w:rsidRPr="00B87E14" w:rsidRDefault="004857D9" w:rsidP="00B87E14">
    <w:pPr>
      <w:pStyle w:val="Zhlav"/>
      <w:tabs>
        <w:tab w:val="clear" w:pos="4513"/>
      </w:tabs>
      <w:rPr>
        <w:lang w:val="cs-CZ"/>
      </w:rPr>
    </w:pPr>
    <w:r>
      <w:rPr>
        <w:lang w:val="cs-CZ"/>
      </w:rP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7A52DB"/>
    <w:multiLevelType w:val="hybridMultilevel"/>
    <w:tmpl w:val="4ED2591A"/>
    <w:lvl w:ilvl="0" w:tplc="04050001">
      <w:start w:val="1"/>
      <w:numFmt w:val="bullet"/>
      <w:lvlText w:val=""/>
      <w:lvlJc w:val="left"/>
      <w:pPr>
        <w:ind w:left="1287" w:hanging="360"/>
      </w:pPr>
      <w:rPr>
        <w:rFonts w:ascii="Symbol" w:hAnsi="Symbol" w:hint="default"/>
      </w:rPr>
    </w:lvl>
    <w:lvl w:ilvl="1" w:tplc="04050003" w:tentative="1">
      <w:start w:val="1"/>
      <w:numFmt w:val="bullet"/>
      <w:lvlText w:val="o"/>
      <w:lvlJc w:val="left"/>
      <w:pPr>
        <w:ind w:left="2007" w:hanging="360"/>
      </w:pPr>
      <w:rPr>
        <w:rFonts w:ascii="Courier New" w:hAnsi="Courier New" w:cs="Courier New" w:hint="default"/>
      </w:rPr>
    </w:lvl>
    <w:lvl w:ilvl="2" w:tplc="04050005" w:tentative="1">
      <w:start w:val="1"/>
      <w:numFmt w:val="bullet"/>
      <w:lvlText w:val=""/>
      <w:lvlJc w:val="left"/>
      <w:pPr>
        <w:ind w:left="2727" w:hanging="360"/>
      </w:pPr>
      <w:rPr>
        <w:rFonts w:ascii="Wingdings" w:hAnsi="Wingdings" w:hint="default"/>
      </w:rPr>
    </w:lvl>
    <w:lvl w:ilvl="3" w:tplc="04050001" w:tentative="1">
      <w:start w:val="1"/>
      <w:numFmt w:val="bullet"/>
      <w:lvlText w:val=""/>
      <w:lvlJc w:val="left"/>
      <w:pPr>
        <w:ind w:left="3447" w:hanging="360"/>
      </w:pPr>
      <w:rPr>
        <w:rFonts w:ascii="Symbol" w:hAnsi="Symbol" w:hint="default"/>
      </w:rPr>
    </w:lvl>
    <w:lvl w:ilvl="4" w:tplc="04050003" w:tentative="1">
      <w:start w:val="1"/>
      <w:numFmt w:val="bullet"/>
      <w:lvlText w:val="o"/>
      <w:lvlJc w:val="left"/>
      <w:pPr>
        <w:ind w:left="4167" w:hanging="360"/>
      </w:pPr>
      <w:rPr>
        <w:rFonts w:ascii="Courier New" w:hAnsi="Courier New" w:cs="Courier New" w:hint="default"/>
      </w:rPr>
    </w:lvl>
    <w:lvl w:ilvl="5" w:tplc="04050005" w:tentative="1">
      <w:start w:val="1"/>
      <w:numFmt w:val="bullet"/>
      <w:lvlText w:val=""/>
      <w:lvlJc w:val="left"/>
      <w:pPr>
        <w:ind w:left="4887" w:hanging="360"/>
      </w:pPr>
      <w:rPr>
        <w:rFonts w:ascii="Wingdings" w:hAnsi="Wingdings" w:hint="default"/>
      </w:rPr>
    </w:lvl>
    <w:lvl w:ilvl="6" w:tplc="04050001" w:tentative="1">
      <w:start w:val="1"/>
      <w:numFmt w:val="bullet"/>
      <w:lvlText w:val=""/>
      <w:lvlJc w:val="left"/>
      <w:pPr>
        <w:ind w:left="5607" w:hanging="360"/>
      </w:pPr>
      <w:rPr>
        <w:rFonts w:ascii="Symbol" w:hAnsi="Symbol" w:hint="default"/>
      </w:rPr>
    </w:lvl>
    <w:lvl w:ilvl="7" w:tplc="04050003" w:tentative="1">
      <w:start w:val="1"/>
      <w:numFmt w:val="bullet"/>
      <w:lvlText w:val="o"/>
      <w:lvlJc w:val="left"/>
      <w:pPr>
        <w:ind w:left="6327" w:hanging="360"/>
      </w:pPr>
      <w:rPr>
        <w:rFonts w:ascii="Courier New" w:hAnsi="Courier New" w:cs="Courier New" w:hint="default"/>
      </w:rPr>
    </w:lvl>
    <w:lvl w:ilvl="8" w:tplc="04050005" w:tentative="1">
      <w:start w:val="1"/>
      <w:numFmt w:val="bullet"/>
      <w:lvlText w:val=""/>
      <w:lvlJc w:val="left"/>
      <w:pPr>
        <w:ind w:left="7047" w:hanging="360"/>
      </w:pPr>
      <w:rPr>
        <w:rFonts w:ascii="Wingdings" w:hAnsi="Wingdings" w:hint="default"/>
      </w:rPr>
    </w:lvl>
  </w:abstractNum>
  <w:abstractNum w:abstractNumId="1" w15:restartNumberingAfterBreak="0">
    <w:nsid w:val="02EA6F89"/>
    <w:multiLevelType w:val="hybridMultilevel"/>
    <w:tmpl w:val="41FCE5B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 w15:restartNumberingAfterBreak="0">
    <w:nsid w:val="04416D7A"/>
    <w:multiLevelType w:val="hybridMultilevel"/>
    <w:tmpl w:val="5DD4225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 w15:restartNumberingAfterBreak="0">
    <w:nsid w:val="05676EB5"/>
    <w:multiLevelType w:val="hybridMultilevel"/>
    <w:tmpl w:val="737611F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 w15:restartNumberingAfterBreak="0">
    <w:nsid w:val="070A4932"/>
    <w:multiLevelType w:val="hybridMultilevel"/>
    <w:tmpl w:val="DCD20F06"/>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5" w15:restartNumberingAfterBreak="0">
    <w:nsid w:val="0811328E"/>
    <w:multiLevelType w:val="hybridMultilevel"/>
    <w:tmpl w:val="54A6C0C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 w15:restartNumberingAfterBreak="0">
    <w:nsid w:val="0A214351"/>
    <w:multiLevelType w:val="multilevel"/>
    <w:tmpl w:val="6A42E2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0A6B6241"/>
    <w:multiLevelType w:val="hybridMultilevel"/>
    <w:tmpl w:val="34BCA11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 w15:restartNumberingAfterBreak="0">
    <w:nsid w:val="0CD90BF5"/>
    <w:multiLevelType w:val="hybridMultilevel"/>
    <w:tmpl w:val="C442D43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9" w15:restartNumberingAfterBreak="0">
    <w:nsid w:val="0EE11219"/>
    <w:multiLevelType w:val="hybridMultilevel"/>
    <w:tmpl w:val="1334F39E"/>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10" w15:restartNumberingAfterBreak="0">
    <w:nsid w:val="0EE3444A"/>
    <w:multiLevelType w:val="hybridMultilevel"/>
    <w:tmpl w:val="77F69B1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1" w15:restartNumberingAfterBreak="0">
    <w:nsid w:val="0F5676B5"/>
    <w:multiLevelType w:val="hybridMultilevel"/>
    <w:tmpl w:val="ED0EC324"/>
    <w:lvl w:ilvl="0" w:tplc="CC427364">
      <w:start w:val="1"/>
      <w:numFmt w:val="decimal"/>
      <w:pStyle w:val="UZEINadpis3st"/>
      <w:lvlText w:val="1.1.%1"/>
      <w:lvlJc w:val="left"/>
      <w:pPr>
        <w:ind w:left="1287" w:hanging="360"/>
      </w:pPr>
      <w:rPr>
        <w:rFonts w:hint="default"/>
        <w:color w:val="auto"/>
        <w:sz w:val="24"/>
        <w:u w:val="none" w:color="FFFFFF" w:themeColor="background1"/>
      </w:rPr>
    </w:lvl>
    <w:lvl w:ilvl="1" w:tplc="04050019" w:tentative="1">
      <w:start w:val="1"/>
      <w:numFmt w:val="lowerLetter"/>
      <w:lvlText w:val="%2."/>
      <w:lvlJc w:val="left"/>
      <w:pPr>
        <w:ind w:left="2007" w:hanging="360"/>
      </w:pPr>
    </w:lvl>
    <w:lvl w:ilvl="2" w:tplc="0405001B" w:tentative="1">
      <w:start w:val="1"/>
      <w:numFmt w:val="lowerRoman"/>
      <w:lvlText w:val="%3."/>
      <w:lvlJc w:val="right"/>
      <w:pPr>
        <w:ind w:left="2727" w:hanging="180"/>
      </w:pPr>
    </w:lvl>
    <w:lvl w:ilvl="3" w:tplc="0405000F" w:tentative="1">
      <w:start w:val="1"/>
      <w:numFmt w:val="decimal"/>
      <w:lvlText w:val="%4."/>
      <w:lvlJc w:val="left"/>
      <w:pPr>
        <w:ind w:left="3447" w:hanging="360"/>
      </w:pPr>
    </w:lvl>
    <w:lvl w:ilvl="4" w:tplc="04050019" w:tentative="1">
      <w:start w:val="1"/>
      <w:numFmt w:val="lowerLetter"/>
      <w:lvlText w:val="%5."/>
      <w:lvlJc w:val="left"/>
      <w:pPr>
        <w:ind w:left="4167" w:hanging="360"/>
      </w:pPr>
    </w:lvl>
    <w:lvl w:ilvl="5" w:tplc="0405001B" w:tentative="1">
      <w:start w:val="1"/>
      <w:numFmt w:val="lowerRoman"/>
      <w:lvlText w:val="%6."/>
      <w:lvlJc w:val="right"/>
      <w:pPr>
        <w:ind w:left="4887" w:hanging="180"/>
      </w:pPr>
    </w:lvl>
    <w:lvl w:ilvl="6" w:tplc="0405000F" w:tentative="1">
      <w:start w:val="1"/>
      <w:numFmt w:val="decimal"/>
      <w:lvlText w:val="%7."/>
      <w:lvlJc w:val="left"/>
      <w:pPr>
        <w:ind w:left="5607" w:hanging="360"/>
      </w:pPr>
    </w:lvl>
    <w:lvl w:ilvl="7" w:tplc="04050019" w:tentative="1">
      <w:start w:val="1"/>
      <w:numFmt w:val="lowerLetter"/>
      <w:lvlText w:val="%8."/>
      <w:lvlJc w:val="left"/>
      <w:pPr>
        <w:ind w:left="6327" w:hanging="360"/>
      </w:pPr>
    </w:lvl>
    <w:lvl w:ilvl="8" w:tplc="0405001B" w:tentative="1">
      <w:start w:val="1"/>
      <w:numFmt w:val="lowerRoman"/>
      <w:lvlText w:val="%9."/>
      <w:lvlJc w:val="right"/>
      <w:pPr>
        <w:ind w:left="7047" w:hanging="180"/>
      </w:pPr>
    </w:lvl>
  </w:abstractNum>
  <w:abstractNum w:abstractNumId="12" w15:restartNumberingAfterBreak="0">
    <w:nsid w:val="103D2E37"/>
    <w:multiLevelType w:val="multilevel"/>
    <w:tmpl w:val="73D42682"/>
    <w:lvl w:ilvl="0">
      <w:start w:val="1"/>
      <w:numFmt w:val="decimal"/>
      <w:lvlText w:val="%1."/>
      <w:lvlJc w:val="left"/>
      <w:pPr>
        <w:ind w:left="4613" w:hanging="360"/>
      </w:pPr>
      <w:rPr>
        <w:rFonts w:ascii="Arial" w:hAnsi="Arial" w:cs="Arial" w:hint="default"/>
        <w:b/>
        <w:sz w:val="28"/>
        <w:szCs w:val="28"/>
      </w:rPr>
    </w:lvl>
    <w:lvl w:ilvl="1">
      <w:start w:val="1"/>
      <w:numFmt w:val="decimal"/>
      <w:lvlText w:val="%1.%2."/>
      <w:lvlJc w:val="left"/>
      <w:pPr>
        <w:ind w:left="1440" w:hanging="720"/>
      </w:pPr>
    </w:lvl>
    <w:lvl w:ilvl="2">
      <w:start w:val="1"/>
      <w:numFmt w:val="decimal"/>
      <w:lvlText w:val="%1.%2.%3."/>
      <w:lvlJc w:val="left"/>
      <w:pPr>
        <w:ind w:left="1800" w:hanging="720"/>
      </w:pPr>
    </w:lvl>
    <w:lvl w:ilvl="3">
      <w:start w:val="1"/>
      <w:numFmt w:val="decimal"/>
      <w:lvlText w:val="%1.%2.%3.%4."/>
      <w:lvlJc w:val="left"/>
      <w:pPr>
        <w:ind w:left="2520" w:hanging="1080"/>
      </w:pPr>
    </w:lvl>
    <w:lvl w:ilvl="4">
      <w:start w:val="1"/>
      <w:numFmt w:val="decimal"/>
      <w:lvlText w:val="%1.%2.%3.%4.%5."/>
      <w:lvlJc w:val="left"/>
      <w:pPr>
        <w:ind w:left="2880" w:hanging="1080"/>
      </w:pPr>
    </w:lvl>
    <w:lvl w:ilvl="5">
      <w:start w:val="1"/>
      <w:numFmt w:val="decimal"/>
      <w:lvlText w:val="%1.%2.%3.%4.%5.%6."/>
      <w:lvlJc w:val="left"/>
      <w:pPr>
        <w:ind w:left="3600" w:hanging="1440"/>
      </w:pPr>
    </w:lvl>
    <w:lvl w:ilvl="6">
      <w:start w:val="1"/>
      <w:numFmt w:val="decimal"/>
      <w:lvlText w:val="%1.%2.%3.%4.%5.%6.%7."/>
      <w:lvlJc w:val="left"/>
      <w:pPr>
        <w:ind w:left="3960" w:hanging="1440"/>
      </w:pPr>
    </w:lvl>
    <w:lvl w:ilvl="7">
      <w:start w:val="1"/>
      <w:numFmt w:val="decimal"/>
      <w:lvlText w:val="%1.%2.%3.%4.%5.%6.%7.%8."/>
      <w:lvlJc w:val="left"/>
      <w:pPr>
        <w:ind w:left="4680" w:hanging="1800"/>
      </w:pPr>
    </w:lvl>
    <w:lvl w:ilvl="8">
      <w:start w:val="1"/>
      <w:numFmt w:val="decimal"/>
      <w:lvlText w:val="%1.%2.%3.%4.%5.%6.%7.%8.%9."/>
      <w:lvlJc w:val="left"/>
      <w:pPr>
        <w:ind w:left="5040" w:hanging="1800"/>
      </w:pPr>
    </w:lvl>
  </w:abstractNum>
  <w:abstractNum w:abstractNumId="13" w15:restartNumberingAfterBreak="0">
    <w:nsid w:val="155B7289"/>
    <w:multiLevelType w:val="hybridMultilevel"/>
    <w:tmpl w:val="38F6C73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4" w15:restartNumberingAfterBreak="0">
    <w:nsid w:val="19866BF1"/>
    <w:multiLevelType w:val="hybridMultilevel"/>
    <w:tmpl w:val="A190A8CC"/>
    <w:lvl w:ilvl="0" w:tplc="875C6630">
      <w:start w:val="1"/>
      <w:numFmt w:val="lowerLetter"/>
      <w:lvlText w:val="%1)"/>
      <w:lvlJc w:val="left"/>
      <w:pPr>
        <w:ind w:left="785" w:hanging="360"/>
      </w:pPr>
      <w:rPr>
        <w:rFonts w:hint="default"/>
      </w:rPr>
    </w:lvl>
    <w:lvl w:ilvl="1" w:tplc="04050019" w:tentative="1">
      <w:start w:val="1"/>
      <w:numFmt w:val="lowerLetter"/>
      <w:lvlText w:val="%2."/>
      <w:lvlJc w:val="left"/>
      <w:pPr>
        <w:ind w:left="1505" w:hanging="360"/>
      </w:pPr>
    </w:lvl>
    <w:lvl w:ilvl="2" w:tplc="0405001B" w:tentative="1">
      <w:start w:val="1"/>
      <w:numFmt w:val="lowerRoman"/>
      <w:lvlText w:val="%3."/>
      <w:lvlJc w:val="right"/>
      <w:pPr>
        <w:ind w:left="2225" w:hanging="180"/>
      </w:pPr>
    </w:lvl>
    <w:lvl w:ilvl="3" w:tplc="0405000F" w:tentative="1">
      <w:start w:val="1"/>
      <w:numFmt w:val="decimal"/>
      <w:lvlText w:val="%4."/>
      <w:lvlJc w:val="left"/>
      <w:pPr>
        <w:ind w:left="2945" w:hanging="360"/>
      </w:pPr>
    </w:lvl>
    <w:lvl w:ilvl="4" w:tplc="04050019" w:tentative="1">
      <w:start w:val="1"/>
      <w:numFmt w:val="lowerLetter"/>
      <w:lvlText w:val="%5."/>
      <w:lvlJc w:val="left"/>
      <w:pPr>
        <w:ind w:left="3665" w:hanging="360"/>
      </w:pPr>
    </w:lvl>
    <w:lvl w:ilvl="5" w:tplc="0405001B" w:tentative="1">
      <w:start w:val="1"/>
      <w:numFmt w:val="lowerRoman"/>
      <w:lvlText w:val="%6."/>
      <w:lvlJc w:val="right"/>
      <w:pPr>
        <w:ind w:left="4385" w:hanging="180"/>
      </w:pPr>
    </w:lvl>
    <w:lvl w:ilvl="6" w:tplc="0405000F" w:tentative="1">
      <w:start w:val="1"/>
      <w:numFmt w:val="decimal"/>
      <w:lvlText w:val="%7."/>
      <w:lvlJc w:val="left"/>
      <w:pPr>
        <w:ind w:left="5105" w:hanging="360"/>
      </w:pPr>
    </w:lvl>
    <w:lvl w:ilvl="7" w:tplc="04050019" w:tentative="1">
      <w:start w:val="1"/>
      <w:numFmt w:val="lowerLetter"/>
      <w:lvlText w:val="%8."/>
      <w:lvlJc w:val="left"/>
      <w:pPr>
        <w:ind w:left="5825" w:hanging="360"/>
      </w:pPr>
    </w:lvl>
    <w:lvl w:ilvl="8" w:tplc="0405001B" w:tentative="1">
      <w:start w:val="1"/>
      <w:numFmt w:val="lowerRoman"/>
      <w:lvlText w:val="%9."/>
      <w:lvlJc w:val="right"/>
      <w:pPr>
        <w:ind w:left="6545" w:hanging="180"/>
      </w:pPr>
    </w:lvl>
  </w:abstractNum>
  <w:abstractNum w:abstractNumId="15" w15:restartNumberingAfterBreak="0">
    <w:nsid w:val="1A3A5289"/>
    <w:multiLevelType w:val="hybridMultilevel"/>
    <w:tmpl w:val="34BA2A90"/>
    <w:lvl w:ilvl="0" w:tplc="04050011">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6" w15:restartNumberingAfterBreak="0">
    <w:nsid w:val="1E903C8D"/>
    <w:multiLevelType w:val="hybridMultilevel"/>
    <w:tmpl w:val="7338849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7" w15:restartNumberingAfterBreak="0">
    <w:nsid w:val="1EC64117"/>
    <w:multiLevelType w:val="hybridMultilevel"/>
    <w:tmpl w:val="B7D61E00"/>
    <w:lvl w:ilvl="0" w:tplc="B190718E">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8" w15:restartNumberingAfterBreak="0">
    <w:nsid w:val="2004604F"/>
    <w:multiLevelType w:val="hybridMultilevel"/>
    <w:tmpl w:val="E3AE3068"/>
    <w:lvl w:ilvl="0" w:tplc="04050011">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9" w15:restartNumberingAfterBreak="0">
    <w:nsid w:val="2243100E"/>
    <w:multiLevelType w:val="hybridMultilevel"/>
    <w:tmpl w:val="28F49DE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0" w15:restartNumberingAfterBreak="0">
    <w:nsid w:val="22ED22FD"/>
    <w:multiLevelType w:val="hybridMultilevel"/>
    <w:tmpl w:val="E1BCA934"/>
    <w:lvl w:ilvl="0" w:tplc="A3627E8C">
      <w:start w:val="1"/>
      <w:numFmt w:val="bullet"/>
      <w:lvlText w:val=""/>
      <w:lvlJc w:val="left"/>
      <w:pPr>
        <w:ind w:left="720" w:hanging="360"/>
      </w:pPr>
      <w:rPr>
        <w:rFonts w:ascii="Symbol" w:hAnsi="Symbol" w:hint="default"/>
      </w:rPr>
    </w:lvl>
    <w:lvl w:ilvl="1" w:tplc="206E9A24">
      <w:start w:val="1"/>
      <w:numFmt w:val="bullet"/>
      <w:lvlText w:val="o"/>
      <w:lvlJc w:val="left"/>
      <w:pPr>
        <w:ind w:left="1440" w:hanging="360"/>
      </w:pPr>
      <w:rPr>
        <w:rFonts w:ascii="Courier New" w:hAnsi="Courier New" w:hint="default"/>
      </w:rPr>
    </w:lvl>
    <w:lvl w:ilvl="2" w:tplc="E608405E">
      <w:start w:val="1"/>
      <w:numFmt w:val="bullet"/>
      <w:lvlText w:val=""/>
      <w:lvlJc w:val="left"/>
      <w:pPr>
        <w:ind w:left="2160" w:hanging="360"/>
      </w:pPr>
      <w:rPr>
        <w:rFonts w:ascii="Wingdings" w:hAnsi="Wingdings" w:hint="default"/>
      </w:rPr>
    </w:lvl>
    <w:lvl w:ilvl="3" w:tplc="C35075D8">
      <w:start w:val="1"/>
      <w:numFmt w:val="bullet"/>
      <w:lvlText w:val=""/>
      <w:lvlJc w:val="left"/>
      <w:pPr>
        <w:ind w:left="2880" w:hanging="360"/>
      </w:pPr>
      <w:rPr>
        <w:rFonts w:ascii="Symbol" w:hAnsi="Symbol" w:hint="default"/>
      </w:rPr>
    </w:lvl>
    <w:lvl w:ilvl="4" w:tplc="7F1615EC">
      <w:start w:val="1"/>
      <w:numFmt w:val="bullet"/>
      <w:lvlText w:val="o"/>
      <w:lvlJc w:val="left"/>
      <w:pPr>
        <w:ind w:left="3600" w:hanging="360"/>
      </w:pPr>
      <w:rPr>
        <w:rFonts w:ascii="Courier New" w:hAnsi="Courier New" w:hint="default"/>
      </w:rPr>
    </w:lvl>
    <w:lvl w:ilvl="5" w:tplc="5DA4F23A">
      <w:start w:val="1"/>
      <w:numFmt w:val="bullet"/>
      <w:lvlText w:val=""/>
      <w:lvlJc w:val="left"/>
      <w:pPr>
        <w:ind w:left="4320" w:hanging="360"/>
      </w:pPr>
      <w:rPr>
        <w:rFonts w:ascii="Wingdings" w:hAnsi="Wingdings" w:hint="default"/>
      </w:rPr>
    </w:lvl>
    <w:lvl w:ilvl="6" w:tplc="24C88A6E">
      <w:start w:val="1"/>
      <w:numFmt w:val="bullet"/>
      <w:lvlText w:val=""/>
      <w:lvlJc w:val="left"/>
      <w:pPr>
        <w:ind w:left="5040" w:hanging="360"/>
      </w:pPr>
      <w:rPr>
        <w:rFonts w:ascii="Symbol" w:hAnsi="Symbol" w:hint="default"/>
      </w:rPr>
    </w:lvl>
    <w:lvl w:ilvl="7" w:tplc="05D8AF5C">
      <w:start w:val="1"/>
      <w:numFmt w:val="bullet"/>
      <w:lvlText w:val="o"/>
      <w:lvlJc w:val="left"/>
      <w:pPr>
        <w:ind w:left="5760" w:hanging="360"/>
      </w:pPr>
      <w:rPr>
        <w:rFonts w:ascii="Courier New" w:hAnsi="Courier New" w:hint="default"/>
      </w:rPr>
    </w:lvl>
    <w:lvl w:ilvl="8" w:tplc="F526783E">
      <w:start w:val="1"/>
      <w:numFmt w:val="bullet"/>
      <w:lvlText w:val=""/>
      <w:lvlJc w:val="left"/>
      <w:pPr>
        <w:ind w:left="6480" w:hanging="360"/>
      </w:pPr>
      <w:rPr>
        <w:rFonts w:ascii="Wingdings" w:hAnsi="Wingdings" w:hint="default"/>
      </w:rPr>
    </w:lvl>
  </w:abstractNum>
  <w:abstractNum w:abstractNumId="21" w15:restartNumberingAfterBreak="0">
    <w:nsid w:val="267B75F5"/>
    <w:multiLevelType w:val="hybridMultilevel"/>
    <w:tmpl w:val="273EF65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2" w15:restartNumberingAfterBreak="0">
    <w:nsid w:val="2F311592"/>
    <w:multiLevelType w:val="hybridMultilevel"/>
    <w:tmpl w:val="36C6B13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3" w15:restartNumberingAfterBreak="0">
    <w:nsid w:val="30F02DCC"/>
    <w:multiLevelType w:val="hybridMultilevel"/>
    <w:tmpl w:val="47D415EC"/>
    <w:lvl w:ilvl="0" w:tplc="6218B858">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24" w15:restartNumberingAfterBreak="0">
    <w:nsid w:val="31FD6A76"/>
    <w:multiLevelType w:val="hybridMultilevel"/>
    <w:tmpl w:val="44EC8EDC"/>
    <w:lvl w:ilvl="0" w:tplc="2F9010D6">
      <w:start w:val="1"/>
      <w:numFmt w:val="bullet"/>
      <w:pStyle w:val="UZEIOdrky"/>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25" w15:restartNumberingAfterBreak="0">
    <w:nsid w:val="33C37F5C"/>
    <w:multiLevelType w:val="multilevel"/>
    <w:tmpl w:val="CB1CA172"/>
    <w:lvl w:ilvl="0">
      <w:start w:val="1"/>
      <w:numFmt w:val="decimal"/>
      <w:pStyle w:val="Nadpis1"/>
      <w:lvlText w:val="%1"/>
      <w:lvlJc w:val="left"/>
      <w:pPr>
        <w:ind w:left="432" w:hanging="432"/>
      </w:pPr>
    </w:lvl>
    <w:lvl w:ilvl="1">
      <w:start w:val="1"/>
      <w:numFmt w:val="decimal"/>
      <w:pStyle w:val="Nadpis2"/>
      <w:lvlText w:val="%1.%2"/>
      <w:lvlJc w:val="left"/>
      <w:pPr>
        <w:ind w:left="576" w:hanging="576"/>
      </w:pPr>
    </w:lvl>
    <w:lvl w:ilvl="2">
      <w:start w:val="1"/>
      <w:numFmt w:val="decimal"/>
      <w:pStyle w:val="Nadpis3"/>
      <w:lvlText w:val="%1.%2.%3"/>
      <w:lvlJc w:val="left"/>
      <w:pPr>
        <w:ind w:left="720" w:hanging="720"/>
      </w:pPr>
    </w:lvl>
    <w:lvl w:ilvl="3">
      <w:start w:val="1"/>
      <w:numFmt w:val="decimal"/>
      <w:pStyle w:val="Nadpis4"/>
      <w:lvlText w:val="%1.%2.%3.%4"/>
      <w:lvlJc w:val="left"/>
      <w:pPr>
        <w:ind w:left="864" w:hanging="864"/>
      </w:pPr>
    </w:lvl>
    <w:lvl w:ilvl="4">
      <w:start w:val="1"/>
      <w:numFmt w:val="decimal"/>
      <w:pStyle w:val="Nadpis5"/>
      <w:lvlText w:val="%1.%2.%3.%4.%5"/>
      <w:lvlJc w:val="left"/>
      <w:pPr>
        <w:ind w:left="1008" w:hanging="1008"/>
      </w:pPr>
    </w:lvl>
    <w:lvl w:ilvl="5">
      <w:start w:val="1"/>
      <w:numFmt w:val="decimal"/>
      <w:pStyle w:val="Nadpis6"/>
      <w:lvlText w:val="%1.%2.%3.%4.%5.%6"/>
      <w:lvlJc w:val="left"/>
      <w:pPr>
        <w:ind w:left="1152" w:hanging="1152"/>
      </w:pPr>
    </w:lvl>
    <w:lvl w:ilvl="6">
      <w:start w:val="1"/>
      <w:numFmt w:val="decimal"/>
      <w:pStyle w:val="Nadpis7"/>
      <w:lvlText w:val="%1.%2.%3.%4.%5.%6.%7"/>
      <w:lvlJc w:val="left"/>
      <w:pPr>
        <w:ind w:left="1296" w:hanging="1296"/>
      </w:pPr>
    </w:lvl>
    <w:lvl w:ilvl="7">
      <w:start w:val="1"/>
      <w:numFmt w:val="decimal"/>
      <w:pStyle w:val="Nadpis8"/>
      <w:lvlText w:val="%1.%2.%3.%4.%5.%6.%7.%8"/>
      <w:lvlJc w:val="left"/>
      <w:pPr>
        <w:ind w:left="1440" w:hanging="1440"/>
      </w:pPr>
    </w:lvl>
    <w:lvl w:ilvl="8">
      <w:start w:val="1"/>
      <w:numFmt w:val="decimal"/>
      <w:pStyle w:val="Nadpis9"/>
      <w:lvlText w:val="%1.%2.%3.%4.%5.%6.%7.%8.%9"/>
      <w:lvlJc w:val="left"/>
      <w:pPr>
        <w:ind w:left="1584" w:hanging="1584"/>
      </w:pPr>
    </w:lvl>
  </w:abstractNum>
  <w:abstractNum w:abstractNumId="26" w15:restartNumberingAfterBreak="0">
    <w:nsid w:val="373C35F4"/>
    <w:multiLevelType w:val="hybridMultilevel"/>
    <w:tmpl w:val="712E50B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7" w15:restartNumberingAfterBreak="0">
    <w:nsid w:val="3A2E284D"/>
    <w:multiLevelType w:val="multilevel"/>
    <w:tmpl w:val="8E5CC1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3C58409F"/>
    <w:multiLevelType w:val="hybridMultilevel"/>
    <w:tmpl w:val="B5C61192"/>
    <w:lvl w:ilvl="0" w:tplc="939C5790">
      <w:numFmt w:val="bullet"/>
      <w:lvlText w:val="–"/>
      <w:lvlJc w:val="left"/>
      <w:pPr>
        <w:ind w:left="720" w:hanging="360"/>
      </w:pPr>
      <w:rPr>
        <w:rFonts w:ascii="Arial" w:eastAsia="Times New Roman" w:hAnsi="Arial" w:cs="Aria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29" w15:restartNumberingAfterBreak="0">
    <w:nsid w:val="3C7F0C48"/>
    <w:multiLevelType w:val="hybridMultilevel"/>
    <w:tmpl w:val="AFCCB1CE"/>
    <w:lvl w:ilvl="0" w:tplc="8D129794">
      <w:start w:val="2"/>
      <w:numFmt w:val="bullet"/>
      <w:lvlText w:val="-"/>
      <w:lvlJc w:val="left"/>
      <w:pPr>
        <w:ind w:left="1146" w:hanging="360"/>
      </w:pPr>
      <w:rPr>
        <w:rFonts w:ascii="Book Antiqua" w:eastAsia="Calibri" w:hAnsi="Book Antiqua" w:cs="Times New Roman" w:hint="default"/>
      </w:rPr>
    </w:lvl>
    <w:lvl w:ilvl="1" w:tplc="04050003" w:tentative="1">
      <w:start w:val="1"/>
      <w:numFmt w:val="bullet"/>
      <w:lvlText w:val="o"/>
      <w:lvlJc w:val="left"/>
      <w:pPr>
        <w:ind w:left="1866" w:hanging="360"/>
      </w:pPr>
      <w:rPr>
        <w:rFonts w:ascii="Courier New" w:hAnsi="Courier New" w:cs="Courier New" w:hint="default"/>
      </w:rPr>
    </w:lvl>
    <w:lvl w:ilvl="2" w:tplc="04050005" w:tentative="1">
      <w:start w:val="1"/>
      <w:numFmt w:val="bullet"/>
      <w:lvlText w:val=""/>
      <w:lvlJc w:val="left"/>
      <w:pPr>
        <w:ind w:left="2586" w:hanging="360"/>
      </w:pPr>
      <w:rPr>
        <w:rFonts w:ascii="Wingdings" w:hAnsi="Wingdings" w:hint="default"/>
      </w:rPr>
    </w:lvl>
    <w:lvl w:ilvl="3" w:tplc="04050001" w:tentative="1">
      <w:start w:val="1"/>
      <w:numFmt w:val="bullet"/>
      <w:lvlText w:val=""/>
      <w:lvlJc w:val="left"/>
      <w:pPr>
        <w:ind w:left="3306" w:hanging="360"/>
      </w:pPr>
      <w:rPr>
        <w:rFonts w:ascii="Symbol" w:hAnsi="Symbol" w:hint="default"/>
      </w:rPr>
    </w:lvl>
    <w:lvl w:ilvl="4" w:tplc="04050003" w:tentative="1">
      <w:start w:val="1"/>
      <w:numFmt w:val="bullet"/>
      <w:lvlText w:val="o"/>
      <w:lvlJc w:val="left"/>
      <w:pPr>
        <w:ind w:left="4026" w:hanging="360"/>
      </w:pPr>
      <w:rPr>
        <w:rFonts w:ascii="Courier New" w:hAnsi="Courier New" w:cs="Courier New" w:hint="default"/>
      </w:rPr>
    </w:lvl>
    <w:lvl w:ilvl="5" w:tplc="04050005" w:tentative="1">
      <w:start w:val="1"/>
      <w:numFmt w:val="bullet"/>
      <w:lvlText w:val=""/>
      <w:lvlJc w:val="left"/>
      <w:pPr>
        <w:ind w:left="4746" w:hanging="360"/>
      </w:pPr>
      <w:rPr>
        <w:rFonts w:ascii="Wingdings" w:hAnsi="Wingdings" w:hint="default"/>
      </w:rPr>
    </w:lvl>
    <w:lvl w:ilvl="6" w:tplc="04050001" w:tentative="1">
      <w:start w:val="1"/>
      <w:numFmt w:val="bullet"/>
      <w:lvlText w:val=""/>
      <w:lvlJc w:val="left"/>
      <w:pPr>
        <w:ind w:left="5466" w:hanging="360"/>
      </w:pPr>
      <w:rPr>
        <w:rFonts w:ascii="Symbol" w:hAnsi="Symbol" w:hint="default"/>
      </w:rPr>
    </w:lvl>
    <w:lvl w:ilvl="7" w:tplc="04050003" w:tentative="1">
      <w:start w:val="1"/>
      <w:numFmt w:val="bullet"/>
      <w:lvlText w:val="o"/>
      <w:lvlJc w:val="left"/>
      <w:pPr>
        <w:ind w:left="6186" w:hanging="360"/>
      </w:pPr>
      <w:rPr>
        <w:rFonts w:ascii="Courier New" w:hAnsi="Courier New" w:cs="Courier New" w:hint="default"/>
      </w:rPr>
    </w:lvl>
    <w:lvl w:ilvl="8" w:tplc="04050005" w:tentative="1">
      <w:start w:val="1"/>
      <w:numFmt w:val="bullet"/>
      <w:lvlText w:val=""/>
      <w:lvlJc w:val="left"/>
      <w:pPr>
        <w:ind w:left="6906" w:hanging="360"/>
      </w:pPr>
      <w:rPr>
        <w:rFonts w:ascii="Wingdings" w:hAnsi="Wingdings" w:hint="default"/>
      </w:rPr>
    </w:lvl>
  </w:abstractNum>
  <w:abstractNum w:abstractNumId="30" w15:restartNumberingAfterBreak="0">
    <w:nsid w:val="3CEE4303"/>
    <w:multiLevelType w:val="hybridMultilevel"/>
    <w:tmpl w:val="F5C6354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1" w15:restartNumberingAfterBreak="0">
    <w:nsid w:val="3D9A0296"/>
    <w:multiLevelType w:val="hybridMultilevel"/>
    <w:tmpl w:val="7DDCE630"/>
    <w:lvl w:ilvl="0" w:tplc="6218B858">
      <w:start w:val="1"/>
      <w:numFmt w:val="bullet"/>
      <w:lvlText w:val=""/>
      <w:lvlJc w:val="left"/>
      <w:pPr>
        <w:ind w:left="720" w:hanging="360"/>
      </w:pPr>
      <w:rPr>
        <w:rFonts w:ascii="Symbol" w:hAnsi="Symbol" w:hint="default"/>
      </w:rPr>
    </w:lvl>
    <w:lvl w:ilvl="1" w:tplc="75F0FB3A">
      <w:start w:val="105"/>
      <w:numFmt w:val="bullet"/>
      <w:lvlText w:val="-"/>
      <w:lvlJc w:val="left"/>
      <w:pPr>
        <w:ind w:left="1440" w:hanging="360"/>
      </w:pPr>
      <w:rPr>
        <w:rFonts w:ascii="Arial" w:eastAsiaTheme="minorHAnsi" w:hAnsi="Arial" w:cs="Arial"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32" w15:restartNumberingAfterBreak="0">
    <w:nsid w:val="40425330"/>
    <w:multiLevelType w:val="hybridMultilevel"/>
    <w:tmpl w:val="3CD8A1AA"/>
    <w:lvl w:ilvl="0" w:tplc="97949C64">
      <w:start w:val="1"/>
      <w:numFmt w:val="decimal"/>
      <w:pStyle w:val="UZEITaB"/>
      <w:lvlText w:val="Tabulka %1"/>
      <w:lvlJc w:val="left"/>
      <w:pPr>
        <w:ind w:left="1004" w:hanging="284"/>
      </w:pPr>
      <w:rPr>
        <w:rFonts w:hint="default"/>
      </w:rPr>
    </w:lvl>
    <w:lvl w:ilvl="1" w:tplc="04050019" w:tentative="1">
      <w:start w:val="1"/>
      <w:numFmt w:val="lowerLetter"/>
      <w:lvlText w:val="%2."/>
      <w:lvlJc w:val="left"/>
      <w:pPr>
        <w:ind w:left="2160" w:hanging="360"/>
      </w:pPr>
    </w:lvl>
    <w:lvl w:ilvl="2" w:tplc="0405001B" w:tentative="1">
      <w:start w:val="1"/>
      <w:numFmt w:val="lowerRoman"/>
      <w:lvlText w:val="%3."/>
      <w:lvlJc w:val="right"/>
      <w:pPr>
        <w:ind w:left="2880" w:hanging="180"/>
      </w:pPr>
    </w:lvl>
    <w:lvl w:ilvl="3" w:tplc="0405000F" w:tentative="1">
      <w:start w:val="1"/>
      <w:numFmt w:val="decimal"/>
      <w:lvlText w:val="%4."/>
      <w:lvlJc w:val="left"/>
      <w:pPr>
        <w:ind w:left="3600" w:hanging="360"/>
      </w:pPr>
    </w:lvl>
    <w:lvl w:ilvl="4" w:tplc="04050019" w:tentative="1">
      <w:start w:val="1"/>
      <w:numFmt w:val="lowerLetter"/>
      <w:lvlText w:val="%5."/>
      <w:lvlJc w:val="left"/>
      <w:pPr>
        <w:ind w:left="4320" w:hanging="360"/>
      </w:pPr>
    </w:lvl>
    <w:lvl w:ilvl="5" w:tplc="0405001B" w:tentative="1">
      <w:start w:val="1"/>
      <w:numFmt w:val="lowerRoman"/>
      <w:lvlText w:val="%6."/>
      <w:lvlJc w:val="right"/>
      <w:pPr>
        <w:ind w:left="5040" w:hanging="180"/>
      </w:pPr>
    </w:lvl>
    <w:lvl w:ilvl="6" w:tplc="0405000F" w:tentative="1">
      <w:start w:val="1"/>
      <w:numFmt w:val="decimal"/>
      <w:lvlText w:val="%7."/>
      <w:lvlJc w:val="left"/>
      <w:pPr>
        <w:ind w:left="5760" w:hanging="360"/>
      </w:pPr>
    </w:lvl>
    <w:lvl w:ilvl="7" w:tplc="04050019" w:tentative="1">
      <w:start w:val="1"/>
      <w:numFmt w:val="lowerLetter"/>
      <w:lvlText w:val="%8."/>
      <w:lvlJc w:val="left"/>
      <w:pPr>
        <w:ind w:left="6480" w:hanging="360"/>
      </w:pPr>
    </w:lvl>
    <w:lvl w:ilvl="8" w:tplc="0405001B" w:tentative="1">
      <w:start w:val="1"/>
      <w:numFmt w:val="lowerRoman"/>
      <w:lvlText w:val="%9."/>
      <w:lvlJc w:val="right"/>
      <w:pPr>
        <w:ind w:left="7200" w:hanging="180"/>
      </w:pPr>
    </w:lvl>
  </w:abstractNum>
  <w:abstractNum w:abstractNumId="33" w15:restartNumberingAfterBreak="0">
    <w:nsid w:val="41AA4D43"/>
    <w:multiLevelType w:val="hybridMultilevel"/>
    <w:tmpl w:val="9ECEE37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4" w15:restartNumberingAfterBreak="0">
    <w:nsid w:val="45F926E9"/>
    <w:multiLevelType w:val="hybridMultilevel"/>
    <w:tmpl w:val="8C4CCF1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5" w15:restartNumberingAfterBreak="0">
    <w:nsid w:val="47CC3229"/>
    <w:multiLevelType w:val="hybridMultilevel"/>
    <w:tmpl w:val="A0209AAE"/>
    <w:lvl w:ilvl="0" w:tplc="9B103F40">
      <w:start w:val="1"/>
      <w:numFmt w:val="bullet"/>
      <w:lvlText w:val=""/>
      <w:lvlJc w:val="left"/>
      <w:pPr>
        <w:ind w:left="720" w:hanging="360"/>
      </w:pPr>
      <w:rPr>
        <w:rFonts w:ascii="Symbol" w:hAnsi="Symbol" w:hint="default"/>
        <w:sz w:val="22"/>
        <w:szCs w:val="22"/>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6" w15:restartNumberingAfterBreak="0">
    <w:nsid w:val="48024B86"/>
    <w:multiLevelType w:val="hybridMultilevel"/>
    <w:tmpl w:val="2046845C"/>
    <w:lvl w:ilvl="0" w:tplc="04050011">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7" w15:restartNumberingAfterBreak="0">
    <w:nsid w:val="4A7824C6"/>
    <w:multiLevelType w:val="hybridMultilevel"/>
    <w:tmpl w:val="27BCD7B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8" w15:restartNumberingAfterBreak="0">
    <w:nsid w:val="4AE57229"/>
    <w:multiLevelType w:val="hybridMultilevel"/>
    <w:tmpl w:val="BCEC474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9" w15:restartNumberingAfterBreak="0">
    <w:nsid w:val="4B204862"/>
    <w:multiLevelType w:val="multilevel"/>
    <w:tmpl w:val="42E6BFE0"/>
    <w:lvl w:ilvl="0">
      <w:start w:val="1"/>
      <w:numFmt w:val="decimal"/>
      <w:lvlText w:val="%1"/>
      <w:lvlJc w:val="left"/>
      <w:pPr>
        <w:ind w:left="570" w:hanging="570"/>
      </w:pPr>
      <w:rPr>
        <w:rFonts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40" w15:restartNumberingAfterBreak="0">
    <w:nsid w:val="4E2F1B11"/>
    <w:multiLevelType w:val="multilevel"/>
    <w:tmpl w:val="007835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508A10EE"/>
    <w:multiLevelType w:val="hybridMultilevel"/>
    <w:tmpl w:val="5C10646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2" w15:restartNumberingAfterBreak="0">
    <w:nsid w:val="561A729D"/>
    <w:multiLevelType w:val="hybridMultilevel"/>
    <w:tmpl w:val="2E9C92AA"/>
    <w:lvl w:ilvl="0" w:tplc="8D129794">
      <w:start w:val="2"/>
      <w:numFmt w:val="bullet"/>
      <w:lvlText w:val="-"/>
      <w:lvlJc w:val="left"/>
      <w:pPr>
        <w:ind w:left="1080" w:hanging="360"/>
      </w:pPr>
      <w:rPr>
        <w:rFonts w:ascii="Book Antiqua" w:eastAsia="Calibri" w:hAnsi="Book Antiqua" w:cs="Times New Roman" w:hint="default"/>
      </w:rPr>
    </w:lvl>
    <w:lvl w:ilvl="1" w:tplc="04050003" w:tentative="1">
      <w:start w:val="1"/>
      <w:numFmt w:val="bullet"/>
      <w:lvlText w:val="o"/>
      <w:lvlJc w:val="left"/>
      <w:pPr>
        <w:ind w:left="1800" w:hanging="360"/>
      </w:pPr>
      <w:rPr>
        <w:rFonts w:ascii="Courier New" w:hAnsi="Courier New" w:cs="Courier New" w:hint="default"/>
      </w:rPr>
    </w:lvl>
    <w:lvl w:ilvl="2" w:tplc="04050005" w:tentative="1">
      <w:start w:val="1"/>
      <w:numFmt w:val="bullet"/>
      <w:lvlText w:val=""/>
      <w:lvlJc w:val="left"/>
      <w:pPr>
        <w:ind w:left="2520" w:hanging="360"/>
      </w:pPr>
      <w:rPr>
        <w:rFonts w:ascii="Wingdings" w:hAnsi="Wingdings" w:hint="default"/>
      </w:rPr>
    </w:lvl>
    <w:lvl w:ilvl="3" w:tplc="04050001" w:tentative="1">
      <w:start w:val="1"/>
      <w:numFmt w:val="bullet"/>
      <w:lvlText w:val=""/>
      <w:lvlJc w:val="left"/>
      <w:pPr>
        <w:ind w:left="3240" w:hanging="360"/>
      </w:pPr>
      <w:rPr>
        <w:rFonts w:ascii="Symbol" w:hAnsi="Symbol" w:hint="default"/>
      </w:rPr>
    </w:lvl>
    <w:lvl w:ilvl="4" w:tplc="04050003" w:tentative="1">
      <w:start w:val="1"/>
      <w:numFmt w:val="bullet"/>
      <w:lvlText w:val="o"/>
      <w:lvlJc w:val="left"/>
      <w:pPr>
        <w:ind w:left="3960" w:hanging="360"/>
      </w:pPr>
      <w:rPr>
        <w:rFonts w:ascii="Courier New" w:hAnsi="Courier New" w:cs="Courier New" w:hint="default"/>
      </w:rPr>
    </w:lvl>
    <w:lvl w:ilvl="5" w:tplc="04050005" w:tentative="1">
      <w:start w:val="1"/>
      <w:numFmt w:val="bullet"/>
      <w:lvlText w:val=""/>
      <w:lvlJc w:val="left"/>
      <w:pPr>
        <w:ind w:left="4680" w:hanging="360"/>
      </w:pPr>
      <w:rPr>
        <w:rFonts w:ascii="Wingdings" w:hAnsi="Wingdings" w:hint="default"/>
      </w:rPr>
    </w:lvl>
    <w:lvl w:ilvl="6" w:tplc="04050001" w:tentative="1">
      <w:start w:val="1"/>
      <w:numFmt w:val="bullet"/>
      <w:lvlText w:val=""/>
      <w:lvlJc w:val="left"/>
      <w:pPr>
        <w:ind w:left="5400" w:hanging="360"/>
      </w:pPr>
      <w:rPr>
        <w:rFonts w:ascii="Symbol" w:hAnsi="Symbol" w:hint="default"/>
      </w:rPr>
    </w:lvl>
    <w:lvl w:ilvl="7" w:tplc="04050003" w:tentative="1">
      <w:start w:val="1"/>
      <w:numFmt w:val="bullet"/>
      <w:lvlText w:val="o"/>
      <w:lvlJc w:val="left"/>
      <w:pPr>
        <w:ind w:left="6120" w:hanging="360"/>
      </w:pPr>
      <w:rPr>
        <w:rFonts w:ascii="Courier New" w:hAnsi="Courier New" w:cs="Courier New" w:hint="default"/>
      </w:rPr>
    </w:lvl>
    <w:lvl w:ilvl="8" w:tplc="04050005" w:tentative="1">
      <w:start w:val="1"/>
      <w:numFmt w:val="bullet"/>
      <w:lvlText w:val=""/>
      <w:lvlJc w:val="left"/>
      <w:pPr>
        <w:ind w:left="6840" w:hanging="360"/>
      </w:pPr>
      <w:rPr>
        <w:rFonts w:ascii="Wingdings" w:hAnsi="Wingdings" w:hint="default"/>
      </w:rPr>
    </w:lvl>
  </w:abstractNum>
  <w:abstractNum w:abstractNumId="43" w15:restartNumberingAfterBreak="0">
    <w:nsid w:val="59682B61"/>
    <w:multiLevelType w:val="hybridMultilevel"/>
    <w:tmpl w:val="3EB29F0A"/>
    <w:lvl w:ilvl="0" w:tplc="8D129794">
      <w:start w:val="2"/>
      <w:numFmt w:val="bullet"/>
      <w:lvlText w:val="-"/>
      <w:lvlJc w:val="left"/>
      <w:pPr>
        <w:ind w:left="720" w:hanging="360"/>
      </w:pPr>
      <w:rPr>
        <w:rFonts w:ascii="Book Antiqua" w:eastAsia="Calibri" w:hAnsi="Book Antiqua"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5C43302D"/>
    <w:multiLevelType w:val="hybridMultilevel"/>
    <w:tmpl w:val="D932F94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5" w15:restartNumberingAfterBreak="0">
    <w:nsid w:val="5CEE6869"/>
    <w:multiLevelType w:val="hybridMultilevel"/>
    <w:tmpl w:val="A50A1354"/>
    <w:lvl w:ilvl="0" w:tplc="04050017">
      <w:start w:val="1"/>
      <w:numFmt w:val="lowerLetter"/>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46" w15:restartNumberingAfterBreak="0">
    <w:nsid w:val="6101347E"/>
    <w:multiLevelType w:val="hybridMultilevel"/>
    <w:tmpl w:val="09682964"/>
    <w:lvl w:ilvl="0" w:tplc="04050011">
      <w:start w:val="1"/>
      <w:numFmt w:val="decimal"/>
      <w:lvlText w:val="%1)"/>
      <w:lvlJc w:val="left"/>
      <w:pPr>
        <w:ind w:left="720" w:hanging="360"/>
      </w:pPr>
      <w:rPr>
        <w:rFonts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47" w15:restartNumberingAfterBreak="0">
    <w:nsid w:val="634D3F02"/>
    <w:multiLevelType w:val="hybridMultilevel"/>
    <w:tmpl w:val="DBD86DD0"/>
    <w:lvl w:ilvl="0" w:tplc="519AF26A">
      <w:start w:val="1"/>
      <w:numFmt w:val="decimal"/>
      <w:pStyle w:val="UZEIGraf"/>
      <w:lvlText w:val="Graf %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48" w15:restartNumberingAfterBreak="0">
    <w:nsid w:val="63A03A84"/>
    <w:multiLevelType w:val="multilevel"/>
    <w:tmpl w:val="8CD07CB2"/>
    <w:lvl w:ilvl="0">
      <w:start w:val="1"/>
      <w:numFmt w:val="decimal"/>
      <w:lvlText w:val="%1"/>
      <w:lvlJc w:val="left"/>
      <w:pPr>
        <w:ind w:left="922" w:hanging="432"/>
      </w:pPr>
      <w:rPr>
        <w:rFonts w:hint="default"/>
        <w:color w:val="auto"/>
      </w:rPr>
    </w:lvl>
    <w:lvl w:ilvl="1">
      <w:start w:val="1"/>
      <w:numFmt w:val="decimal"/>
      <w:pStyle w:val="UZEINadpis2st"/>
      <w:lvlText w:val="1.%2"/>
      <w:lvlJc w:val="left"/>
      <w:pPr>
        <w:ind w:left="1066" w:hanging="576"/>
      </w:pPr>
      <w:rPr>
        <w:rFonts w:hint="default"/>
        <w:color w:val="auto"/>
        <w:sz w:val="24"/>
      </w:rPr>
    </w:lvl>
    <w:lvl w:ilvl="2">
      <w:start w:val="1"/>
      <w:numFmt w:val="decimal"/>
      <w:lvlText w:val="%1.%2.%3"/>
      <w:lvlJc w:val="left"/>
      <w:pPr>
        <w:ind w:left="1210" w:hanging="720"/>
      </w:pPr>
    </w:lvl>
    <w:lvl w:ilvl="3">
      <w:start w:val="1"/>
      <w:numFmt w:val="decimal"/>
      <w:lvlText w:val="%1.%2.%3.%4"/>
      <w:lvlJc w:val="left"/>
      <w:pPr>
        <w:ind w:left="1354" w:hanging="864"/>
      </w:pPr>
    </w:lvl>
    <w:lvl w:ilvl="4">
      <w:start w:val="1"/>
      <w:numFmt w:val="decimal"/>
      <w:lvlText w:val="%1.%2.%3.%4.%5"/>
      <w:lvlJc w:val="left"/>
      <w:pPr>
        <w:ind w:left="1498" w:hanging="1008"/>
      </w:pPr>
    </w:lvl>
    <w:lvl w:ilvl="5">
      <w:start w:val="1"/>
      <w:numFmt w:val="decimal"/>
      <w:lvlText w:val="%1.%2.%3.%4.%5.%6"/>
      <w:lvlJc w:val="left"/>
      <w:pPr>
        <w:ind w:left="1642" w:hanging="1152"/>
      </w:pPr>
    </w:lvl>
    <w:lvl w:ilvl="6">
      <w:start w:val="1"/>
      <w:numFmt w:val="decimal"/>
      <w:lvlText w:val="%1.%2.%3.%4.%5.%6.%7"/>
      <w:lvlJc w:val="left"/>
      <w:pPr>
        <w:ind w:left="1786" w:hanging="1296"/>
      </w:pPr>
    </w:lvl>
    <w:lvl w:ilvl="7">
      <w:start w:val="1"/>
      <w:numFmt w:val="decimal"/>
      <w:lvlText w:val="%1.%2.%3.%4.%5.%6.%7.%8"/>
      <w:lvlJc w:val="left"/>
      <w:pPr>
        <w:ind w:left="1930" w:hanging="1440"/>
      </w:pPr>
    </w:lvl>
    <w:lvl w:ilvl="8">
      <w:start w:val="1"/>
      <w:numFmt w:val="decimal"/>
      <w:lvlText w:val="%1.%2.%3.%4.%5.%6.%7.%8.%9"/>
      <w:lvlJc w:val="left"/>
      <w:pPr>
        <w:ind w:left="2074" w:hanging="1584"/>
      </w:pPr>
    </w:lvl>
  </w:abstractNum>
  <w:abstractNum w:abstractNumId="49" w15:restartNumberingAfterBreak="0">
    <w:nsid w:val="66A210FB"/>
    <w:multiLevelType w:val="hybridMultilevel"/>
    <w:tmpl w:val="3C026DE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0" w15:restartNumberingAfterBreak="0">
    <w:nsid w:val="66A46ADF"/>
    <w:multiLevelType w:val="hybridMultilevel"/>
    <w:tmpl w:val="5320640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1" w15:restartNumberingAfterBreak="0">
    <w:nsid w:val="673C2330"/>
    <w:multiLevelType w:val="hybridMultilevel"/>
    <w:tmpl w:val="1E60C642"/>
    <w:lvl w:ilvl="0" w:tplc="31643AFC">
      <w:start w:val="1"/>
      <w:numFmt w:val="decimal"/>
      <w:lvlText w:val="%1."/>
      <w:lvlJc w:val="left"/>
      <w:pPr>
        <w:ind w:left="927" w:hanging="360"/>
      </w:pPr>
      <w:rPr>
        <w:rFonts w:hint="default"/>
      </w:rPr>
    </w:lvl>
    <w:lvl w:ilvl="1" w:tplc="04050019" w:tentative="1">
      <w:start w:val="1"/>
      <w:numFmt w:val="lowerLetter"/>
      <w:lvlText w:val="%2."/>
      <w:lvlJc w:val="left"/>
      <w:pPr>
        <w:ind w:left="1647" w:hanging="360"/>
      </w:pPr>
    </w:lvl>
    <w:lvl w:ilvl="2" w:tplc="0405001B" w:tentative="1">
      <w:start w:val="1"/>
      <w:numFmt w:val="lowerRoman"/>
      <w:lvlText w:val="%3."/>
      <w:lvlJc w:val="right"/>
      <w:pPr>
        <w:ind w:left="2367" w:hanging="180"/>
      </w:pPr>
    </w:lvl>
    <w:lvl w:ilvl="3" w:tplc="0405000F" w:tentative="1">
      <w:start w:val="1"/>
      <w:numFmt w:val="decimal"/>
      <w:lvlText w:val="%4."/>
      <w:lvlJc w:val="left"/>
      <w:pPr>
        <w:ind w:left="3087" w:hanging="360"/>
      </w:pPr>
    </w:lvl>
    <w:lvl w:ilvl="4" w:tplc="04050019" w:tentative="1">
      <w:start w:val="1"/>
      <w:numFmt w:val="lowerLetter"/>
      <w:lvlText w:val="%5."/>
      <w:lvlJc w:val="left"/>
      <w:pPr>
        <w:ind w:left="3807" w:hanging="360"/>
      </w:pPr>
    </w:lvl>
    <w:lvl w:ilvl="5" w:tplc="0405001B" w:tentative="1">
      <w:start w:val="1"/>
      <w:numFmt w:val="lowerRoman"/>
      <w:lvlText w:val="%6."/>
      <w:lvlJc w:val="right"/>
      <w:pPr>
        <w:ind w:left="4527" w:hanging="180"/>
      </w:pPr>
    </w:lvl>
    <w:lvl w:ilvl="6" w:tplc="0405000F" w:tentative="1">
      <w:start w:val="1"/>
      <w:numFmt w:val="decimal"/>
      <w:lvlText w:val="%7."/>
      <w:lvlJc w:val="left"/>
      <w:pPr>
        <w:ind w:left="5247" w:hanging="360"/>
      </w:pPr>
    </w:lvl>
    <w:lvl w:ilvl="7" w:tplc="04050019" w:tentative="1">
      <w:start w:val="1"/>
      <w:numFmt w:val="lowerLetter"/>
      <w:lvlText w:val="%8."/>
      <w:lvlJc w:val="left"/>
      <w:pPr>
        <w:ind w:left="5967" w:hanging="360"/>
      </w:pPr>
    </w:lvl>
    <w:lvl w:ilvl="8" w:tplc="0405001B" w:tentative="1">
      <w:start w:val="1"/>
      <w:numFmt w:val="lowerRoman"/>
      <w:lvlText w:val="%9."/>
      <w:lvlJc w:val="right"/>
      <w:pPr>
        <w:ind w:left="6687" w:hanging="180"/>
      </w:pPr>
    </w:lvl>
  </w:abstractNum>
  <w:abstractNum w:abstractNumId="52" w15:restartNumberingAfterBreak="0">
    <w:nsid w:val="6E7E265F"/>
    <w:multiLevelType w:val="hybridMultilevel"/>
    <w:tmpl w:val="F13AD16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3" w15:restartNumberingAfterBreak="0">
    <w:nsid w:val="71BA2C88"/>
    <w:multiLevelType w:val="hybridMultilevel"/>
    <w:tmpl w:val="2E7A713C"/>
    <w:lvl w:ilvl="0" w:tplc="04050011">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54" w15:restartNumberingAfterBreak="0">
    <w:nsid w:val="734F5FB3"/>
    <w:multiLevelType w:val="hybridMultilevel"/>
    <w:tmpl w:val="5E4E531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5" w15:restartNumberingAfterBreak="0">
    <w:nsid w:val="75255DCA"/>
    <w:multiLevelType w:val="hybridMultilevel"/>
    <w:tmpl w:val="9800C25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6" w15:restartNumberingAfterBreak="0">
    <w:nsid w:val="76474BE7"/>
    <w:multiLevelType w:val="hybridMultilevel"/>
    <w:tmpl w:val="5E9AD464"/>
    <w:lvl w:ilvl="0" w:tplc="04050001">
      <w:start w:val="1"/>
      <w:numFmt w:val="bullet"/>
      <w:lvlText w:val=""/>
      <w:lvlJc w:val="left"/>
      <w:pPr>
        <w:ind w:left="1146" w:hanging="360"/>
      </w:pPr>
      <w:rPr>
        <w:rFonts w:ascii="Symbol" w:hAnsi="Symbol" w:hint="default"/>
      </w:rPr>
    </w:lvl>
    <w:lvl w:ilvl="1" w:tplc="04050003" w:tentative="1">
      <w:start w:val="1"/>
      <w:numFmt w:val="bullet"/>
      <w:lvlText w:val="o"/>
      <w:lvlJc w:val="left"/>
      <w:pPr>
        <w:ind w:left="1866" w:hanging="360"/>
      </w:pPr>
      <w:rPr>
        <w:rFonts w:ascii="Courier New" w:hAnsi="Courier New" w:cs="Courier New" w:hint="default"/>
      </w:rPr>
    </w:lvl>
    <w:lvl w:ilvl="2" w:tplc="04050005" w:tentative="1">
      <w:start w:val="1"/>
      <w:numFmt w:val="bullet"/>
      <w:lvlText w:val=""/>
      <w:lvlJc w:val="left"/>
      <w:pPr>
        <w:ind w:left="2586" w:hanging="360"/>
      </w:pPr>
      <w:rPr>
        <w:rFonts w:ascii="Wingdings" w:hAnsi="Wingdings" w:hint="default"/>
      </w:rPr>
    </w:lvl>
    <w:lvl w:ilvl="3" w:tplc="04050001" w:tentative="1">
      <w:start w:val="1"/>
      <w:numFmt w:val="bullet"/>
      <w:lvlText w:val=""/>
      <w:lvlJc w:val="left"/>
      <w:pPr>
        <w:ind w:left="3306" w:hanging="360"/>
      </w:pPr>
      <w:rPr>
        <w:rFonts w:ascii="Symbol" w:hAnsi="Symbol" w:hint="default"/>
      </w:rPr>
    </w:lvl>
    <w:lvl w:ilvl="4" w:tplc="04050003" w:tentative="1">
      <w:start w:val="1"/>
      <w:numFmt w:val="bullet"/>
      <w:lvlText w:val="o"/>
      <w:lvlJc w:val="left"/>
      <w:pPr>
        <w:ind w:left="4026" w:hanging="360"/>
      </w:pPr>
      <w:rPr>
        <w:rFonts w:ascii="Courier New" w:hAnsi="Courier New" w:cs="Courier New" w:hint="default"/>
      </w:rPr>
    </w:lvl>
    <w:lvl w:ilvl="5" w:tplc="04050005" w:tentative="1">
      <w:start w:val="1"/>
      <w:numFmt w:val="bullet"/>
      <w:lvlText w:val=""/>
      <w:lvlJc w:val="left"/>
      <w:pPr>
        <w:ind w:left="4746" w:hanging="360"/>
      </w:pPr>
      <w:rPr>
        <w:rFonts w:ascii="Wingdings" w:hAnsi="Wingdings" w:hint="default"/>
      </w:rPr>
    </w:lvl>
    <w:lvl w:ilvl="6" w:tplc="04050001" w:tentative="1">
      <w:start w:val="1"/>
      <w:numFmt w:val="bullet"/>
      <w:lvlText w:val=""/>
      <w:lvlJc w:val="left"/>
      <w:pPr>
        <w:ind w:left="5466" w:hanging="360"/>
      </w:pPr>
      <w:rPr>
        <w:rFonts w:ascii="Symbol" w:hAnsi="Symbol" w:hint="default"/>
      </w:rPr>
    </w:lvl>
    <w:lvl w:ilvl="7" w:tplc="04050003" w:tentative="1">
      <w:start w:val="1"/>
      <w:numFmt w:val="bullet"/>
      <w:lvlText w:val="o"/>
      <w:lvlJc w:val="left"/>
      <w:pPr>
        <w:ind w:left="6186" w:hanging="360"/>
      </w:pPr>
      <w:rPr>
        <w:rFonts w:ascii="Courier New" w:hAnsi="Courier New" w:cs="Courier New" w:hint="default"/>
      </w:rPr>
    </w:lvl>
    <w:lvl w:ilvl="8" w:tplc="04050005" w:tentative="1">
      <w:start w:val="1"/>
      <w:numFmt w:val="bullet"/>
      <w:lvlText w:val=""/>
      <w:lvlJc w:val="left"/>
      <w:pPr>
        <w:ind w:left="6906" w:hanging="360"/>
      </w:pPr>
      <w:rPr>
        <w:rFonts w:ascii="Wingdings" w:hAnsi="Wingdings" w:hint="default"/>
      </w:rPr>
    </w:lvl>
  </w:abstractNum>
  <w:abstractNum w:abstractNumId="57" w15:restartNumberingAfterBreak="0">
    <w:nsid w:val="77153B75"/>
    <w:multiLevelType w:val="hybridMultilevel"/>
    <w:tmpl w:val="C4C2DF3A"/>
    <w:lvl w:ilvl="0" w:tplc="0405000F">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58" w15:restartNumberingAfterBreak="0">
    <w:nsid w:val="7B5D5FCE"/>
    <w:multiLevelType w:val="hybridMultilevel"/>
    <w:tmpl w:val="8A649B5E"/>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59" w15:restartNumberingAfterBreak="0">
    <w:nsid w:val="7B77510D"/>
    <w:multiLevelType w:val="hybridMultilevel"/>
    <w:tmpl w:val="EBD6011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0" w15:restartNumberingAfterBreak="0">
    <w:nsid w:val="7DE03CB9"/>
    <w:multiLevelType w:val="hybridMultilevel"/>
    <w:tmpl w:val="24227820"/>
    <w:lvl w:ilvl="0" w:tplc="CA46876E">
      <w:start w:val="1"/>
      <w:numFmt w:val="decimal"/>
      <w:pStyle w:val="UZEIObr"/>
      <w:lvlText w:val="Obrázek %1"/>
      <w:lvlJc w:val="left"/>
      <w:pPr>
        <w:ind w:left="928"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61" w15:restartNumberingAfterBreak="0">
    <w:nsid w:val="7ED912C2"/>
    <w:multiLevelType w:val="hybridMultilevel"/>
    <w:tmpl w:val="7CB830C2"/>
    <w:lvl w:ilvl="0" w:tplc="04050001">
      <w:start w:val="1"/>
      <w:numFmt w:val="bullet"/>
      <w:lvlText w:val=""/>
      <w:lvlJc w:val="left"/>
      <w:pPr>
        <w:ind w:left="1287" w:hanging="360"/>
      </w:pPr>
      <w:rPr>
        <w:rFonts w:ascii="Symbol" w:hAnsi="Symbol" w:hint="default"/>
      </w:rPr>
    </w:lvl>
    <w:lvl w:ilvl="1" w:tplc="04050003" w:tentative="1">
      <w:start w:val="1"/>
      <w:numFmt w:val="bullet"/>
      <w:lvlText w:val="o"/>
      <w:lvlJc w:val="left"/>
      <w:pPr>
        <w:ind w:left="2007" w:hanging="360"/>
      </w:pPr>
      <w:rPr>
        <w:rFonts w:ascii="Courier New" w:hAnsi="Courier New" w:cs="Courier New" w:hint="default"/>
      </w:rPr>
    </w:lvl>
    <w:lvl w:ilvl="2" w:tplc="04050005" w:tentative="1">
      <w:start w:val="1"/>
      <w:numFmt w:val="bullet"/>
      <w:lvlText w:val=""/>
      <w:lvlJc w:val="left"/>
      <w:pPr>
        <w:ind w:left="2727" w:hanging="360"/>
      </w:pPr>
      <w:rPr>
        <w:rFonts w:ascii="Wingdings" w:hAnsi="Wingdings" w:hint="default"/>
      </w:rPr>
    </w:lvl>
    <w:lvl w:ilvl="3" w:tplc="04050001" w:tentative="1">
      <w:start w:val="1"/>
      <w:numFmt w:val="bullet"/>
      <w:lvlText w:val=""/>
      <w:lvlJc w:val="left"/>
      <w:pPr>
        <w:ind w:left="3447" w:hanging="360"/>
      </w:pPr>
      <w:rPr>
        <w:rFonts w:ascii="Symbol" w:hAnsi="Symbol" w:hint="default"/>
      </w:rPr>
    </w:lvl>
    <w:lvl w:ilvl="4" w:tplc="04050003" w:tentative="1">
      <w:start w:val="1"/>
      <w:numFmt w:val="bullet"/>
      <w:lvlText w:val="o"/>
      <w:lvlJc w:val="left"/>
      <w:pPr>
        <w:ind w:left="4167" w:hanging="360"/>
      </w:pPr>
      <w:rPr>
        <w:rFonts w:ascii="Courier New" w:hAnsi="Courier New" w:cs="Courier New" w:hint="default"/>
      </w:rPr>
    </w:lvl>
    <w:lvl w:ilvl="5" w:tplc="04050005" w:tentative="1">
      <w:start w:val="1"/>
      <w:numFmt w:val="bullet"/>
      <w:lvlText w:val=""/>
      <w:lvlJc w:val="left"/>
      <w:pPr>
        <w:ind w:left="4887" w:hanging="360"/>
      </w:pPr>
      <w:rPr>
        <w:rFonts w:ascii="Wingdings" w:hAnsi="Wingdings" w:hint="default"/>
      </w:rPr>
    </w:lvl>
    <w:lvl w:ilvl="6" w:tplc="04050001" w:tentative="1">
      <w:start w:val="1"/>
      <w:numFmt w:val="bullet"/>
      <w:lvlText w:val=""/>
      <w:lvlJc w:val="left"/>
      <w:pPr>
        <w:ind w:left="5607" w:hanging="360"/>
      </w:pPr>
      <w:rPr>
        <w:rFonts w:ascii="Symbol" w:hAnsi="Symbol" w:hint="default"/>
      </w:rPr>
    </w:lvl>
    <w:lvl w:ilvl="7" w:tplc="04050003" w:tentative="1">
      <w:start w:val="1"/>
      <w:numFmt w:val="bullet"/>
      <w:lvlText w:val="o"/>
      <w:lvlJc w:val="left"/>
      <w:pPr>
        <w:ind w:left="6327" w:hanging="360"/>
      </w:pPr>
      <w:rPr>
        <w:rFonts w:ascii="Courier New" w:hAnsi="Courier New" w:cs="Courier New" w:hint="default"/>
      </w:rPr>
    </w:lvl>
    <w:lvl w:ilvl="8" w:tplc="04050005" w:tentative="1">
      <w:start w:val="1"/>
      <w:numFmt w:val="bullet"/>
      <w:lvlText w:val=""/>
      <w:lvlJc w:val="left"/>
      <w:pPr>
        <w:ind w:left="7047" w:hanging="360"/>
      </w:pPr>
      <w:rPr>
        <w:rFonts w:ascii="Wingdings" w:hAnsi="Wingdings" w:hint="default"/>
      </w:rPr>
    </w:lvl>
  </w:abstractNum>
  <w:num w:numId="1">
    <w:abstractNumId w:val="25"/>
  </w:num>
  <w:num w:numId="2">
    <w:abstractNumId w:val="24"/>
  </w:num>
  <w:num w:numId="3">
    <w:abstractNumId w:val="47"/>
  </w:num>
  <w:num w:numId="4">
    <w:abstractNumId w:val="32"/>
  </w:num>
  <w:num w:numId="5">
    <w:abstractNumId w:val="60"/>
  </w:num>
  <w:num w:numId="6">
    <w:abstractNumId w:val="11"/>
  </w:num>
  <w:num w:numId="7">
    <w:abstractNumId w:val="48"/>
  </w:num>
  <w:num w:numId="8">
    <w:abstractNumId w:val="20"/>
  </w:num>
  <w:num w:numId="9">
    <w:abstractNumId w:val="12"/>
  </w:num>
  <w:num w:numId="10">
    <w:abstractNumId w:val="43"/>
  </w:num>
  <w:num w:numId="11">
    <w:abstractNumId w:val="27"/>
  </w:num>
  <w:num w:numId="12">
    <w:abstractNumId w:val="26"/>
  </w:num>
  <w:num w:numId="13">
    <w:abstractNumId w:val="42"/>
  </w:num>
  <w:num w:numId="14">
    <w:abstractNumId w:val="7"/>
  </w:num>
  <w:num w:numId="15">
    <w:abstractNumId w:val="22"/>
  </w:num>
  <w:num w:numId="16">
    <w:abstractNumId w:val="2"/>
  </w:num>
  <w:num w:numId="17">
    <w:abstractNumId w:val="1"/>
  </w:num>
  <w:num w:numId="18">
    <w:abstractNumId w:val="29"/>
  </w:num>
  <w:num w:numId="19">
    <w:abstractNumId w:val="51"/>
  </w:num>
  <w:num w:numId="20">
    <w:abstractNumId w:val="17"/>
  </w:num>
  <w:num w:numId="21">
    <w:abstractNumId w:val="14"/>
  </w:num>
  <w:num w:numId="22">
    <w:abstractNumId w:val="3"/>
  </w:num>
  <w:num w:numId="23">
    <w:abstractNumId w:val="40"/>
  </w:num>
  <w:num w:numId="24">
    <w:abstractNumId w:val="4"/>
  </w:num>
  <w:num w:numId="25">
    <w:abstractNumId w:val="58"/>
  </w:num>
  <w:num w:numId="26">
    <w:abstractNumId w:val="16"/>
  </w:num>
  <w:num w:numId="27">
    <w:abstractNumId w:val="34"/>
  </w:num>
  <w:num w:numId="28">
    <w:abstractNumId w:val="39"/>
  </w:num>
  <w:num w:numId="29">
    <w:abstractNumId w:val="44"/>
  </w:num>
  <w:num w:numId="30">
    <w:abstractNumId w:val="9"/>
  </w:num>
  <w:num w:numId="31">
    <w:abstractNumId w:val="31"/>
  </w:num>
  <w:num w:numId="32">
    <w:abstractNumId w:val="23"/>
  </w:num>
  <w:num w:numId="33">
    <w:abstractNumId w:val="28"/>
  </w:num>
  <w:num w:numId="34">
    <w:abstractNumId w:val="56"/>
  </w:num>
  <w:num w:numId="35">
    <w:abstractNumId w:val="6"/>
  </w:num>
  <w:num w:numId="36">
    <w:abstractNumId w:val="33"/>
  </w:num>
  <w:num w:numId="37">
    <w:abstractNumId w:val="37"/>
  </w:num>
  <w:num w:numId="38">
    <w:abstractNumId w:val="0"/>
  </w:num>
  <w:num w:numId="39">
    <w:abstractNumId w:val="59"/>
  </w:num>
  <w:num w:numId="40">
    <w:abstractNumId w:val="38"/>
  </w:num>
  <w:num w:numId="41">
    <w:abstractNumId w:val="54"/>
  </w:num>
  <w:num w:numId="42">
    <w:abstractNumId w:val="8"/>
  </w:num>
  <w:num w:numId="43">
    <w:abstractNumId w:val="61"/>
  </w:num>
  <w:num w:numId="44">
    <w:abstractNumId w:val="49"/>
  </w:num>
  <w:num w:numId="45">
    <w:abstractNumId w:val="52"/>
  </w:num>
  <w:num w:numId="46">
    <w:abstractNumId w:val="19"/>
  </w:num>
  <w:num w:numId="47">
    <w:abstractNumId w:val="21"/>
  </w:num>
  <w:num w:numId="48">
    <w:abstractNumId w:val="55"/>
  </w:num>
  <w:num w:numId="49">
    <w:abstractNumId w:val="41"/>
  </w:num>
  <w:num w:numId="50">
    <w:abstractNumId w:val="30"/>
  </w:num>
  <w:num w:numId="51">
    <w:abstractNumId w:val="13"/>
  </w:num>
  <w:num w:numId="52">
    <w:abstractNumId w:val="50"/>
  </w:num>
  <w:num w:numId="53">
    <w:abstractNumId w:val="5"/>
  </w:num>
  <w:num w:numId="54">
    <w:abstractNumId w:val="35"/>
  </w:num>
  <w:num w:numId="55">
    <w:abstractNumId w:val="10"/>
  </w:num>
  <w:num w:numId="56">
    <w:abstractNumId w:val="57"/>
  </w:num>
  <w:num w:numId="57">
    <w:abstractNumId w:val="25"/>
  </w:num>
  <w:num w:numId="58">
    <w:abstractNumId w:val="36"/>
  </w:num>
  <w:num w:numId="59">
    <w:abstractNumId w:val="45"/>
  </w:num>
  <w:num w:numId="60">
    <w:abstractNumId w:val="46"/>
  </w:num>
  <w:num w:numId="61">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abstractNumId w:val="15"/>
  </w:num>
  <w:num w:numId="65">
    <w:abstractNumId w:val="53"/>
  </w:num>
  <w:num w:numId="66">
    <w:abstractNumId w:val="18"/>
  </w:num>
  <w:numIdMacAtCleanup w:val="5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hyphenationZone w:val="425"/>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87E14"/>
    <w:rsid w:val="0000288B"/>
    <w:rsid w:val="00004020"/>
    <w:rsid w:val="0000432D"/>
    <w:rsid w:val="00004419"/>
    <w:rsid w:val="00004FB5"/>
    <w:rsid w:val="000058A1"/>
    <w:rsid w:val="00005CD6"/>
    <w:rsid w:val="000120F7"/>
    <w:rsid w:val="0001314E"/>
    <w:rsid w:val="00021744"/>
    <w:rsid w:val="00025BCE"/>
    <w:rsid w:val="00026041"/>
    <w:rsid w:val="00032C00"/>
    <w:rsid w:val="0003417E"/>
    <w:rsid w:val="00034B70"/>
    <w:rsid w:val="00047501"/>
    <w:rsid w:val="000535AC"/>
    <w:rsid w:val="00053693"/>
    <w:rsid w:val="00055B90"/>
    <w:rsid w:val="000563E5"/>
    <w:rsid w:val="00056E0C"/>
    <w:rsid w:val="0007022C"/>
    <w:rsid w:val="00073C13"/>
    <w:rsid w:val="00076581"/>
    <w:rsid w:val="000874AE"/>
    <w:rsid w:val="00091996"/>
    <w:rsid w:val="000A1E5A"/>
    <w:rsid w:val="000A4E38"/>
    <w:rsid w:val="000B4470"/>
    <w:rsid w:val="000B44F1"/>
    <w:rsid w:val="000C1ECF"/>
    <w:rsid w:val="000D2D02"/>
    <w:rsid w:val="000D63DA"/>
    <w:rsid w:val="000E0E49"/>
    <w:rsid w:val="000E3988"/>
    <w:rsid w:val="000E6048"/>
    <w:rsid w:val="000F1F84"/>
    <w:rsid w:val="000F7485"/>
    <w:rsid w:val="00111C2C"/>
    <w:rsid w:val="00113BFC"/>
    <w:rsid w:val="00116608"/>
    <w:rsid w:val="00120330"/>
    <w:rsid w:val="001249DA"/>
    <w:rsid w:val="001303B6"/>
    <w:rsid w:val="00130FD1"/>
    <w:rsid w:val="001314DB"/>
    <w:rsid w:val="001335A6"/>
    <w:rsid w:val="001344FD"/>
    <w:rsid w:val="00141692"/>
    <w:rsid w:val="00141769"/>
    <w:rsid w:val="001417B7"/>
    <w:rsid w:val="00142A9F"/>
    <w:rsid w:val="0015020D"/>
    <w:rsid w:val="00154018"/>
    <w:rsid w:val="00157D38"/>
    <w:rsid w:val="00164B79"/>
    <w:rsid w:val="00164CBE"/>
    <w:rsid w:val="0017024E"/>
    <w:rsid w:val="0017247C"/>
    <w:rsid w:val="00174845"/>
    <w:rsid w:val="00182CC0"/>
    <w:rsid w:val="00185EDD"/>
    <w:rsid w:val="0019408F"/>
    <w:rsid w:val="0019601A"/>
    <w:rsid w:val="00196CD8"/>
    <w:rsid w:val="001A530F"/>
    <w:rsid w:val="001B4F95"/>
    <w:rsid w:val="001C1AA4"/>
    <w:rsid w:val="001C7B4C"/>
    <w:rsid w:val="001D1976"/>
    <w:rsid w:val="001D2B4E"/>
    <w:rsid w:val="001E066B"/>
    <w:rsid w:val="001E083A"/>
    <w:rsid w:val="001E0C5A"/>
    <w:rsid w:val="001E0C81"/>
    <w:rsid w:val="001E3545"/>
    <w:rsid w:val="001E6154"/>
    <w:rsid w:val="001E75A8"/>
    <w:rsid w:val="001E7906"/>
    <w:rsid w:val="001F07AA"/>
    <w:rsid w:val="001F4FDE"/>
    <w:rsid w:val="00200832"/>
    <w:rsid w:val="00205DB0"/>
    <w:rsid w:val="0021233C"/>
    <w:rsid w:val="0021391D"/>
    <w:rsid w:val="00223286"/>
    <w:rsid w:val="00223AC3"/>
    <w:rsid w:val="00231F37"/>
    <w:rsid w:val="00233135"/>
    <w:rsid w:val="00237DFB"/>
    <w:rsid w:val="00246595"/>
    <w:rsid w:val="00261CA2"/>
    <w:rsid w:val="0026782D"/>
    <w:rsid w:val="0028471D"/>
    <w:rsid w:val="00297CD8"/>
    <w:rsid w:val="002A021F"/>
    <w:rsid w:val="002A06D2"/>
    <w:rsid w:val="002A0D4F"/>
    <w:rsid w:val="002A3BD4"/>
    <w:rsid w:val="002A4C32"/>
    <w:rsid w:val="002A63C0"/>
    <w:rsid w:val="002B411B"/>
    <w:rsid w:val="002B7246"/>
    <w:rsid w:val="002C00C9"/>
    <w:rsid w:val="002D0406"/>
    <w:rsid w:val="002D0542"/>
    <w:rsid w:val="002D0A2F"/>
    <w:rsid w:val="002D2FC9"/>
    <w:rsid w:val="002D33D2"/>
    <w:rsid w:val="002D5D15"/>
    <w:rsid w:val="002E17B7"/>
    <w:rsid w:val="002E263E"/>
    <w:rsid w:val="002E2C9B"/>
    <w:rsid w:val="002E3DC1"/>
    <w:rsid w:val="002F3F43"/>
    <w:rsid w:val="002F40B9"/>
    <w:rsid w:val="00306D60"/>
    <w:rsid w:val="003110BC"/>
    <w:rsid w:val="00313F36"/>
    <w:rsid w:val="0031504D"/>
    <w:rsid w:val="00317184"/>
    <w:rsid w:val="00321222"/>
    <w:rsid w:val="00321E0A"/>
    <w:rsid w:val="00324B3B"/>
    <w:rsid w:val="00331440"/>
    <w:rsid w:val="00335B9F"/>
    <w:rsid w:val="00336C30"/>
    <w:rsid w:val="00340136"/>
    <w:rsid w:val="003410C2"/>
    <w:rsid w:val="003417F5"/>
    <w:rsid w:val="00353CF0"/>
    <w:rsid w:val="00363115"/>
    <w:rsid w:val="00363FE3"/>
    <w:rsid w:val="003677AE"/>
    <w:rsid w:val="00377B81"/>
    <w:rsid w:val="00383E11"/>
    <w:rsid w:val="00386C12"/>
    <w:rsid w:val="00390049"/>
    <w:rsid w:val="003A1441"/>
    <w:rsid w:val="003A3B75"/>
    <w:rsid w:val="003A4538"/>
    <w:rsid w:val="003B0485"/>
    <w:rsid w:val="003B0717"/>
    <w:rsid w:val="003B1F45"/>
    <w:rsid w:val="003B78F3"/>
    <w:rsid w:val="003C257C"/>
    <w:rsid w:val="003C2914"/>
    <w:rsid w:val="003D3D8C"/>
    <w:rsid w:val="003D58EA"/>
    <w:rsid w:val="003E2323"/>
    <w:rsid w:val="003E5A80"/>
    <w:rsid w:val="003F0D08"/>
    <w:rsid w:val="003F2F64"/>
    <w:rsid w:val="003F62D1"/>
    <w:rsid w:val="00420F62"/>
    <w:rsid w:val="00420FDE"/>
    <w:rsid w:val="00424E61"/>
    <w:rsid w:val="00432D26"/>
    <w:rsid w:val="00444D03"/>
    <w:rsid w:val="00445C7A"/>
    <w:rsid w:val="00446C9F"/>
    <w:rsid w:val="00447DBC"/>
    <w:rsid w:val="004502EF"/>
    <w:rsid w:val="00451362"/>
    <w:rsid w:val="00456C8D"/>
    <w:rsid w:val="004600D5"/>
    <w:rsid w:val="00462723"/>
    <w:rsid w:val="004643E9"/>
    <w:rsid w:val="00464AA2"/>
    <w:rsid w:val="00466E0C"/>
    <w:rsid w:val="00467F54"/>
    <w:rsid w:val="004700E8"/>
    <w:rsid w:val="00470758"/>
    <w:rsid w:val="00471AE4"/>
    <w:rsid w:val="004739C9"/>
    <w:rsid w:val="004747F2"/>
    <w:rsid w:val="00477EC6"/>
    <w:rsid w:val="004829AE"/>
    <w:rsid w:val="004839C3"/>
    <w:rsid w:val="004857D9"/>
    <w:rsid w:val="004A3091"/>
    <w:rsid w:val="004A5CFF"/>
    <w:rsid w:val="004A7243"/>
    <w:rsid w:val="004B1580"/>
    <w:rsid w:val="004B7591"/>
    <w:rsid w:val="004C571C"/>
    <w:rsid w:val="004C6086"/>
    <w:rsid w:val="004C6FFE"/>
    <w:rsid w:val="004C774E"/>
    <w:rsid w:val="004D40B0"/>
    <w:rsid w:val="004D5E99"/>
    <w:rsid w:val="004E2021"/>
    <w:rsid w:val="004E216F"/>
    <w:rsid w:val="004E7AF4"/>
    <w:rsid w:val="004F0FB9"/>
    <w:rsid w:val="004F15B5"/>
    <w:rsid w:val="004F16FD"/>
    <w:rsid w:val="004F3665"/>
    <w:rsid w:val="004F37D3"/>
    <w:rsid w:val="004F3B6B"/>
    <w:rsid w:val="004F7BA0"/>
    <w:rsid w:val="00500CAA"/>
    <w:rsid w:val="0051130A"/>
    <w:rsid w:val="00511FA4"/>
    <w:rsid w:val="00512F31"/>
    <w:rsid w:val="00521BC1"/>
    <w:rsid w:val="00527861"/>
    <w:rsid w:val="00530DB0"/>
    <w:rsid w:val="005310BC"/>
    <w:rsid w:val="005315B7"/>
    <w:rsid w:val="00531FDA"/>
    <w:rsid w:val="00536527"/>
    <w:rsid w:val="00540204"/>
    <w:rsid w:val="00540F35"/>
    <w:rsid w:val="00550E27"/>
    <w:rsid w:val="00551481"/>
    <w:rsid w:val="00556ADE"/>
    <w:rsid w:val="00561985"/>
    <w:rsid w:val="00567E48"/>
    <w:rsid w:val="00572587"/>
    <w:rsid w:val="00573AB3"/>
    <w:rsid w:val="00580A34"/>
    <w:rsid w:val="00581FD4"/>
    <w:rsid w:val="00586854"/>
    <w:rsid w:val="005A0F1C"/>
    <w:rsid w:val="005A2A38"/>
    <w:rsid w:val="005A77C7"/>
    <w:rsid w:val="005A7A6A"/>
    <w:rsid w:val="005B5895"/>
    <w:rsid w:val="005B58F5"/>
    <w:rsid w:val="005B5B5D"/>
    <w:rsid w:val="005B648F"/>
    <w:rsid w:val="005C2408"/>
    <w:rsid w:val="005C4836"/>
    <w:rsid w:val="005C5AD9"/>
    <w:rsid w:val="005D2EAF"/>
    <w:rsid w:val="005D59D7"/>
    <w:rsid w:val="005E00C1"/>
    <w:rsid w:val="005F13AA"/>
    <w:rsid w:val="005F613F"/>
    <w:rsid w:val="00610397"/>
    <w:rsid w:val="00615FCF"/>
    <w:rsid w:val="0061713B"/>
    <w:rsid w:val="0062006F"/>
    <w:rsid w:val="00627641"/>
    <w:rsid w:val="00632CC5"/>
    <w:rsid w:val="00636EDF"/>
    <w:rsid w:val="006400D4"/>
    <w:rsid w:val="00640914"/>
    <w:rsid w:val="0064752C"/>
    <w:rsid w:val="00660D6A"/>
    <w:rsid w:val="00663C80"/>
    <w:rsid w:val="00664ADF"/>
    <w:rsid w:val="006660D2"/>
    <w:rsid w:val="006752D6"/>
    <w:rsid w:val="00676C5D"/>
    <w:rsid w:val="006779C7"/>
    <w:rsid w:val="0068225B"/>
    <w:rsid w:val="006826AD"/>
    <w:rsid w:val="00685BB7"/>
    <w:rsid w:val="00685ECA"/>
    <w:rsid w:val="00690213"/>
    <w:rsid w:val="00693379"/>
    <w:rsid w:val="00693A2B"/>
    <w:rsid w:val="006A2D3B"/>
    <w:rsid w:val="006C247D"/>
    <w:rsid w:val="006C727D"/>
    <w:rsid w:val="006E47F1"/>
    <w:rsid w:val="006E4E7B"/>
    <w:rsid w:val="006E5360"/>
    <w:rsid w:val="006E555B"/>
    <w:rsid w:val="006F132F"/>
    <w:rsid w:val="006F1E2C"/>
    <w:rsid w:val="006F2767"/>
    <w:rsid w:val="006F2E0F"/>
    <w:rsid w:val="007012B3"/>
    <w:rsid w:val="00706462"/>
    <w:rsid w:val="0071129E"/>
    <w:rsid w:val="00712635"/>
    <w:rsid w:val="00722508"/>
    <w:rsid w:val="00737350"/>
    <w:rsid w:val="007505CA"/>
    <w:rsid w:val="007506B1"/>
    <w:rsid w:val="00752652"/>
    <w:rsid w:val="00755F54"/>
    <w:rsid w:val="007560F1"/>
    <w:rsid w:val="00764116"/>
    <w:rsid w:val="00770F91"/>
    <w:rsid w:val="00782A08"/>
    <w:rsid w:val="00784A04"/>
    <w:rsid w:val="007A0B29"/>
    <w:rsid w:val="007A1347"/>
    <w:rsid w:val="007A363D"/>
    <w:rsid w:val="007A3E11"/>
    <w:rsid w:val="007B1EDC"/>
    <w:rsid w:val="007C2BB9"/>
    <w:rsid w:val="007C5873"/>
    <w:rsid w:val="007C634C"/>
    <w:rsid w:val="007D047F"/>
    <w:rsid w:val="007D6547"/>
    <w:rsid w:val="007E02A1"/>
    <w:rsid w:val="007E7D43"/>
    <w:rsid w:val="007F7A95"/>
    <w:rsid w:val="00800345"/>
    <w:rsid w:val="0080085B"/>
    <w:rsid w:val="0080243E"/>
    <w:rsid w:val="0082515B"/>
    <w:rsid w:val="0082710E"/>
    <w:rsid w:val="00831EC5"/>
    <w:rsid w:val="008466FB"/>
    <w:rsid w:val="00853224"/>
    <w:rsid w:val="008566A2"/>
    <w:rsid w:val="00856E96"/>
    <w:rsid w:val="0086054E"/>
    <w:rsid w:val="00860B6F"/>
    <w:rsid w:val="00864C5E"/>
    <w:rsid w:val="008660FE"/>
    <w:rsid w:val="00875ED7"/>
    <w:rsid w:val="0087790C"/>
    <w:rsid w:val="00880738"/>
    <w:rsid w:val="00880761"/>
    <w:rsid w:val="00883E5A"/>
    <w:rsid w:val="008909DB"/>
    <w:rsid w:val="00890F29"/>
    <w:rsid w:val="008913C5"/>
    <w:rsid w:val="00892B35"/>
    <w:rsid w:val="00892CF2"/>
    <w:rsid w:val="00892DB5"/>
    <w:rsid w:val="008A178F"/>
    <w:rsid w:val="008B3395"/>
    <w:rsid w:val="008C1251"/>
    <w:rsid w:val="008C417F"/>
    <w:rsid w:val="008C5D6D"/>
    <w:rsid w:val="008D5135"/>
    <w:rsid w:val="008E057E"/>
    <w:rsid w:val="008E1893"/>
    <w:rsid w:val="008E38E0"/>
    <w:rsid w:val="008F0213"/>
    <w:rsid w:val="009048BB"/>
    <w:rsid w:val="00911351"/>
    <w:rsid w:val="009169B4"/>
    <w:rsid w:val="009176C7"/>
    <w:rsid w:val="00932D17"/>
    <w:rsid w:val="009334D1"/>
    <w:rsid w:val="00936051"/>
    <w:rsid w:val="00944337"/>
    <w:rsid w:val="00944DB3"/>
    <w:rsid w:val="00945226"/>
    <w:rsid w:val="0097226E"/>
    <w:rsid w:val="00974937"/>
    <w:rsid w:val="00980628"/>
    <w:rsid w:val="00980716"/>
    <w:rsid w:val="00985124"/>
    <w:rsid w:val="00990BBB"/>
    <w:rsid w:val="009A2967"/>
    <w:rsid w:val="009B7557"/>
    <w:rsid w:val="009D02B7"/>
    <w:rsid w:val="009D49B6"/>
    <w:rsid w:val="009D66E5"/>
    <w:rsid w:val="009D7357"/>
    <w:rsid w:val="009E0DDD"/>
    <w:rsid w:val="009E600E"/>
    <w:rsid w:val="009E7A53"/>
    <w:rsid w:val="009E7F45"/>
    <w:rsid w:val="009F2753"/>
    <w:rsid w:val="009F35DB"/>
    <w:rsid w:val="009F7E68"/>
    <w:rsid w:val="00A00A26"/>
    <w:rsid w:val="00A0481C"/>
    <w:rsid w:val="00A12F9A"/>
    <w:rsid w:val="00A139F2"/>
    <w:rsid w:val="00A14B9B"/>
    <w:rsid w:val="00A16ECF"/>
    <w:rsid w:val="00A222D7"/>
    <w:rsid w:val="00A24D62"/>
    <w:rsid w:val="00A35485"/>
    <w:rsid w:val="00A56BB6"/>
    <w:rsid w:val="00A62FC4"/>
    <w:rsid w:val="00A66879"/>
    <w:rsid w:val="00A82B53"/>
    <w:rsid w:val="00A90E0E"/>
    <w:rsid w:val="00A910DD"/>
    <w:rsid w:val="00A91275"/>
    <w:rsid w:val="00A91287"/>
    <w:rsid w:val="00A937C8"/>
    <w:rsid w:val="00A95F5B"/>
    <w:rsid w:val="00A97F1B"/>
    <w:rsid w:val="00AA0662"/>
    <w:rsid w:val="00AA124D"/>
    <w:rsid w:val="00AA593D"/>
    <w:rsid w:val="00AA60E2"/>
    <w:rsid w:val="00AA63B9"/>
    <w:rsid w:val="00AA7E09"/>
    <w:rsid w:val="00AB13D0"/>
    <w:rsid w:val="00AB1E98"/>
    <w:rsid w:val="00AB39A0"/>
    <w:rsid w:val="00AB435B"/>
    <w:rsid w:val="00AB564E"/>
    <w:rsid w:val="00AB79C2"/>
    <w:rsid w:val="00AC0B8C"/>
    <w:rsid w:val="00AD0AC2"/>
    <w:rsid w:val="00AD7D6B"/>
    <w:rsid w:val="00AE4D0B"/>
    <w:rsid w:val="00AF5913"/>
    <w:rsid w:val="00B01CE9"/>
    <w:rsid w:val="00B05A75"/>
    <w:rsid w:val="00B0788E"/>
    <w:rsid w:val="00B10E61"/>
    <w:rsid w:val="00B125B8"/>
    <w:rsid w:val="00B13D9B"/>
    <w:rsid w:val="00B215F6"/>
    <w:rsid w:val="00B3112E"/>
    <w:rsid w:val="00B36C72"/>
    <w:rsid w:val="00B36FAA"/>
    <w:rsid w:val="00B37324"/>
    <w:rsid w:val="00B41B70"/>
    <w:rsid w:val="00B431E0"/>
    <w:rsid w:val="00B4629C"/>
    <w:rsid w:val="00B51BA1"/>
    <w:rsid w:val="00B52694"/>
    <w:rsid w:val="00B5272B"/>
    <w:rsid w:val="00B6034F"/>
    <w:rsid w:val="00B65952"/>
    <w:rsid w:val="00B72342"/>
    <w:rsid w:val="00B725A8"/>
    <w:rsid w:val="00B750C6"/>
    <w:rsid w:val="00B752A2"/>
    <w:rsid w:val="00B77199"/>
    <w:rsid w:val="00B77F47"/>
    <w:rsid w:val="00B818F0"/>
    <w:rsid w:val="00B87E14"/>
    <w:rsid w:val="00B90A12"/>
    <w:rsid w:val="00B90F45"/>
    <w:rsid w:val="00B9524A"/>
    <w:rsid w:val="00B96250"/>
    <w:rsid w:val="00BA1913"/>
    <w:rsid w:val="00BA3366"/>
    <w:rsid w:val="00BA33FF"/>
    <w:rsid w:val="00BB0065"/>
    <w:rsid w:val="00BB4FF8"/>
    <w:rsid w:val="00BB7657"/>
    <w:rsid w:val="00BC32F6"/>
    <w:rsid w:val="00BC51CC"/>
    <w:rsid w:val="00BC6364"/>
    <w:rsid w:val="00BC7B72"/>
    <w:rsid w:val="00BE11B5"/>
    <w:rsid w:val="00BE1CCF"/>
    <w:rsid w:val="00BE506B"/>
    <w:rsid w:val="00BE6DCB"/>
    <w:rsid w:val="00BF3479"/>
    <w:rsid w:val="00BF5B98"/>
    <w:rsid w:val="00BF672B"/>
    <w:rsid w:val="00C03E08"/>
    <w:rsid w:val="00C06675"/>
    <w:rsid w:val="00C100ED"/>
    <w:rsid w:val="00C104D5"/>
    <w:rsid w:val="00C11CEA"/>
    <w:rsid w:val="00C12022"/>
    <w:rsid w:val="00C2148F"/>
    <w:rsid w:val="00C229B5"/>
    <w:rsid w:val="00C25690"/>
    <w:rsid w:val="00C2596B"/>
    <w:rsid w:val="00C32436"/>
    <w:rsid w:val="00C32636"/>
    <w:rsid w:val="00C33707"/>
    <w:rsid w:val="00C35E53"/>
    <w:rsid w:val="00C37B4B"/>
    <w:rsid w:val="00C40B81"/>
    <w:rsid w:val="00C52589"/>
    <w:rsid w:val="00C56E2E"/>
    <w:rsid w:val="00C575B3"/>
    <w:rsid w:val="00C61856"/>
    <w:rsid w:val="00C65942"/>
    <w:rsid w:val="00C67A0F"/>
    <w:rsid w:val="00C71FE3"/>
    <w:rsid w:val="00C74BD7"/>
    <w:rsid w:val="00C77415"/>
    <w:rsid w:val="00C80140"/>
    <w:rsid w:val="00C87045"/>
    <w:rsid w:val="00C91401"/>
    <w:rsid w:val="00CA2B98"/>
    <w:rsid w:val="00CA30F8"/>
    <w:rsid w:val="00CA317E"/>
    <w:rsid w:val="00CA3E6F"/>
    <w:rsid w:val="00CC4B63"/>
    <w:rsid w:val="00CD28B0"/>
    <w:rsid w:val="00CD7BC4"/>
    <w:rsid w:val="00CE4CF4"/>
    <w:rsid w:val="00CE74C6"/>
    <w:rsid w:val="00CF4AEF"/>
    <w:rsid w:val="00CF6714"/>
    <w:rsid w:val="00CF6723"/>
    <w:rsid w:val="00D00596"/>
    <w:rsid w:val="00D05173"/>
    <w:rsid w:val="00D05FB9"/>
    <w:rsid w:val="00D06250"/>
    <w:rsid w:val="00D06915"/>
    <w:rsid w:val="00D152FF"/>
    <w:rsid w:val="00D2190C"/>
    <w:rsid w:val="00D30258"/>
    <w:rsid w:val="00D3537C"/>
    <w:rsid w:val="00D35880"/>
    <w:rsid w:val="00D40DF3"/>
    <w:rsid w:val="00D42059"/>
    <w:rsid w:val="00D436BA"/>
    <w:rsid w:val="00D45604"/>
    <w:rsid w:val="00D538FB"/>
    <w:rsid w:val="00D65964"/>
    <w:rsid w:val="00D76399"/>
    <w:rsid w:val="00D81379"/>
    <w:rsid w:val="00D818D6"/>
    <w:rsid w:val="00D82332"/>
    <w:rsid w:val="00D832A5"/>
    <w:rsid w:val="00D84F23"/>
    <w:rsid w:val="00D92322"/>
    <w:rsid w:val="00D92C4D"/>
    <w:rsid w:val="00DA7D83"/>
    <w:rsid w:val="00DB1D1D"/>
    <w:rsid w:val="00DB2C4E"/>
    <w:rsid w:val="00DB3A55"/>
    <w:rsid w:val="00DB6E31"/>
    <w:rsid w:val="00DC3654"/>
    <w:rsid w:val="00DC6FCB"/>
    <w:rsid w:val="00DD0538"/>
    <w:rsid w:val="00DD4614"/>
    <w:rsid w:val="00DD6940"/>
    <w:rsid w:val="00DD7845"/>
    <w:rsid w:val="00DE0254"/>
    <w:rsid w:val="00DE560B"/>
    <w:rsid w:val="00DF2B9D"/>
    <w:rsid w:val="00DF3AE3"/>
    <w:rsid w:val="00E01FDA"/>
    <w:rsid w:val="00E04264"/>
    <w:rsid w:val="00E0453A"/>
    <w:rsid w:val="00E06E8D"/>
    <w:rsid w:val="00E11129"/>
    <w:rsid w:val="00E12182"/>
    <w:rsid w:val="00E14F56"/>
    <w:rsid w:val="00E27551"/>
    <w:rsid w:val="00E34AE4"/>
    <w:rsid w:val="00E35FAA"/>
    <w:rsid w:val="00E40087"/>
    <w:rsid w:val="00E46286"/>
    <w:rsid w:val="00E6142B"/>
    <w:rsid w:val="00E62153"/>
    <w:rsid w:val="00E6377C"/>
    <w:rsid w:val="00E63EFF"/>
    <w:rsid w:val="00E65218"/>
    <w:rsid w:val="00E666BE"/>
    <w:rsid w:val="00E6701E"/>
    <w:rsid w:val="00E70C51"/>
    <w:rsid w:val="00E9561C"/>
    <w:rsid w:val="00E95B82"/>
    <w:rsid w:val="00EB474C"/>
    <w:rsid w:val="00EB743D"/>
    <w:rsid w:val="00EC1515"/>
    <w:rsid w:val="00EC7259"/>
    <w:rsid w:val="00ED1960"/>
    <w:rsid w:val="00ED6797"/>
    <w:rsid w:val="00ED724B"/>
    <w:rsid w:val="00EE4085"/>
    <w:rsid w:val="00EE5FAE"/>
    <w:rsid w:val="00EF1B23"/>
    <w:rsid w:val="00EF74C7"/>
    <w:rsid w:val="00F0724C"/>
    <w:rsid w:val="00F10404"/>
    <w:rsid w:val="00F12EBD"/>
    <w:rsid w:val="00F22D33"/>
    <w:rsid w:val="00F274FA"/>
    <w:rsid w:val="00F301CA"/>
    <w:rsid w:val="00F30F99"/>
    <w:rsid w:val="00F333BF"/>
    <w:rsid w:val="00F455EF"/>
    <w:rsid w:val="00F45B5D"/>
    <w:rsid w:val="00F520E8"/>
    <w:rsid w:val="00F53496"/>
    <w:rsid w:val="00F55017"/>
    <w:rsid w:val="00F62245"/>
    <w:rsid w:val="00F777D4"/>
    <w:rsid w:val="00F807F5"/>
    <w:rsid w:val="00F81F4B"/>
    <w:rsid w:val="00F84B08"/>
    <w:rsid w:val="00F9063D"/>
    <w:rsid w:val="00F94185"/>
    <w:rsid w:val="00F9691D"/>
    <w:rsid w:val="00FA1C86"/>
    <w:rsid w:val="00FA253C"/>
    <w:rsid w:val="00FA383B"/>
    <w:rsid w:val="00FA55C9"/>
    <w:rsid w:val="00FB1EA5"/>
    <w:rsid w:val="00FB2964"/>
    <w:rsid w:val="00FB4BD8"/>
    <w:rsid w:val="00FB4FD7"/>
    <w:rsid w:val="00FB70B2"/>
    <w:rsid w:val="00FC40F4"/>
    <w:rsid w:val="00FD70C1"/>
    <w:rsid w:val="00FE1255"/>
    <w:rsid w:val="00FE1451"/>
    <w:rsid w:val="00FE1ED5"/>
    <w:rsid w:val="00FE2656"/>
    <w:rsid w:val="00FE2789"/>
    <w:rsid w:val="00FF10FF"/>
    <w:rsid w:val="00FF31EB"/>
    <w:rsid w:val="1F26134E"/>
    <w:rsid w:val="2AE7A1F7"/>
    <w:rsid w:val="2B44CEB9"/>
    <w:rsid w:val="63F241CB"/>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FD0CF9A"/>
  <w15:chartTrackingRefBased/>
  <w15:docId w15:val="{9019D89F-093D-41F3-BB16-E3AC6042B8A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0" w:unhideWhenUsed="1" w:qFormat="1"/>
    <w:lsdException w:name="heading 6" w:semiHidden="1" w:uiPriority="9" w:unhideWhenUsed="1" w:qFormat="1"/>
    <w:lsdException w:name="heading 7" w:semiHidden="1" w:uiPriority="0"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rsid w:val="00BF5B98"/>
    <w:pPr>
      <w:spacing w:after="0" w:line="240" w:lineRule="auto"/>
      <w:jc w:val="both"/>
    </w:pPr>
    <w:rPr>
      <w:rFonts w:ascii="Times New Roman" w:hAnsi="Times New Roman"/>
      <w:sz w:val="24"/>
    </w:rPr>
  </w:style>
  <w:style w:type="paragraph" w:styleId="Nadpis1">
    <w:name w:val="heading 1"/>
    <w:aliases w:val="A Nadpis 1"/>
    <w:basedOn w:val="Normln"/>
    <w:next w:val="Normln"/>
    <w:link w:val="Nadpis1Char"/>
    <w:uiPriority w:val="9"/>
    <w:qFormat/>
    <w:rsid w:val="00A139F2"/>
    <w:pPr>
      <w:keepNext/>
      <w:keepLines/>
      <w:numPr>
        <w:numId w:val="1"/>
      </w:numPr>
      <w:spacing w:before="120" w:after="120"/>
      <w:outlineLvl w:val="0"/>
    </w:pPr>
    <w:rPr>
      <w:rFonts w:eastAsiaTheme="majorEastAsia" w:cs="Times New Roman"/>
      <w:b/>
      <w:bCs/>
      <w:sz w:val="28"/>
      <w:szCs w:val="32"/>
      <w:lang w:val="cs-CZ"/>
    </w:rPr>
  </w:style>
  <w:style w:type="paragraph" w:styleId="Nadpis2">
    <w:name w:val="heading 2"/>
    <w:aliases w:val="A Nadpis 2"/>
    <w:basedOn w:val="Normln"/>
    <w:next w:val="Normln"/>
    <w:link w:val="Nadpis2Char"/>
    <w:uiPriority w:val="9"/>
    <w:unhideWhenUsed/>
    <w:qFormat/>
    <w:rsid w:val="00A139F2"/>
    <w:pPr>
      <w:keepNext/>
      <w:keepLines/>
      <w:numPr>
        <w:ilvl w:val="1"/>
        <w:numId w:val="1"/>
      </w:numPr>
      <w:spacing w:before="120" w:after="120"/>
      <w:ind w:left="578" w:hanging="578"/>
      <w:outlineLvl w:val="1"/>
    </w:pPr>
    <w:rPr>
      <w:rFonts w:eastAsiaTheme="majorEastAsia" w:cs="Times New Roman"/>
      <w:b/>
      <w:bCs/>
      <w:sz w:val="26"/>
      <w:szCs w:val="28"/>
      <w:lang w:val="cs-CZ"/>
    </w:rPr>
  </w:style>
  <w:style w:type="paragraph" w:styleId="Nadpis3">
    <w:name w:val="heading 3"/>
    <w:aliases w:val="A Nadpis 3"/>
    <w:basedOn w:val="Normln"/>
    <w:next w:val="Normln"/>
    <w:link w:val="Nadpis3Char"/>
    <w:uiPriority w:val="9"/>
    <w:unhideWhenUsed/>
    <w:qFormat/>
    <w:rsid w:val="00A139F2"/>
    <w:pPr>
      <w:keepNext/>
      <w:keepLines/>
      <w:numPr>
        <w:ilvl w:val="2"/>
        <w:numId w:val="1"/>
      </w:numPr>
      <w:spacing w:before="120" w:after="120"/>
      <w:outlineLvl w:val="2"/>
    </w:pPr>
    <w:rPr>
      <w:rFonts w:eastAsiaTheme="majorEastAsia" w:cstheme="majorBidi"/>
      <w:b/>
      <w:bCs/>
      <w:szCs w:val="26"/>
    </w:rPr>
  </w:style>
  <w:style w:type="paragraph" w:styleId="Nadpis4">
    <w:name w:val="heading 4"/>
    <w:basedOn w:val="Normln"/>
    <w:next w:val="Normln"/>
    <w:link w:val="Nadpis4Char"/>
    <w:uiPriority w:val="9"/>
    <w:unhideWhenUsed/>
    <w:qFormat/>
    <w:rsid w:val="006752D6"/>
    <w:pPr>
      <w:keepNext/>
      <w:keepLines/>
      <w:numPr>
        <w:ilvl w:val="3"/>
        <w:numId w:val="1"/>
      </w:numPr>
      <w:spacing w:before="40"/>
      <w:outlineLvl w:val="3"/>
    </w:pPr>
    <w:rPr>
      <w:rFonts w:asciiTheme="majorHAnsi" w:eastAsiaTheme="majorEastAsia" w:hAnsiTheme="majorHAnsi" w:cstheme="majorBidi"/>
      <w:i/>
      <w:iCs/>
      <w:color w:val="2F5496" w:themeColor="accent1" w:themeShade="BF"/>
    </w:rPr>
  </w:style>
  <w:style w:type="paragraph" w:styleId="Nadpis5">
    <w:name w:val="heading 5"/>
    <w:basedOn w:val="Normln"/>
    <w:next w:val="Normln"/>
    <w:link w:val="Nadpis5Char"/>
    <w:unhideWhenUsed/>
    <w:qFormat/>
    <w:rsid w:val="00B87E14"/>
    <w:pPr>
      <w:keepNext/>
      <w:keepLines/>
      <w:numPr>
        <w:ilvl w:val="4"/>
        <w:numId w:val="1"/>
      </w:numPr>
      <w:spacing w:before="40" w:after="120" w:line="276" w:lineRule="auto"/>
      <w:outlineLvl w:val="4"/>
    </w:pPr>
    <w:rPr>
      <w:rFonts w:ascii="Arial" w:eastAsiaTheme="majorEastAsia" w:hAnsi="Arial" w:cstheme="majorBidi"/>
      <w:sz w:val="28"/>
      <w:szCs w:val="24"/>
      <w:lang w:val="cs-CZ"/>
    </w:rPr>
  </w:style>
  <w:style w:type="paragraph" w:styleId="Nadpis6">
    <w:name w:val="heading 6"/>
    <w:basedOn w:val="Normln"/>
    <w:next w:val="Normln"/>
    <w:link w:val="Nadpis6Char"/>
    <w:uiPriority w:val="9"/>
    <w:semiHidden/>
    <w:unhideWhenUsed/>
    <w:qFormat/>
    <w:rsid w:val="00034B70"/>
    <w:pPr>
      <w:keepNext/>
      <w:keepLines/>
      <w:numPr>
        <w:ilvl w:val="5"/>
        <w:numId w:val="1"/>
      </w:numPr>
      <w:spacing w:before="40"/>
      <w:outlineLvl w:val="5"/>
    </w:pPr>
    <w:rPr>
      <w:rFonts w:eastAsiaTheme="majorEastAsia" w:cstheme="majorBidi"/>
      <w:b/>
      <w:i/>
      <w:color w:val="385623" w:themeColor="accent6" w:themeShade="80"/>
    </w:rPr>
  </w:style>
  <w:style w:type="paragraph" w:styleId="Nadpis7">
    <w:name w:val="heading 7"/>
    <w:basedOn w:val="Normln"/>
    <w:next w:val="Normln"/>
    <w:link w:val="Nadpis7Char"/>
    <w:unhideWhenUsed/>
    <w:qFormat/>
    <w:rsid w:val="00B87E14"/>
    <w:pPr>
      <w:keepNext/>
      <w:keepLines/>
      <w:numPr>
        <w:ilvl w:val="6"/>
        <w:numId w:val="1"/>
      </w:numPr>
      <w:spacing w:before="240" w:after="120" w:line="276" w:lineRule="auto"/>
      <w:jc w:val="center"/>
      <w:outlineLvl w:val="6"/>
    </w:pPr>
    <w:rPr>
      <w:rFonts w:eastAsiaTheme="majorEastAsia" w:cstheme="majorBidi"/>
      <w:i/>
      <w:iCs/>
      <w:color w:val="525252" w:themeColor="accent3" w:themeShade="80"/>
      <w:szCs w:val="24"/>
      <w:lang w:val="cs-CZ"/>
    </w:rPr>
  </w:style>
  <w:style w:type="paragraph" w:styleId="Nadpis8">
    <w:name w:val="heading 8"/>
    <w:basedOn w:val="Normln"/>
    <w:next w:val="Normln"/>
    <w:link w:val="Nadpis8Char"/>
    <w:uiPriority w:val="9"/>
    <w:semiHidden/>
    <w:unhideWhenUsed/>
    <w:qFormat/>
    <w:rsid w:val="006752D6"/>
    <w:pPr>
      <w:keepNext/>
      <w:keepLines/>
      <w:numPr>
        <w:ilvl w:val="7"/>
        <w:numId w:val="1"/>
      </w:numPr>
      <w:spacing w:before="40"/>
      <w:outlineLvl w:val="7"/>
    </w:pPr>
    <w:rPr>
      <w:rFonts w:asciiTheme="majorHAnsi" w:eastAsiaTheme="majorEastAsia" w:hAnsiTheme="majorHAnsi" w:cstheme="majorBidi"/>
      <w:color w:val="272727" w:themeColor="text1" w:themeTint="D8"/>
      <w:sz w:val="21"/>
      <w:szCs w:val="21"/>
    </w:rPr>
  </w:style>
  <w:style w:type="paragraph" w:styleId="Nadpis9">
    <w:name w:val="heading 9"/>
    <w:basedOn w:val="Normln"/>
    <w:next w:val="Normln"/>
    <w:link w:val="Nadpis9Char"/>
    <w:uiPriority w:val="9"/>
    <w:semiHidden/>
    <w:unhideWhenUsed/>
    <w:qFormat/>
    <w:rsid w:val="006752D6"/>
    <w:pPr>
      <w:keepNext/>
      <w:keepLines/>
      <w:numPr>
        <w:ilvl w:val="8"/>
        <w:numId w:val="1"/>
      </w:numPr>
      <w:tabs>
        <w:tab w:val="num" w:pos="360"/>
      </w:tabs>
      <w:spacing w:before="40"/>
      <w:ind w:left="0" w:firstLine="0"/>
      <w:outlineLvl w:val="8"/>
    </w:pPr>
    <w:rPr>
      <w:rFonts w:asciiTheme="majorHAnsi" w:eastAsiaTheme="majorEastAsia" w:hAnsiTheme="majorHAnsi" w:cstheme="majorBidi"/>
      <w:i/>
      <w:iCs/>
      <w:color w:val="272727" w:themeColor="text1" w:themeTint="D8"/>
      <w:sz w:val="21"/>
      <w:szCs w:val="21"/>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normaltextrun">
    <w:name w:val="normaltextrun"/>
    <w:basedOn w:val="Standardnpsmoodstavce"/>
    <w:rsid w:val="00B87E14"/>
  </w:style>
  <w:style w:type="paragraph" w:styleId="Textbubliny">
    <w:name w:val="Balloon Text"/>
    <w:basedOn w:val="Normln"/>
    <w:link w:val="TextbublinyChar"/>
    <w:uiPriority w:val="99"/>
    <w:semiHidden/>
    <w:unhideWhenUsed/>
    <w:rsid w:val="00B87E14"/>
    <w:rPr>
      <w:rFonts w:ascii="Segoe UI" w:hAnsi="Segoe UI" w:cs="Segoe UI"/>
      <w:sz w:val="18"/>
      <w:szCs w:val="18"/>
    </w:rPr>
  </w:style>
  <w:style w:type="character" w:customStyle="1" w:styleId="TextbublinyChar">
    <w:name w:val="Text bubliny Char"/>
    <w:basedOn w:val="Standardnpsmoodstavce"/>
    <w:link w:val="Textbubliny"/>
    <w:uiPriority w:val="99"/>
    <w:semiHidden/>
    <w:rsid w:val="00B87E14"/>
    <w:rPr>
      <w:rFonts w:ascii="Segoe UI" w:hAnsi="Segoe UI" w:cs="Segoe UI"/>
      <w:sz w:val="18"/>
      <w:szCs w:val="18"/>
    </w:rPr>
  </w:style>
  <w:style w:type="character" w:customStyle="1" w:styleId="Nadpis5Char">
    <w:name w:val="Nadpis 5 Char"/>
    <w:basedOn w:val="Standardnpsmoodstavce"/>
    <w:link w:val="Nadpis5"/>
    <w:rsid w:val="00B87E14"/>
    <w:rPr>
      <w:rFonts w:ascii="Arial" w:eastAsiaTheme="majorEastAsia" w:hAnsi="Arial" w:cstheme="majorBidi"/>
      <w:sz w:val="28"/>
      <w:szCs w:val="24"/>
      <w:lang w:val="cs-CZ"/>
    </w:rPr>
  </w:style>
  <w:style w:type="character" w:customStyle="1" w:styleId="Nadpis7Char">
    <w:name w:val="Nadpis 7 Char"/>
    <w:basedOn w:val="Standardnpsmoodstavce"/>
    <w:link w:val="Nadpis7"/>
    <w:rsid w:val="00B87E14"/>
    <w:rPr>
      <w:rFonts w:ascii="Times New Roman" w:eastAsiaTheme="majorEastAsia" w:hAnsi="Times New Roman" w:cstheme="majorBidi"/>
      <w:i/>
      <w:iCs/>
      <w:color w:val="525252" w:themeColor="accent3" w:themeShade="80"/>
      <w:sz w:val="24"/>
      <w:szCs w:val="24"/>
      <w:lang w:val="cs-CZ"/>
    </w:rPr>
  </w:style>
  <w:style w:type="paragraph" w:styleId="Odstavecseseznamem">
    <w:name w:val="List Paragraph"/>
    <w:aliases w:val="List Paragraph compact,Normal bullet 2,Paragraphe de liste 2,Reference list,Bullet list,Numbered List,List Paragraph1,1st level - Bullet List Paragraph,Lettre d'introduction,Paragraph,Bullet EY,List Paragraph11,Normal bullet 21,Nad"/>
    <w:basedOn w:val="Normln"/>
    <w:link w:val="OdstavecseseznamemChar"/>
    <w:uiPriority w:val="34"/>
    <w:qFormat/>
    <w:rsid w:val="00164CBE"/>
    <w:pPr>
      <w:spacing w:line="276" w:lineRule="auto"/>
      <w:ind w:left="720"/>
      <w:contextualSpacing/>
    </w:pPr>
    <w:rPr>
      <w:rFonts w:eastAsia="Calibri" w:cs="Times New Roman"/>
      <w:szCs w:val="24"/>
      <w:lang w:val="cs-CZ"/>
    </w:rPr>
  </w:style>
  <w:style w:type="paragraph" w:styleId="Textpoznpodarou">
    <w:name w:val="footnote text"/>
    <w:aliases w:val="Char1,Schriftart: 9 pt,Schriftart: 10 pt,Schriftart: 8 pt,Text poznámky pod čiarou 007,Footnote,Fußnotentextf,Geneva 9,Font: Geneva 9,Boston 10,f,pozn. pod čarou,Text pozn. pod čarou1,Char Char Char1,Footnote Text Char1,o, Char1,fn"/>
    <w:basedOn w:val="Normln"/>
    <w:link w:val="TextpoznpodarouChar"/>
    <w:uiPriority w:val="99"/>
    <w:qFormat/>
    <w:rsid w:val="00B87E14"/>
    <w:rPr>
      <w:rFonts w:eastAsia="Calibri" w:cs="Times New Roman"/>
      <w:sz w:val="20"/>
      <w:szCs w:val="20"/>
      <w:lang w:val="cs-CZ"/>
    </w:rPr>
  </w:style>
  <w:style w:type="character" w:customStyle="1" w:styleId="TextpoznpodarouChar">
    <w:name w:val="Text pozn. pod čarou Char"/>
    <w:aliases w:val="Char1 Char,Schriftart: 9 pt Char,Schriftart: 10 pt Char,Schriftart: 8 pt Char,Text poznámky pod čiarou 007 Char,Footnote Char,Fußnotentextf Char,Geneva 9 Char,Font: Geneva 9 Char,Boston 10 Char,f Char,pozn. pod čarou Char"/>
    <w:basedOn w:val="Standardnpsmoodstavce"/>
    <w:link w:val="Textpoznpodarou"/>
    <w:uiPriority w:val="99"/>
    <w:qFormat/>
    <w:rsid w:val="00B87E14"/>
    <w:rPr>
      <w:rFonts w:ascii="Times New Roman" w:eastAsia="Calibri" w:hAnsi="Times New Roman" w:cs="Times New Roman"/>
      <w:sz w:val="20"/>
      <w:szCs w:val="20"/>
      <w:lang w:val="cs-CZ"/>
    </w:rPr>
  </w:style>
  <w:style w:type="character" w:styleId="Znakapoznpodarou">
    <w:name w:val="footnote reference"/>
    <w:aliases w:val="PGI Fußnote Ziffer,BVI fnr,Footnote symbol,Footnote Reference Superscript,Appel note de bas de p,Appel note de bas de page,Légende,Char Car Car Car Car,Voetnootverwijzing,Légende;Char Car Car Car Car,Légende.Char Car Car Car Car"/>
    <w:basedOn w:val="Standardnpsmoodstavce"/>
    <w:uiPriority w:val="99"/>
    <w:qFormat/>
    <w:rsid w:val="00B87E14"/>
    <w:rPr>
      <w:rFonts w:cs="Times New Roman"/>
      <w:vertAlign w:val="superscript"/>
    </w:rPr>
  </w:style>
  <w:style w:type="character" w:styleId="Odkaznakoment">
    <w:name w:val="annotation reference"/>
    <w:basedOn w:val="Standardnpsmoodstavce"/>
    <w:uiPriority w:val="99"/>
    <w:unhideWhenUsed/>
    <w:rsid w:val="00B87E14"/>
    <w:rPr>
      <w:sz w:val="16"/>
      <w:szCs w:val="16"/>
    </w:rPr>
  </w:style>
  <w:style w:type="paragraph" w:styleId="Textkomente">
    <w:name w:val="annotation text"/>
    <w:basedOn w:val="Normln"/>
    <w:link w:val="TextkomenteChar"/>
    <w:uiPriority w:val="99"/>
    <w:unhideWhenUsed/>
    <w:rsid w:val="00B87E14"/>
    <w:pPr>
      <w:spacing w:after="120"/>
    </w:pPr>
    <w:rPr>
      <w:rFonts w:eastAsia="Calibri" w:cs="Times New Roman"/>
      <w:sz w:val="20"/>
      <w:szCs w:val="20"/>
      <w:lang w:val="cs-CZ"/>
    </w:rPr>
  </w:style>
  <w:style w:type="character" w:customStyle="1" w:styleId="TextkomenteChar">
    <w:name w:val="Text komentáře Char"/>
    <w:basedOn w:val="Standardnpsmoodstavce"/>
    <w:link w:val="Textkomente"/>
    <w:uiPriority w:val="99"/>
    <w:rsid w:val="00B87E14"/>
    <w:rPr>
      <w:rFonts w:ascii="Times New Roman" w:eastAsia="Calibri" w:hAnsi="Times New Roman" w:cs="Times New Roman"/>
      <w:sz w:val="20"/>
      <w:szCs w:val="20"/>
      <w:lang w:val="cs-CZ"/>
    </w:rPr>
  </w:style>
  <w:style w:type="paragraph" w:customStyle="1" w:styleId="ManualNumPar1">
    <w:name w:val="Manual NumPar 1"/>
    <w:basedOn w:val="Normln"/>
    <w:next w:val="Normln"/>
    <w:rsid w:val="00B87E14"/>
    <w:pPr>
      <w:spacing w:before="120" w:after="120"/>
      <w:ind w:left="850" w:hanging="850"/>
    </w:pPr>
    <w:rPr>
      <w:rFonts w:cs="Times New Roman"/>
      <w:lang w:val="cs-CZ"/>
    </w:rPr>
  </w:style>
  <w:style w:type="paragraph" w:customStyle="1" w:styleId="Titrearticle">
    <w:name w:val="Titre article"/>
    <w:basedOn w:val="Normln"/>
    <w:next w:val="Normln"/>
    <w:rsid w:val="00B87E14"/>
    <w:pPr>
      <w:keepNext/>
      <w:spacing w:before="360" w:after="120"/>
      <w:jc w:val="center"/>
    </w:pPr>
    <w:rPr>
      <w:rFonts w:cs="Times New Roman"/>
      <w:i/>
      <w:lang w:val="cs-CZ"/>
    </w:rPr>
  </w:style>
  <w:style w:type="paragraph" w:customStyle="1" w:styleId="Point1">
    <w:name w:val="Point 1"/>
    <w:basedOn w:val="Normln"/>
    <w:rsid w:val="00B87E14"/>
    <w:pPr>
      <w:spacing w:before="120" w:after="120"/>
      <w:ind w:left="1417" w:hanging="567"/>
    </w:pPr>
    <w:rPr>
      <w:rFonts w:cs="Times New Roman"/>
      <w:lang w:val="cs-CZ"/>
    </w:rPr>
  </w:style>
  <w:style w:type="paragraph" w:customStyle="1" w:styleId="ManualConsidrant">
    <w:name w:val="Manual Considérant"/>
    <w:basedOn w:val="Normln"/>
    <w:rsid w:val="00B87E14"/>
    <w:pPr>
      <w:spacing w:before="120" w:after="120"/>
      <w:ind w:left="709" w:hanging="709"/>
    </w:pPr>
    <w:rPr>
      <w:rFonts w:cs="Times New Roman"/>
      <w:lang w:val="cs-CZ"/>
    </w:rPr>
  </w:style>
  <w:style w:type="paragraph" w:customStyle="1" w:styleId="Point2">
    <w:name w:val="Point 2"/>
    <w:basedOn w:val="Normln"/>
    <w:rsid w:val="00B87E14"/>
    <w:pPr>
      <w:spacing w:before="120" w:after="120"/>
      <w:ind w:left="1984" w:hanging="567"/>
    </w:pPr>
    <w:rPr>
      <w:rFonts w:cs="Times New Roman"/>
      <w:lang w:val="cs-CZ"/>
    </w:rPr>
  </w:style>
  <w:style w:type="paragraph" w:customStyle="1" w:styleId="Text1">
    <w:name w:val="Text 1"/>
    <w:basedOn w:val="Normln"/>
    <w:rsid w:val="00B87E14"/>
    <w:pPr>
      <w:spacing w:before="120" w:after="120"/>
      <w:ind w:left="850"/>
    </w:pPr>
    <w:rPr>
      <w:rFonts w:cs="Times New Roman"/>
      <w:szCs w:val="24"/>
    </w:rPr>
  </w:style>
  <w:style w:type="character" w:styleId="Siln">
    <w:name w:val="Strong"/>
    <w:basedOn w:val="Standardnpsmoodstavce"/>
    <w:uiPriority w:val="22"/>
    <w:qFormat/>
    <w:rsid w:val="00B87E14"/>
    <w:rPr>
      <w:b/>
      <w:bCs/>
    </w:rPr>
  </w:style>
  <w:style w:type="character" w:customStyle="1" w:styleId="OdstavecseseznamemChar">
    <w:name w:val="Odstavec se seznamem Char"/>
    <w:aliases w:val="List Paragraph compact Char,Normal bullet 2 Char,Paragraphe de liste 2 Char,Reference list Char,Bullet list Char,Numbered List Char,List Paragraph1 Char,1st level - Bullet List Paragraph Char,Lettre d'introduction Char,Nad Char"/>
    <w:link w:val="Odstavecseseznamem"/>
    <w:uiPriority w:val="34"/>
    <w:qFormat/>
    <w:locked/>
    <w:rsid w:val="00164CBE"/>
    <w:rPr>
      <w:rFonts w:ascii="Times New Roman" w:eastAsia="Calibri" w:hAnsi="Times New Roman" w:cs="Times New Roman"/>
      <w:sz w:val="24"/>
      <w:szCs w:val="24"/>
      <w:lang w:val="cs-CZ"/>
    </w:rPr>
  </w:style>
  <w:style w:type="paragraph" w:styleId="Zhlav">
    <w:name w:val="header"/>
    <w:basedOn w:val="Normln"/>
    <w:link w:val="ZhlavChar"/>
    <w:uiPriority w:val="99"/>
    <w:unhideWhenUsed/>
    <w:rsid w:val="00B87E14"/>
    <w:pPr>
      <w:tabs>
        <w:tab w:val="center" w:pos="4513"/>
        <w:tab w:val="right" w:pos="9026"/>
      </w:tabs>
    </w:pPr>
  </w:style>
  <w:style w:type="character" w:customStyle="1" w:styleId="ZhlavChar">
    <w:name w:val="Záhlaví Char"/>
    <w:basedOn w:val="Standardnpsmoodstavce"/>
    <w:link w:val="Zhlav"/>
    <w:uiPriority w:val="99"/>
    <w:rsid w:val="00B87E14"/>
    <w:rPr>
      <w:rFonts w:ascii="Times New Roman" w:hAnsi="Times New Roman"/>
      <w:sz w:val="24"/>
    </w:rPr>
  </w:style>
  <w:style w:type="paragraph" w:styleId="Zpat">
    <w:name w:val="footer"/>
    <w:basedOn w:val="Normln"/>
    <w:link w:val="ZpatChar"/>
    <w:uiPriority w:val="99"/>
    <w:unhideWhenUsed/>
    <w:rsid w:val="00B87E14"/>
    <w:pPr>
      <w:tabs>
        <w:tab w:val="center" w:pos="4513"/>
        <w:tab w:val="right" w:pos="9026"/>
      </w:tabs>
    </w:pPr>
  </w:style>
  <w:style w:type="character" w:customStyle="1" w:styleId="ZpatChar">
    <w:name w:val="Zápatí Char"/>
    <w:basedOn w:val="Standardnpsmoodstavce"/>
    <w:link w:val="Zpat"/>
    <w:uiPriority w:val="99"/>
    <w:rsid w:val="00B87E14"/>
    <w:rPr>
      <w:rFonts w:ascii="Times New Roman" w:hAnsi="Times New Roman"/>
      <w:sz w:val="24"/>
    </w:rPr>
  </w:style>
  <w:style w:type="character" w:customStyle="1" w:styleId="Nadpis1Char">
    <w:name w:val="Nadpis 1 Char"/>
    <w:aliases w:val="A Nadpis 1 Char"/>
    <w:basedOn w:val="Standardnpsmoodstavce"/>
    <w:link w:val="Nadpis1"/>
    <w:uiPriority w:val="9"/>
    <w:rsid w:val="00A139F2"/>
    <w:rPr>
      <w:rFonts w:ascii="Times New Roman" w:eastAsiaTheme="majorEastAsia" w:hAnsi="Times New Roman" w:cs="Times New Roman"/>
      <w:b/>
      <w:bCs/>
      <w:sz w:val="28"/>
      <w:szCs w:val="32"/>
      <w:lang w:val="cs-CZ"/>
    </w:rPr>
  </w:style>
  <w:style w:type="character" w:customStyle="1" w:styleId="Nadpis2Char">
    <w:name w:val="Nadpis 2 Char"/>
    <w:aliases w:val="A Nadpis 2 Char"/>
    <w:basedOn w:val="Standardnpsmoodstavce"/>
    <w:link w:val="Nadpis2"/>
    <w:uiPriority w:val="9"/>
    <w:rsid w:val="00A139F2"/>
    <w:rPr>
      <w:rFonts w:ascii="Times New Roman" w:eastAsiaTheme="majorEastAsia" w:hAnsi="Times New Roman" w:cs="Times New Roman"/>
      <w:b/>
      <w:bCs/>
      <w:sz w:val="26"/>
      <w:szCs w:val="28"/>
      <w:lang w:val="cs-CZ"/>
    </w:rPr>
  </w:style>
  <w:style w:type="character" w:customStyle="1" w:styleId="Nadpis3Char">
    <w:name w:val="Nadpis 3 Char"/>
    <w:aliases w:val="A Nadpis 3 Char"/>
    <w:basedOn w:val="Standardnpsmoodstavce"/>
    <w:link w:val="Nadpis3"/>
    <w:uiPriority w:val="9"/>
    <w:rsid w:val="00A139F2"/>
    <w:rPr>
      <w:rFonts w:ascii="Times New Roman" w:eastAsiaTheme="majorEastAsia" w:hAnsi="Times New Roman" w:cstheme="majorBidi"/>
      <w:b/>
      <w:bCs/>
      <w:sz w:val="24"/>
      <w:szCs w:val="26"/>
    </w:rPr>
  </w:style>
  <w:style w:type="paragraph" w:styleId="Nadpisobsahu">
    <w:name w:val="TOC Heading"/>
    <w:basedOn w:val="Nadpis1"/>
    <w:next w:val="Normln"/>
    <w:uiPriority w:val="39"/>
    <w:unhideWhenUsed/>
    <w:qFormat/>
    <w:rsid w:val="0000288B"/>
    <w:pPr>
      <w:spacing w:line="259" w:lineRule="auto"/>
      <w:jc w:val="left"/>
      <w:outlineLvl w:val="9"/>
    </w:pPr>
    <w:rPr>
      <w:rFonts w:asciiTheme="majorHAnsi" w:hAnsiTheme="majorHAnsi" w:cstheme="majorBidi"/>
      <w:b w:val="0"/>
      <w:bCs w:val="0"/>
      <w:color w:val="2F5496" w:themeColor="accent1" w:themeShade="BF"/>
      <w:lang w:eastAsia="cs-CZ"/>
    </w:rPr>
  </w:style>
  <w:style w:type="paragraph" w:styleId="Obsah1">
    <w:name w:val="toc 1"/>
    <w:basedOn w:val="Normln"/>
    <w:next w:val="Normln"/>
    <w:autoRedefine/>
    <w:uiPriority w:val="39"/>
    <w:unhideWhenUsed/>
    <w:rsid w:val="00CA317E"/>
    <w:pPr>
      <w:tabs>
        <w:tab w:val="left" w:pos="397"/>
        <w:tab w:val="left" w:pos="1200"/>
        <w:tab w:val="right" w:leader="dot" w:pos="9016"/>
      </w:tabs>
      <w:spacing w:before="120" w:after="120"/>
      <w:jc w:val="left"/>
    </w:pPr>
    <w:rPr>
      <w:b/>
      <w:bCs/>
      <w:caps/>
      <w:sz w:val="20"/>
      <w:szCs w:val="20"/>
    </w:rPr>
  </w:style>
  <w:style w:type="paragraph" w:styleId="Obsah3">
    <w:name w:val="toc 3"/>
    <w:basedOn w:val="Normln"/>
    <w:next w:val="Normln"/>
    <w:autoRedefine/>
    <w:uiPriority w:val="39"/>
    <w:unhideWhenUsed/>
    <w:rsid w:val="00DE0254"/>
    <w:pPr>
      <w:ind w:left="480"/>
      <w:jc w:val="left"/>
    </w:pPr>
    <w:rPr>
      <w:iCs/>
      <w:sz w:val="20"/>
      <w:szCs w:val="20"/>
    </w:rPr>
  </w:style>
  <w:style w:type="character" w:styleId="Hypertextovodkaz">
    <w:name w:val="Hyperlink"/>
    <w:basedOn w:val="Standardnpsmoodstavce"/>
    <w:uiPriority w:val="99"/>
    <w:unhideWhenUsed/>
    <w:rsid w:val="0000288B"/>
    <w:rPr>
      <w:color w:val="0563C1" w:themeColor="hyperlink"/>
      <w:u w:val="single"/>
    </w:rPr>
  </w:style>
  <w:style w:type="character" w:customStyle="1" w:styleId="Nadpis6Char">
    <w:name w:val="Nadpis 6 Char"/>
    <w:basedOn w:val="Standardnpsmoodstavce"/>
    <w:link w:val="Nadpis6"/>
    <w:uiPriority w:val="9"/>
    <w:semiHidden/>
    <w:rsid w:val="00034B70"/>
    <w:rPr>
      <w:rFonts w:ascii="Times New Roman" w:eastAsiaTheme="majorEastAsia" w:hAnsi="Times New Roman" w:cstheme="majorBidi"/>
      <w:b/>
      <w:i/>
      <w:color w:val="385623" w:themeColor="accent6" w:themeShade="80"/>
      <w:sz w:val="24"/>
    </w:rPr>
  </w:style>
  <w:style w:type="paragraph" w:styleId="Titulek">
    <w:name w:val="caption"/>
    <w:aliases w:val="Titulek Obr.,Beschriftung_tab,tab_überschrift Char"/>
    <w:basedOn w:val="Normln"/>
    <w:next w:val="Normln"/>
    <w:uiPriority w:val="35"/>
    <w:qFormat/>
    <w:rsid w:val="0000288B"/>
    <w:pPr>
      <w:keepNext/>
      <w:spacing w:after="120"/>
    </w:pPr>
    <w:rPr>
      <w:rFonts w:eastAsia="Calibri" w:cs="Times New Roman"/>
      <w:b/>
      <w:bCs/>
      <w:szCs w:val="20"/>
      <w:lang w:val="cs-CZ"/>
    </w:rPr>
  </w:style>
  <w:style w:type="paragraph" w:customStyle="1" w:styleId="Zdroj">
    <w:name w:val="Zdroj"/>
    <w:basedOn w:val="Normln"/>
    <w:qFormat/>
    <w:rsid w:val="0000288B"/>
    <w:pPr>
      <w:spacing w:after="120"/>
    </w:pPr>
    <w:rPr>
      <w:rFonts w:eastAsia="Calibri" w:cs="Times New Roman"/>
      <w:i/>
      <w:iCs/>
      <w:sz w:val="20"/>
      <w:szCs w:val="24"/>
      <w:lang w:val="cs-CZ"/>
    </w:rPr>
  </w:style>
  <w:style w:type="table" w:styleId="Tmavtabulkasmkou5zvraznn3">
    <w:name w:val="Grid Table 5 Dark Accent 3"/>
    <w:basedOn w:val="Normlntabulka"/>
    <w:uiPriority w:val="50"/>
    <w:rsid w:val="0000288B"/>
    <w:pPr>
      <w:spacing w:after="0" w:line="240" w:lineRule="auto"/>
    </w:pPr>
    <w:rPr>
      <w:rFonts w:ascii="Calibri" w:eastAsia="Calibri" w:hAnsi="Calibri" w:cs="Times New Roman"/>
      <w:lang w:val="cs-CZ" w:eastAsia="cs-CZ"/>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paragraph" w:customStyle="1" w:styleId="Default">
    <w:name w:val="Default"/>
    <w:rsid w:val="0000288B"/>
    <w:pPr>
      <w:autoSpaceDE w:val="0"/>
      <w:autoSpaceDN w:val="0"/>
      <w:adjustRightInd w:val="0"/>
      <w:spacing w:after="0" w:line="240" w:lineRule="auto"/>
    </w:pPr>
    <w:rPr>
      <w:rFonts w:ascii="Times New Roman" w:eastAsiaTheme="minorEastAsia" w:hAnsi="Times New Roman" w:cs="Times New Roman"/>
      <w:color w:val="000000"/>
      <w:sz w:val="24"/>
      <w:szCs w:val="24"/>
      <w:lang w:val="cs-CZ"/>
    </w:rPr>
  </w:style>
  <w:style w:type="paragraph" w:styleId="Obsah2">
    <w:name w:val="toc 2"/>
    <w:basedOn w:val="Normln"/>
    <w:next w:val="Normln"/>
    <w:autoRedefine/>
    <w:uiPriority w:val="39"/>
    <w:unhideWhenUsed/>
    <w:rsid w:val="00752652"/>
    <w:pPr>
      <w:ind w:left="240"/>
      <w:jc w:val="left"/>
    </w:pPr>
    <w:rPr>
      <w:sz w:val="20"/>
      <w:szCs w:val="20"/>
    </w:rPr>
  </w:style>
  <w:style w:type="paragraph" w:styleId="Pedmtkomente">
    <w:name w:val="annotation subject"/>
    <w:basedOn w:val="Textkomente"/>
    <w:next w:val="Textkomente"/>
    <w:link w:val="PedmtkomenteChar"/>
    <w:uiPriority w:val="99"/>
    <w:semiHidden/>
    <w:unhideWhenUsed/>
    <w:rsid w:val="00CF4AEF"/>
    <w:pPr>
      <w:spacing w:after="0"/>
    </w:pPr>
    <w:rPr>
      <w:rFonts w:eastAsiaTheme="minorHAnsi" w:cstheme="minorBidi"/>
      <w:b/>
      <w:bCs/>
      <w:lang w:val="en-GB"/>
    </w:rPr>
  </w:style>
  <w:style w:type="character" w:customStyle="1" w:styleId="PedmtkomenteChar">
    <w:name w:val="Předmět komentáře Char"/>
    <w:basedOn w:val="TextkomenteChar"/>
    <w:link w:val="Pedmtkomente"/>
    <w:uiPriority w:val="99"/>
    <w:semiHidden/>
    <w:rsid w:val="00CF4AEF"/>
    <w:rPr>
      <w:rFonts w:ascii="Times New Roman" w:eastAsia="Calibri" w:hAnsi="Times New Roman" w:cs="Times New Roman"/>
      <w:b/>
      <w:bCs/>
      <w:sz w:val="20"/>
      <w:szCs w:val="20"/>
      <w:lang w:val="cs-CZ"/>
    </w:rPr>
  </w:style>
  <w:style w:type="character" w:customStyle="1" w:styleId="shorttext">
    <w:name w:val="short_text"/>
    <w:basedOn w:val="Standardnpsmoodstavce"/>
    <w:rsid w:val="00130FD1"/>
  </w:style>
  <w:style w:type="character" w:styleId="PromnnHTML">
    <w:name w:val="HTML Variable"/>
    <w:basedOn w:val="Standardnpsmoodstavce"/>
    <w:uiPriority w:val="99"/>
    <w:semiHidden/>
    <w:unhideWhenUsed/>
    <w:rsid w:val="00130FD1"/>
    <w:rPr>
      <w:i/>
      <w:iCs/>
    </w:rPr>
  </w:style>
  <w:style w:type="paragraph" w:customStyle="1" w:styleId="TabPramZprac">
    <w:name w:val="TabPramZprac"/>
    <w:basedOn w:val="Normln"/>
    <w:next w:val="Normln"/>
    <w:link w:val="TabPramZpracChar"/>
    <w:rsid w:val="00130FD1"/>
    <w:pPr>
      <w:keepNext/>
      <w:ind w:left="851" w:hanging="851"/>
    </w:pPr>
    <w:rPr>
      <w:rFonts w:ascii="Arial" w:eastAsia="Times New Roman" w:hAnsi="Arial" w:cs="Arial"/>
      <w:i/>
      <w:iCs/>
      <w:sz w:val="16"/>
      <w:szCs w:val="15"/>
      <w:lang w:val="x-none" w:eastAsia="x-none"/>
    </w:rPr>
  </w:style>
  <w:style w:type="character" w:customStyle="1" w:styleId="TabPramZpracChar">
    <w:name w:val="TabPramZprac Char"/>
    <w:link w:val="TabPramZprac"/>
    <w:rsid w:val="00130FD1"/>
    <w:rPr>
      <w:rFonts w:ascii="Arial" w:eastAsia="Times New Roman" w:hAnsi="Arial" w:cs="Arial"/>
      <w:i/>
      <w:iCs/>
      <w:sz w:val="16"/>
      <w:szCs w:val="15"/>
      <w:lang w:val="x-none" w:eastAsia="x-none"/>
    </w:rPr>
  </w:style>
  <w:style w:type="character" w:customStyle="1" w:styleId="Nadpis4Char">
    <w:name w:val="Nadpis 4 Char"/>
    <w:basedOn w:val="Standardnpsmoodstavce"/>
    <w:link w:val="Nadpis4"/>
    <w:uiPriority w:val="9"/>
    <w:rsid w:val="006752D6"/>
    <w:rPr>
      <w:rFonts w:asciiTheme="majorHAnsi" w:eastAsiaTheme="majorEastAsia" w:hAnsiTheme="majorHAnsi" w:cstheme="majorBidi"/>
      <w:i/>
      <w:iCs/>
      <w:color w:val="2F5496" w:themeColor="accent1" w:themeShade="BF"/>
      <w:sz w:val="24"/>
    </w:rPr>
  </w:style>
  <w:style w:type="character" w:customStyle="1" w:styleId="Nadpis8Char">
    <w:name w:val="Nadpis 8 Char"/>
    <w:basedOn w:val="Standardnpsmoodstavce"/>
    <w:link w:val="Nadpis8"/>
    <w:uiPriority w:val="9"/>
    <w:semiHidden/>
    <w:rsid w:val="006752D6"/>
    <w:rPr>
      <w:rFonts w:asciiTheme="majorHAnsi" w:eastAsiaTheme="majorEastAsia" w:hAnsiTheme="majorHAnsi" w:cstheme="majorBidi"/>
      <w:color w:val="272727" w:themeColor="text1" w:themeTint="D8"/>
      <w:sz w:val="21"/>
      <w:szCs w:val="21"/>
    </w:rPr>
  </w:style>
  <w:style w:type="character" w:customStyle="1" w:styleId="Nadpis9Char">
    <w:name w:val="Nadpis 9 Char"/>
    <w:basedOn w:val="Standardnpsmoodstavce"/>
    <w:link w:val="Nadpis9"/>
    <w:uiPriority w:val="9"/>
    <w:semiHidden/>
    <w:rsid w:val="006752D6"/>
    <w:rPr>
      <w:rFonts w:asciiTheme="majorHAnsi" w:eastAsiaTheme="majorEastAsia" w:hAnsiTheme="majorHAnsi" w:cstheme="majorBidi"/>
      <w:i/>
      <w:iCs/>
      <w:color w:val="272727" w:themeColor="text1" w:themeTint="D8"/>
      <w:sz w:val="21"/>
      <w:szCs w:val="21"/>
    </w:rPr>
  </w:style>
  <w:style w:type="paragraph" w:styleId="Podnadpis">
    <w:name w:val="Subtitle"/>
    <w:basedOn w:val="Normln"/>
    <w:next w:val="Normln"/>
    <w:link w:val="PodnadpisChar"/>
    <w:uiPriority w:val="11"/>
    <w:qFormat/>
    <w:rsid w:val="00C35E53"/>
    <w:pPr>
      <w:numPr>
        <w:ilvl w:val="1"/>
      </w:numPr>
      <w:spacing w:after="160"/>
      <w:jc w:val="center"/>
    </w:pPr>
    <w:rPr>
      <w:rFonts w:eastAsiaTheme="minorEastAsia"/>
      <w:i/>
      <w:noProof/>
      <w:color w:val="000000" w:themeColor="text1"/>
      <w:spacing w:val="15"/>
    </w:rPr>
  </w:style>
  <w:style w:type="character" w:customStyle="1" w:styleId="PodnadpisChar">
    <w:name w:val="Podnadpis Char"/>
    <w:basedOn w:val="Standardnpsmoodstavce"/>
    <w:link w:val="Podnadpis"/>
    <w:uiPriority w:val="11"/>
    <w:rsid w:val="00C35E53"/>
    <w:rPr>
      <w:rFonts w:ascii="Times New Roman" w:eastAsiaTheme="minorEastAsia" w:hAnsi="Times New Roman"/>
      <w:i/>
      <w:noProof/>
      <w:color w:val="000000" w:themeColor="text1"/>
      <w:spacing w:val="15"/>
      <w:sz w:val="24"/>
    </w:rPr>
  </w:style>
  <w:style w:type="paragraph" w:customStyle="1" w:styleId="UZEINadpis1st">
    <w:name w:val="UZEI Nadpis 1.st"/>
    <w:basedOn w:val="Nadpis1"/>
    <w:link w:val="UZEINadpis1stChar"/>
    <w:qFormat/>
    <w:rsid w:val="006660D2"/>
    <w:pPr>
      <w:spacing w:after="0" w:line="300" w:lineRule="atLeast"/>
    </w:pPr>
    <w:rPr>
      <w:rFonts w:cstheme="majorBidi"/>
      <w:bCs w:val="0"/>
      <w:color w:val="000000" w:themeColor="text1"/>
      <w:lang w:eastAsia="cs-CZ"/>
    </w:rPr>
  </w:style>
  <w:style w:type="paragraph" w:customStyle="1" w:styleId="UZEINadpis2st">
    <w:name w:val="UZEI Nadpis 2.st"/>
    <w:basedOn w:val="Nadpis2"/>
    <w:link w:val="UZEINadpis2stChar"/>
    <w:qFormat/>
    <w:rsid w:val="00784A04"/>
    <w:pPr>
      <w:numPr>
        <w:numId w:val="7"/>
      </w:numPr>
      <w:spacing w:line="300" w:lineRule="atLeast"/>
    </w:pPr>
    <w:rPr>
      <w:rFonts w:cstheme="majorBidi"/>
      <w:bCs w:val="0"/>
      <w:color w:val="000000" w:themeColor="text1"/>
      <w:szCs w:val="26"/>
      <w:lang w:eastAsia="cs-CZ"/>
    </w:rPr>
  </w:style>
  <w:style w:type="character" w:customStyle="1" w:styleId="UZEINadpis1stChar">
    <w:name w:val="UZEI Nadpis 1.st Char"/>
    <w:basedOn w:val="Nadpis1Char"/>
    <w:link w:val="UZEINadpis1st"/>
    <w:rsid w:val="006660D2"/>
    <w:rPr>
      <w:rFonts w:ascii="Times New Roman" w:eastAsiaTheme="majorEastAsia" w:hAnsi="Times New Roman" w:cstheme="majorBidi"/>
      <w:b/>
      <w:bCs w:val="0"/>
      <w:color w:val="000000" w:themeColor="text1"/>
      <w:sz w:val="28"/>
      <w:szCs w:val="32"/>
      <w:lang w:val="cs-CZ" w:eastAsia="cs-CZ"/>
    </w:rPr>
  </w:style>
  <w:style w:type="paragraph" w:customStyle="1" w:styleId="UZEINadpis3st">
    <w:name w:val="UZEI Nadpis 3.st"/>
    <w:basedOn w:val="Nadpis3"/>
    <w:link w:val="UZEINadpis3stChar"/>
    <w:qFormat/>
    <w:rsid w:val="006660D2"/>
    <w:pPr>
      <w:numPr>
        <w:ilvl w:val="0"/>
        <w:numId w:val="6"/>
      </w:numPr>
      <w:spacing w:line="300" w:lineRule="atLeast"/>
      <w:ind w:hanging="578"/>
    </w:pPr>
    <w:rPr>
      <w:bCs w:val="0"/>
      <w:i/>
      <w:color w:val="000000" w:themeColor="text1"/>
      <w:szCs w:val="24"/>
      <w:lang w:val="cs-CZ" w:eastAsia="cs-CZ"/>
    </w:rPr>
  </w:style>
  <w:style w:type="character" w:customStyle="1" w:styleId="UZEINadpis2stChar">
    <w:name w:val="UZEI Nadpis 2.st Char"/>
    <w:basedOn w:val="Nadpis2Char"/>
    <w:link w:val="UZEINadpis2st"/>
    <w:rsid w:val="006660D2"/>
    <w:rPr>
      <w:rFonts w:ascii="Times New Roman" w:eastAsiaTheme="majorEastAsia" w:hAnsi="Times New Roman" w:cstheme="majorBidi"/>
      <w:b/>
      <w:bCs w:val="0"/>
      <w:color w:val="000000" w:themeColor="text1"/>
      <w:sz w:val="26"/>
      <w:szCs w:val="26"/>
      <w:lang w:val="cs-CZ" w:eastAsia="cs-CZ"/>
    </w:rPr>
  </w:style>
  <w:style w:type="paragraph" w:customStyle="1" w:styleId="UZEINormaln">
    <w:name w:val="UZEI Normalní"/>
    <w:basedOn w:val="Normln"/>
    <w:link w:val="UZEINormalnChar"/>
    <w:qFormat/>
    <w:rsid w:val="0031504D"/>
    <w:pPr>
      <w:spacing w:before="120" w:after="120"/>
    </w:pPr>
    <w:rPr>
      <w:rFonts w:eastAsia="Times New Roman" w:cstheme="minorHAnsi"/>
      <w:szCs w:val="24"/>
      <w:lang w:val="cs-CZ" w:eastAsia="cs-CZ"/>
    </w:rPr>
  </w:style>
  <w:style w:type="character" w:customStyle="1" w:styleId="UZEINadpis3stChar">
    <w:name w:val="UZEI Nadpis 3.st Char"/>
    <w:basedOn w:val="Nadpis3Char"/>
    <w:link w:val="UZEINadpis3st"/>
    <w:rsid w:val="006660D2"/>
    <w:rPr>
      <w:rFonts w:ascii="Times New Roman" w:eastAsiaTheme="majorEastAsia" w:hAnsi="Times New Roman" w:cstheme="majorBidi"/>
      <w:b/>
      <w:bCs w:val="0"/>
      <w:i/>
      <w:color w:val="000000" w:themeColor="text1"/>
      <w:sz w:val="24"/>
      <w:szCs w:val="24"/>
      <w:lang w:val="cs-CZ" w:eastAsia="cs-CZ"/>
    </w:rPr>
  </w:style>
  <w:style w:type="paragraph" w:customStyle="1" w:styleId="UZEIOdrky">
    <w:name w:val="UZEI Odrážky"/>
    <w:basedOn w:val="Normln"/>
    <w:link w:val="UZEIOdrkyChar"/>
    <w:qFormat/>
    <w:rsid w:val="00BA3366"/>
    <w:pPr>
      <w:numPr>
        <w:numId w:val="2"/>
      </w:numPr>
      <w:autoSpaceDE w:val="0"/>
      <w:autoSpaceDN w:val="0"/>
      <w:spacing w:before="60" w:after="60"/>
    </w:pPr>
    <w:rPr>
      <w:rFonts w:eastAsia="Times New Roman" w:cs="Calibri"/>
      <w:color w:val="000000"/>
      <w:szCs w:val="24"/>
      <w:lang w:val="cs-CZ"/>
    </w:rPr>
  </w:style>
  <w:style w:type="character" w:customStyle="1" w:styleId="UZEINormalnChar">
    <w:name w:val="UZEI Normalní Char"/>
    <w:basedOn w:val="Standardnpsmoodstavce"/>
    <w:link w:val="UZEINormaln"/>
    <w:rsid w:val="0031504D"/>
    <w:rPr>
      <w:rFonts w:ascii="Times New Roman" w:eastAsia="Times New Roman" w:hAnsi="Times New Roman" w:cstheme="minorHAnsi"/>
      <w:sz w:val="24"/>
      <w:szCs w:val="24"/>
      <w:lang w:val="cs-CZ" w:eastAsia="cs-CZ"/>
    </w:rPr>
  </w:style>
  <w:style w:type="paragraph" w:customStyle="1" w:styleId="UZEINadpis4st">
    <w:name w:val="UZEI Nadpis 4.st"/>
    <w:basedOn w:val="Normln"/>
    <w:link w:val="UZEINadpis4stChar"/>
    <w:qFormat/>
    <w:rsid w:val="006660D2"/>
    <w:pPr>
      <w:spacing w:before="120" w:after="120" w:line="300" w:lineRule="atLeast"/>
    </w:pPr>
    <w:rPr>
      <w:rFonts w:eastAsia="Times New Roman" w:cs="Arial"/>
      <w:b/>
      <w:bCs/>
      <w:szCs w:val="24"/>
      <w:lang w:val="cs-CZ" w:eastAsia="cs-CZ"/>
    </w:rPr>
  </w:style>
  <w:style w:type="character" w:customStyle="1" w:styleId="UZEIOdrkyChar">
    <w:name w:val="UZEI Odrážky Char"/>
    <w:basedOn w:val="Standardnpsmoodstavce"/>
    <w:link w:val="UZEIOdrky"/>
    <w:rsid w:val="00BA3366"/>
    <w:rPr>
      <w:rFonts w:ascii="Times New Roman" w:eastAsia="Times New Roman" w:hAnsi="Times New Roman" w:cs="Calibri"/>
      <w:color w:val="000000"/>
      <w:sz w:val="24"/>
      <w:szCs w:val="24"/>
      <w:lang w:val="cs-CZ"/>
    </w:rPr>
  </w:style>
  <w:style w:type="character" w:customStyle="1" w:styleId="UZEINadpis4stChar">
    <w:name w:val="UZEI Nadpis 4.st Char"/>
    <w:basedOn w:val="Standardnpsmoodstavce"/>
    <w:link w:val="UZEINadpis4st"/>
    <w:rsid w:val="006660D2"/>
    <w:rPr>
      <w:rFonts w:ascii="Times New Roman" w:eastAsia="Times New Roman" w:hAnsi="Times New Roman" w:cs="Arial"/>
      <w:b/>
      <w:bCs/>
      <w:sz w:val="24"/>
      <w:szCs w:val="24"/>
      <w:lang w:val="cs-CZ" w:eastAsia="cs-CZ"/>
    </w:rPr>
  </w:style>
  <w:style w:type="paragraph" w:customStyle="1" w:styleId="UZEILiteratura">
    <w:name w:val="UZEI Literatura"/>
    <w:basedOn w:val="Normln"/>
    <w:link w:val="UZEILiteraturaChar"/>
    <w:qFormat/>
    <w:rsid w:val="006660D2"/>
    <w:pPr>
      <w:spacing w:before="120" w:after="180" w:line="300" w:lineRule="atLeast"/>
    </w:pPr>
    <w:rPr>
      <w:rFonts w:eastAsia="Times New Roman" w:cstheme="minorHAnsi"/>
      <w:sz w:val="20"/>
      <w:szCs w:val="20"/>
      <w:lang w:val="cs-CZ" w:eastAsia="cs-CZ"/>
    </w:rPr>
  </w:style>
  <w:style w:type="character" w:customStyle="1" w:styleId="UZEILiteraturaChar">
    <w:name w:val="UZEI Literatura Char"/>
    <w:basedOn w:val="Standardnpsmoodstavce"/>
    <w:link w:val="UZEILiteratura"/>
    <w:rsid w:val="006660D2"/>
    <w:rPr>
      <w:rFonts w:ascii="Times New Roman" w:eastAsia="Times New Roman" w:hAnsi="Times New Roman" w:cstheme="minorHAnsi"/>
      <w:sz w:val="20"/>
      <w:szCs w:val="20"/>
      <w:lang w:val="cs-CZ" w:eastAsia="cs-CZ"/>
    </w:rPr>
  </w:style>
  <w:style w:type="paragraph" w:customStyle="1" w:styleId="UZEIZdroj">
    <w:name w:val="UZEI Zdroj"/>
    <w:basedOn w:val="Normln"/>
    <w:qFormat/>
    <w:rsid w:val="006660D2"/>
    <w:pPr>
      <w:spacing w:after="120"/>
    </w:pPr>
    <w:rPr>
      <w:rFonts w:eastAsia="Calibri" w:cs="Times New Roman"/>
      <w:i/>
      <w:iCs/>
      <w:sz w:val="20"/>
      <w:szCs w:val="24"/>
      <w:lang w:val="cs-CZ"/>
    </w:rPr>
  </w:style>
  <w:style w:type="paragraph" w:customStyle="1" w:styleId="UZEIGraf">
    <w:name w:val="UZEI Graf"/>
    <w:basedOn w:val="Normln"/>
    <w:link w:val="UZEIGrafChar"/>
    <w:qFormat/>
    <w:rsid w:val="006660D2"/>
    <w:pPr>
      <w:numPr>
        <w:numId w:val="3"/>
      </w:numPr>
      <w:spacing w:before="60" w:line="300" w:lineRule="atLeast"/>
      <w:ind w:left="0" w:firstLine="0"/>
    </w:pPr>
    <w:rPr>
      <w:rFonts w:eastAsia="Times New Roman" w:cs="Arial"/>
      <w:b/>
      <w:sz w:val="20"/>
      <w:szCs w:val="20"/>
      <w:lang w:val="cs-CZ" w:eastAsia="cs-CZ"/>
    </w:rPr>
  </w:style>
  <w:style w:type="paragraph" w:customStyle="1" w:styleId="UZEINadpis1stbezsla">
    <w:name w:val="UZEI Nadpis 1. st.  bez čísla"/>
    <w:basedOn w:val="UZEINadpis1st"/>
    <w:link w:val="UZEINadpis1stbezslaChar"/>
    <w:autoRedefine/>
    <w:qFormat/>
    <w:rsid w:val="00FF10FF"/>
    <w:pPr>
      <w:numPr>
        <w:numId w:val="0"/>
      </w:numPr>
    </w:pPr>
  </w:style>
  <w:style w:type="character" w:customStyle="1" w:styleId="UZEIGrafChar">
    <w:name w:val="UZEI Graf Char"/>
    <w:basedOn w:val="UZEILiteraturaChar"/>
    <w:link w:val="UZEIGraf"/>
    <w:rsid w:val="006660D2"/>
    <w:rPr>
      <w:rFonts w:ascii="Times New Roman" w:eastAsia="Times New Roman" w:hAnsi="Times New Roman" w:cs="Arial"/>
      <w:b/>
      <w:sz w:val="20"/>
      <w:szCs w:val="20"/>
      <w:lang w:val="cs-CZ" w:eastAsia="cs-CZ"/>
    </w:rPr>
  </w:style>
  <w:style w:type="paragraph" w:customStyle="1" w:styleId="UZEINadpis2stbezsla">
    <w:name w:val="UZEI Nadpis 2. st bez čísla"/>
    <w:basedOn w:val="UZEINadpis2st"/>
    <w:link w:val="UZEINadpis2stbezslaChar"/>
    <w:qFormat/>
    <w:rsid w:val="006660D2"/>
    <w:pPr>
      <w:ind w:left="0" w:firstLine="0"/>
    </w:pPr>
  </w:style>
  <w:style w:type="character" w:customStyle="1" w:styleId="UZEINadpis1stbezslaChar">
    <w:name w:val="UZEI Nadpis 1. st.  bez čísla Char"/>
    <w:basedOn w:val="UZEIGrafChar"/>
    <w:link w:val="UZEINadpis1stbezsla"/>
    <w:rsid w:val="006660D2"/>
    <w:rPr>
      <w:rFonts w:ascii="Times New Roman" w:eastAsiaTheme="majorEastAsia" w:hAnsi="Times New Roman" w:cstheme="majorBidi"/>
      <w:b/>
      <w:color w:val="000000" w:themeColor="text1"/>
      <w:sz w:val="28"/>
      <w:szCs w:val="32"/>
      <w:lang w:val="cs-CZ" w:eastAsia="cs-CZ"/>
    </w:rPr>
  </w:style>
  <w:style w:type="character" w:customStyle="1" w:styleId="UZEINadpis2stbezslaChar">
    <w:name w:val="UZEI Nadpis 2. st bez čísla Char"/>
    <w:basedOn w:val="Standardnpsmoodstavce"/>
    <w:link w:val="UZEINadpis2stbezsla"/>
    <w:rsid w:val="006660D2"/>
    <w:rPr>
      <w:rFonts w:ascii="Times New Roman" w:eastAsiaTheme="majorEastAsia" w:hAnsi="Times New Roman" w:cstheme="majorBidi"/>
      <w:b/>
      <w:color w:val="000000" w:themeColor="text1"/>
      <w:sz w:val="26"/>
      <w:szCs w:val="26"/>
      <w:lang w:val="cs-CZ" w:eastAsia="cs-CZ"/>
    </w:rPr>
  </w:style>
  <w:style w:type="paragraph" w:customStyle="1" w:styleId="UZEITaB">
    <w:name w:val="UZEI TaB"/>
    <w:basedOn w:val="UZEIGraf"/>
    <w:link w:val="UZEITaBChar"/>
    <w:qFormat/>
    <w:rsid w:val="0087790C"/>
    <w:pPr>
      <w:numPr>
        <w:numId w:val="4"/>
      </w:numPr>
      <w:ind w:left="993" w:hanging="993"/>
      <w:jc w:val="left"/>
    </w:pPr>
    <w:rPr>
      <w:color w:val="000000" w:themeColor="text1"/>
    </w:rPr>
  </w:style>
  <w:style w:type="paragraph" w:customStyle="1" w:styleId="UZEIObr">
    <w:name w:val="UZEI Obr"/>
    <w:basedOn w:val="UZEIGraf"/>
    <w:link w:val="UZEIObrChar"/>
    <w:qFormat/>
    <w:rsid w:val="00E06E8D"/>
    <w:pPr>
      <w:numPr>
        <w:numId w:val="5"/>
      </w:numPr>
      <w:ind w:left="357" w:hanging="357"/>
      <w:jc w:val="left"/>
    </w:pPr>
    <w:rPr>
      <w:noProof/>
    </w:rPr>
  </w:style>
  <w:style w:type="character" w:customStyle="1" w:styleId="UZEITaBChar">
    <w:name w:val="UZEI TaB Char"/>
    <w:basedOn w:val="UZEINadpis2stbezslaChar"/>
    <w:link w:val="UZEITaB"/>
    <w:rsid w:val="0087790C"/>
    <w:rPr>
      <w:rFonts w:ascii="Times New Roman" w:eastAsia="Times New Roman" w:hAnsi="Times New Roman" w:cs="Arial"/>
      <w:b/>
      <w:color w:val="000000" w:themeColor="text1"/>
      <w:sz w:val="20"/>
      <w:szCs w:val="20"/>
      <w:lang w:val="cs-CZ" w:eastAsia="cs-CZ"/>
    </w:rPr>
  </w:style>
  <w:style w:type="character" w:customStyle="1" w:styleId="UZEIObrChar">
    <w:name w:val="UZEI Obr Char"/>
    <w:basedOn w:val="UZEINormalnChar"/>
    <w:link w:val="UZEIObr"/>
    <w:rsid w:val="00E06E8D"/>
    <w:rPr>
      <w:rFonts w:ascii="Times New Roman" w:eastAsia="Times New Roman" w:hAnsi="Times New Roman" w:cs="Arial"/>
      <w:b/>
      <w:noProof/>
      <w:sz w:val="20"/>
      <w:szCs w:val="20"/>
      <w:lang w:val="cs-CZ" w:eastAsia="cs-CZ"/>
    </w:rPr>
  </w:style>
  <w:style w:type="paragraph" w:customStyle="1" w:styleId="st-nazev">
    <w:name w:val="st-nazev"/>
    <w:basedOn w:val="Normln"/>
    <w:next w:val="Normln"/>
    <w:rsid w:val="00D81379"/>
    <w:pPr>
      <w:spacing w:before="5640"/>
      <w:jc w:val="center"/>
    </w:pPr>
    <w:rPr>
      <w:rFonts w:ascii="Arial" w:eastAsia="Times New Roman" w:hAnsi="Arial" w:cs="Times New Roman"/>
      <w:b/>
      <w:sz w:val="32"/>
      <w:szCs w:val="23"/>
      <w:lang w:val="cs-CZ" w:eastAsia="cs-CZ"/>
    </w:rPr>
  </w:style>
  <w:style w:type="paragraph" w:customStyle="1" w:styleId="st-rok">
    <w:name w:val="st-rok"/>
    <w:basedOn w:val="Normln"/>
    <w:rsid w:val="00D81379"/>
    <w:pPr>
      <w:spacing w:before="6000"/>
      <w:jc w:val="center"/>
    </w:pPr>
    <w:rPr>
      <w:rFonts w:eastAsia="Times New Roman" w:cs="Times New Roman"/>
      <w:b/>
      <w:szCs w:val="23"/>
      <w:lang w:val="cs-CZ" w:eastAsia="cs-CZ"/>
    </w:rPr>
  </w:style>
  <w:style w:type="paragraph" w:customStyle="1" w:styleId="UZEI">
    <w:name w:val="UZEI"/>
    <w:basedOn w:val="Normln"/>
    <w:next w:val="Normln"/>
    <w:qFormat/>
    <w:rsid w:val="00D81379"/>
    <w:pPr>
      <w:keepNext/>
      <w:spacing w:before="120"/>
      <w:jc w:val="center"/>
    </w:pPr>
    <w:rPr>
      <w:rFonts w:ascii="Arial" w:eastAsia="Times New Roman" w:hAnsi="Arial" w:cs="Times New Roman"/>
      <w:b/>
      <w:caps/>
      <w:kern w:val="28"/>
      <w:szCs w:val="24"/>
      <w:lang w:val="x-none" w:eastAsia="x-none"/>
    </w:rPr>
  </w:style>
  <w:style w:type="paragraph" w:styleId="Obsah4">
    <w:name w:val="toc 4"/>
    <w:basedOn w:val="Normln"/>
    <w:next w:val="Normln"/>
    <w:autoRedefine/>
    <w:uiPriority w:val="39"/>
    <w:unhideWhenUsed/>
    <w:rsid w:val="0026782D"/>
    <w:pPr>
      <w:tabs>
        <w:tab w:val="left" w:pos="1920"/>
        <w:tab w:val="right" w:leader="dot" w:pos="9016"/>
      </w:tabs>
      <w:ind w:left="1134" w:hanging="1134"/>
      <w:jc w:val="left"/>
    </w:pPr>
    <w:rPr>
      <w:sz w:val="20"/>
      <w:szCs w:val="18"/>
    </w:rPr>
  </w:style>
  <w:style w:type="paragraph" w:styleId="Obsah5">
    <w:name w:val="toc 5"/>
    <w:basedOn w:val="Normln"/>
    <w:next w:val="Normln"/>
    <w:autoRedefine/>
    <w:uiPriority w:val="39"/>
    <w:unhideWhenUsed/>
    <w:rsid w:val="00DF2B9D"/>
    <w:pPr>
      <w:ind w:left="960"/>
      <w:jc w:val="left"/>
    </w:pPr>
    <w:rPr>
      <w:rFonts w:asciiTheme="minorHAnsi" w:hAnsiTheme="minorHAnsi"/>
      <w:sz w:val="18"/>
      <w:szCs w:val="18"/>
    </w:rPr>
  </w:style>
  <w:style w:type="paragraph" w:styleId="Obsah6">
    <w:name w:val="toc 6"/>
    <w:basedOn w:val="Normln"/>
    <w:next w:val="Normln"/>
    <w:autoRedefine/>
    <w:uiPriority w:val="39"/>
    <w:unhideWhenUsed/>
    <w:rsid w:val="00DF2B9D"/>
    <w:pPr>
      <w:ind w:left="1200"/>
      <w:jc w:val="left"/>
    </w:pPr>
    <w:rPr>
      <w:rFonts w:asciiTheme="minorHAnsi" w:hAnsiTheme="minorHAnsi"/>
      <w:sz w:val="18"/>
      <w:szCs w:val="18"/>
    </w:rPr>
  </w:style>
  <w:style w:type="paragraph" w:styleId="Obsah7">
    <w:name w:val="toc 7"/>
    <w:basedOn w:val="Normln"/>
    <w:next w:val="Normln"/>
    <w:autoRedefine/>
    <w:uiPriority w:val="39"/>
    <w:unhideWhenUsed/>
    <w:rsid w:val="00DF2B9D"/>
    <w:pPr>
      <w:ind w:left="1440"/>
      <w:jc w:val="left"/>
    </w:pPr>
    <w:rPr>
      <w:rFonts w:asciiTheme="minorHAnsi" w:hAnsiTheme="minorHAnsi"/>
      <w:sz w:val="18"/>
      <w:szCs w:val="18"/>
    </w:rPr>
  </w:style>
  <w:style w:type="paragraph" w:styleId="Obsah8">
    <w:name w:val="toc 8"/>
    <w:basedOn w:val="Normln"/>
    <w:next w:val="Normln"/>
    <w:autoRedefine/>
    <w:uiPriority w:val="39"/>
    <w:unhideWhenUsed/>
    <w:rsid w:val="00DF2B9D"/>
    <w:pPr>
      <w:ind w:left="1680"/>
      <w:jc w:val="left"/>
    </w:pPr>
    <w:rPr>
      <w:rFonts w:asciiTheme="minorHAnsi" w:hAnsiTheme="minorHAnsi"/>
      <w:sz w:val="18"/>
      <w:szCs w:val="18"/>
    </w:rPr>
  </w:style>
  <w:style w:type="paragraph" w:styleId="Obsah9">
    <w:name w:val="toc 9"/>
    <w:basedOn w:val="Normln"/>
    <w:next w:val="Normln"/>
    <w:autoRedefine/>
    <w:uiPriority w:val="39"/>
    <w:unhideWhenUsed/>
    <w:rsid w:val="00DF2B9D"/>
    <w:pPr>
      <w:ind w:left="1920"/>
      <w:jc w:val="left"/>
    </w:pPr>
    <w:rPr>
      <w:rFonts w:asciiTheme="minorHAnsi" w:hAnsiTheme="minorHAnsi"/>
      <w:sz w:val="18"/>
      <w:szCs w:val="18"/>
    </w:rPr>
  </w:style>
  <w:style w:type="paragraph" w:customStyle="1" w:styleId="logo">
    <w:name w:val="logo"/>
    <w:basedOn w:val="Normln"/>
    <w:rsid w:val="00A14B9B"/>
    <w:pPr>
      <w:keepNext/>
      <w:jc w:val="center"/>
    </w:pPr>
    <w:rPr>
      <w:rFonts w:ascii="Arial" w:eastAsia="Times New Roman" w:hAnsi="Arial" w:cs="Times New Roman"/>
      <w:b/>
      <w:bCs/>
      <w:caps/>
      <w:kern w:val="28"/>
      <w:sz w:val="28"/>
      <w:szCs w:val="20"/>
      <w:lang w:val="x-none" w:eastAsia="x-none"/>
    </w:rPr>
  </w:style>
  <w:style w:type="paragraph" w:customStyle="1" w:styleId="Tabulka">
    <w:name w:val="Tabulka"/>
    <w:basedOn w:val="Normln"/>
    <w:rsid w:val="00A14B9B"/>
    <w:pPr>
      <w:spacing w:before="60" w:line="300" w:lineRule="atLeast"/>
      <w:jc w:val="left"/>
    </w:pPr>
    <w:rPr>
      <w:rFonts w:eastAsia="Times New Roman" w:cs="Times New Roman"/>
      <w:szCs w:val="23"/>
      <w:lang w:val="cs-CZ" w:eastAsia="cs-CZ"/>
    </w:rPr>
  </w:style>
  <w:style w:type="table" w:styleId="Mkatabulky">
    <w:name w:val="Table Grid"/>
    <w:basedOn w:val="Normlntabulka"/>
    <w:uiPriority w:val="39"/>
    <w:rsid w:val="00A14B9B"/>
    <w:pPr>
      <w:spacing w:after="0" w:line="240" w:lineRule="auto"/>
    </w:pPr>
    <w:rPr>
      <w:lang w:val="cs-CZ"/>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ulkasmkou21">
    <w:name w:val="Tabulka s mřížkou 21"/>
    <w:basedOn w:val="Normlntabulka"/>
    <w:uiPriority w:val="47"/>
    <w:rsid w:val="00A14B9B"/>
    <w:pPr>
      <w:spacing w:after="0" w:line="240" w:lineRule="auto"/>
    </w:pPr>
    <w:rPr>
      <w:lang w:val="cs-CZ"/>
    </w:r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Barevntabulkasmkou61">
    <w:name w:val="Barevná tabulka s mřížkou 61"/>
    <w:basedOn w:val="Normlntabulka"/>
    <w:uiPriority w:val="51"/>
    <w:rsid w:val="00A14B9B"/>
    <w:pPr>
      <w:spacing w:after="0" w:line="240" w:lineRule="auto"/>
    </w:pPr>
    <w:rPr>
      <w:color w:val="000000" w:themeColor="text1"/>
      <w:lang w:val="cs-CZ"/>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styleId="Normlnweb">
    <w:name w:val="Normal (Web)"/>
    <w:basedOn w:val="Normln"/>
    <w:uiPriority w:val="99"/>
    <w:unhideWhenUsed/>
    <w:rsid w:val="00A14B9B"/>
    <w:pPr>
      <w:spacing w:before="100" w:beforeAutospacing="1" w:after="100" w:afterAutospacing="1"/>
      <w:jc w:val="left"/>
    </w:pPr>
    <w:rPr>
      <w:rFonts w:eastAsia="Times New Roman" w:cs="Times New Roman"/>
      <w:szCs w:val="24"/>
      <w:lang w:val="cs-CZ" w:eastAsia="cs-CZ"/>
    </w:rPr>
  </w:style>
  <w:style w:type="paragraph" w:styleId="Zkladntextodsazen2">
    <w:name w:val="Body Text Indent 2"/>
    <w:basedOn w:val="Normln"/>
    <w:link w:val="Zkladntextodsazen2Char"/>
    <w:unhideWhenUsed/>
    <w:rsid w:val="00A14B9B"/>
    <w:pPr>
      <w:ind w:firstLine="708"/>
    </w:pPr>
    <w:rPr>
      <w:rFonts w:eastAsia="Times New Roman" w:cs="Times New Roman"/>
      <w:i/>
      <w:szCs w:val="20"/>
      <w:lang w:val="cs-CZ" w:eastAsia="cs-CZ"/>
    </w:rPr>
  </w:style>
  <w:style w:type="character" w:customStyle="1" w:styleId="Zkladntextodsazen2Char">
    <w:name w:val="Základní text odsazený 2 Char"/>
    <w:basedOn w:val="Standardnpsmoodstavce"/>
    <w:link w:val="Zkladntextodsazen2"/>
    <w:rsid w:val="00A14B9B"/>
    <w:rPr>
      <w:rFonts w:ascii="Times New Roman" w:eastAsia="Times New Roman" w:hAnsi="Times New Roman" w:cs="Times New Roman"/>
      <w:i/>
      <w:sz w:val="24"/>
      <w:szCs w:val="20"/>
      <w:lang w:val="cs-CZ" w:eastAsia="cs-CZ"/>
    </w:rPr>
  </w:style>
  <w:style w:type="paragraph" w:customStyle="1" w:styleId="poznmkatabulka">
    <w:name w:val="poznámka tabulka"/>
    <w:basedOn w:val="Normln"/>
    <w:next w:val="Normln"/>
    <w:qFormat/>
    <w:rsid w:val="00A14B9B"/>
    <w:pPr>
      <w:keepNext/>
    </w:pPr>
    <w:rPr>
      <w:rFonts w:ascii="Calibri" w:eastAsia="Calibri" w:hAnsi="Calibri" w:cs="Times New Roman"/>
      <w:i/>
      <w:sz w:val="20"/>
      <w:lang w:val="cs-CZ" w:eastAsia="cs-CZ"/>
    </w:rPr>
  </w:style>
  <w:style w:type="paragraph" w:customStyle="1" w:styleId="AnalyzaSituace1">
    <w:name w:val="Analyza_Situace_1"/>
    <w:basedOn w:val="Normln"/>
    <w:qFormat/>
    <w:rsid w:val="00A14B9B"/>
    <w:pPr>
      <w:spacing w:after="160" w:line="259" w:lineRule="auto"/>
      <w:jc w:val="left"/>
    </w:pPr>
    <w:rPr>
      <w:rFonts w:asciiTheme="minorHAnsi" w:hAnsiTheme="minorHAnsi"/>
      <w:b/>
      <w:sz w:val="28"/>
      <w:szCs w:val="28"/>
      <w:lang w:val="cs-CZ"/>
    </w:rPr>
  </w:style>
  <w:style w:type="table" w:customStyle="1" w:styleId="Barevntabulkasmkou6zvraznn31">
    <w:name w:val="Barevná tabulka s mřížkou 6 – zvýraznění 31"/>
    <w:basedOn w:val="Normlntabulka"/>
    <w:uiPriority w:val="51"/>
    <w:rsid w:val="00A14B9B"/>
    <w:pPr>
      <w:spacing w:after="0" w:line="240" w:lineRule="auto"/>
    </w:pPr>
    <w:rPr>
      <w:color w:val="7B7B7B" w:themeColor="accent3" w:themeShade="BF"/>
      <w:lang w:val="cs-CZ"/>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paragraph" w:customStyle="1" w:styleId="Titulek1">
    <w:name w:val="Titulek1"/>
    <w:basedOn w:val="Normln"/>
    <w:next w:val="Normln"/>
    <w:rsid w:val="00A14B9B"/>
    <w:pPr>
      <w:suppressAutoHyphens/>
      <w:spacing w:after="200" w:line="276" w:lineRule="auto"/>
      <w:jc w:val="left"/>
    </w:pPr>
    <w:rPr>
      <w:rFonts w:eastAsia="Times New Roman" w:cs="Times New Roman"/>
      <w:b/>
      <w:bCs/>
      <w:sz w:val="20"/>
      <w:szCs w:val="20"/>
      <w:lang w:val="cs-CZ" w:eastAsia="zh-CN"/>
    </w:rPr>
  </w:style>
  <w:style w:type="character" w:customStyle="1" w:styleId="FootnoteCharacters">
    <w:name w:val="Footnote Characters"/>
    <w:rsid w:val="00A14B9B"/>
    <w:rPr>
      <w:rFonts w:cs="Times New Roman"/>
      <w:vertAlign w:val="superscript"/>
    </w:rPr>
  </w:style>
  <w:style w:type="paragraph" w:styleId="Seznamobrzk">
    <w:name w:val="table of figures"/>
    <w:basedOn w:val="Normln"/>
    <w:next w:val="Normln"/>
    <w:uiPriority w:val="99"/>
    <w:unhideWhenUsed/>
    <w:rsid w:val="00A14B9B"/>
    <w:pPr>
      <w:spacing w:before="60" w:line="360" w:lineRule="atLeast"/>
      <w:ind w:firstLine="567"/>
    </w:pPr>
    <w:rPr>
      <w:rFonts w:eastAsia="Times New Roman" w:cs="Times New Roman"/>
      <w:szCs w:val="23"/>
      <w:lang w:val="cs-CZ" w:eastAsia="cs-CZ"/>
    </w:rPr>
  </w:style>
  <w:style w:type="table" w:customStyle="1" w:styleId="Tabulkasmkou210">
    <w:name w:val="Tabulka s mřížkou 210"/>
    <w:basedOn w:val="Normlntabulka"/>
    <w:uiPriority w:val="47"/>
    <w:rsid w:val="00A14B9B"/>
    <w:pPr>
      <w:spacing w:after="0" w:line="240" w:lineRule="auto"/>
    </w:pPr>
    <w:rPr>
      <w:lang w:val="cs-CZ"/>
    </w:r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Barevntabulkasmkou610">
    <w:name w:val="Barevná tabulka s mřížkou 610"/>
    <w:basedOn w:val="Normlntabulka"/>
    <w:uiPriority w:val="51"/>
    <w:rsid w:val="00A14B9B"/>
    <w:pPr>
      <w:spacing w:after="0" w:line="240" w:lineRule="auto"/>
    </w:pPr>
    <w:rPr>
      <w:color w:val="000000" w:themeColor="text1"/>
      <w:lang w:val="cs-CZ"/>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Barevntabulkasmkou6zvraznn310">
    <w:name w:val="Barevná tabulka s mřížkou 6 – zvýraznění 310"/>
    <w:basedOn w:val="Normlntabulka"/>
    <w:uiPriority w:val="51"/>
    <w:rsid w:val="00A14B9B"/>
    <w:pPr>
      <w:spacing w:after="0" w:line="240" w:lineRule="auto"/>
    </w:pPr>
    <w:rPr>
      <w:color w:val="7B7B7B" w:themeColor="accent3" w:themeShade="BF"/>
      <w:lang w:val="cs-CZ"/>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paragraph" w:styleId="Revize">
    <w:name w:val="Revision"/>
    <w:hidden/>
    <w:uiPriority w:val="99"/>
    <w:semiHidden/>
    <w:rsid w:val="00A14B9B"/>
    <w:pPr>
      <w:spacing w:after="0" w:line="240" w:lineRule="auto"/>
    </w:pPr>
    <w:rPr>
      <w:rFonts w:ascii="Times New Roman" w:eastAsia="Times New Roman" w:hAnsi="Times New Roman" w:cs="Times New Roman"/>
      <w:sz w:val="24"/>
      <w:szCs w:val="23"/>
      <w:lang w:val="cs-CZ" w:eastAsia="cs-CZ"/>
    </w:rPr>
  </w:style>
  <w:style w:type="table" w:customStyle="1" w:styleId="Svtltabulkasmkou1zvraznn11">
    <w:name w:val="Světlá tabulka s mřížkou 1 – zvýraznění 11"/>
    <w:basedOn w:val="Normlntabulka"/>
    <w:uiPriority w:val="46"/>
    <w:rsid w:val="00A14B9B"/>
    <w:pPr>
      <w:spacing w:after="0" w:line="240" w:lineRule="auto"/>
    </w:pPr>
    <w:rPr>
      <w:lang w:val="cs-CZ"/>
    </w:rPr>
    <w:tblPr>
      <w:tblStyleRowBandSize w:val="1"/>
      <w:tblStyleColBandSize w:val="1"/>
      <w:tbl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insideH w:val="single" w:sz="4" w:space="0" w:color="B4C6E7" w:themeColor="accent1" w:themeTint="66"/>
        <w:insideV w:val="single" w:sz="4" w:space="0" w:color="B4C6E7" w:themeColor="accent1" w:themeTint="66"/>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2" w:space="0" w:color="8EAADB" w:themeColor="accent1" w:themeTint="99"/>
        </w:tcBorders>
      </w:tcPr>
    </w:tblStylePr>
    <w:tblStylePr w:type="firstCol">
      <w:rPr>
        <w:b/>
        <w:bCs/>
      </w:rPr>
    </w:tblStylePr>
    <w:tblStylePr w:type="lastCol">
      <w:rPr>
        <w:b/>
        <w:bCs/>
      </w:rPr>
    </w:tblStylePr>
  </w:style>
  <w:style w:type="character" w:styleId="Sledovanodkaz">
    <w:name w:val="FollowedHyperlink"/>
    <w:basedOn w:val="Standardnpsmoodstavce"/>
    <w:uiPriority w:val="99"/>
    <w:semiHidden/>
    <w:unhideWhenUsed/>
    <w:rsid w:val="00A14B9B"/>
    <w:rPr>
      <w:color w:val="954F72" w:themeColor="followedHyperlink"/>
      <w:u w:val="single"/>
    </w:rPr>
  </w:style>
  <w:style w:type="character" w:customStyle="1" w:styleId="Nevyeenzmnka1">
    <w:name w:val="Nevyřešená zmínka1"/>
    <w:basedOn w:val="Standardnpsmoodstavce"/>
    <w:uiPriority w:val="99"/>
    <w:semiHidden/>
    <w:unhideWhenUsed/>
    <w:rsid w:val="00A14B9B"/>
    <w:rPr>
      <w:color w:val="808080"/>
      <w:shd w:val="clear" w:color="auto" w:fill="E6E6E6"/>
    </w:rPr>
  </w:style>
  <w:style w:type="paragraph" w:styleId="Textvysvtlivek">
    <w:name w:val="endnote text"/>
    <w:basedOn w:val="Normln"/>
    <w:link w:val="TextvysvtlivekChar"/>
    <w:uiPriority w:val="99"/>
    <w:semiHidden/>
    <w:unhideWhenUsed/>
    <w:rsid w:val="00A14B9B"/>
    <w:pPr>
      <w:ind w:firstLine="567"/>
    </w:pPr>
    <w:rPr>
      <w:rFonts w:eastAsia="Times New Roman" w:cs="Times New Roman"/>
      <w:sz w:val="20"/>
      <w:szCs w:val="20"/>
      <w:lang w:val="cs-CZ" w:eastAsia="cs-CZ"/>
    </w:rPr>
  </w:style>
  <w:style w:type="character" w:customStyle="1" w:styleId="TextvysvtlivekChar">
    <w:name w:val="Text vysvětlivek Char"/>
    <w:basedOn w:val="Standardnpsmoodstavce"/>
    <w:link w:val="Textvysvtlivek"/>
    <w:uiPriority w:val="99"/>
    <w:semiHidden/>
    <w:rsid w:val="00A14B9B"/>
    <w:rPr>
      <w:rFonts w:ascii="Times New Roman" w:eastAsia="Times New Roman" w:hAnsi="Times New Roman" w:cs="Times New Roman"/>
      <w:sz w:val="20"/>
      <w:szCs w:val="20"/>
      <w:lang w:val="cs-CZ" w:eastAsia="cs-CZ"/>
    </w:rPr>
  </w:style>
  <w:style w:type="character" w:styleId="Odkaznavysvtlivky">
    <w:name w:val="endnote reference"/>
    <w:basedOn w:val="Standardnpsmoodstavce"/>
    <w:uiPriority w:val="99"/>
    <w:semiHidden/>
    <w:unhideWhenUsed/>
    <w:rsid w:val="00A14B9B"/>
    <w:rPr>
      <w:vertAlign w:val="superscript"/>
    </w:rPr>
  </w:style>
  <w:style w:type="paragraph" w:styleId="z-Zatekformule">
    <w:name w:val="HTML Top of Form"/>
    <w:basedOn w:val="Normln"/>
    <w:next w:val="Normln"/>
    <w:link w:val="z-ZatekformuleChar"/>
    <w:hidden/>
    <w:uiPriority w:val="99"/>
    <w:semiHidden/>
    <w:unhideWhenUsed/>
    <w:rsid w:val="00A14B9B"/>
    <w:pPr>
      <w:pBdr>
        <w:bottom w:val="single" w:sz="6" w:space="1" w:color="auto"/>
      </w:pBdr>
      <w:jc w:val="center"/>
    </w:pPr>
    <w:rPr>
      <w:rFonts w:ascii="Arial" w:eastAsia="Times New Roman" w:hAnsi="Arial" w:cs="Arial"/>
      <w:vanish/>
      <w:sz w:val="16"/>
      <w:szCs w:val="16"/>
      <w:lang w:val="cs-CZ" w:eastAsia="cs-CZ"/>
    </w:rPr>
  </w:style>
  <w:style w:type="character" w:customStyle="1" w:styleId="z-ZatekformuleChar">
    <w:name w:val="z-Začátek formuláře Char"/>
    <w:basedOn w:val="Standardnpsmoodstavce"/>
    <w:link w:val="z-Zatekformule"/>
    <w:uiPriority w:val="99"/>
    <w:semiHidden/>
    <w:rsid w:val="00A14B9B"/>
    <w:rPr>
      <w:rFonts w:ascii="Arial" w:eastAsia="Times New Roman" w:hAnsi="Arial" w:cs="Arial"/>
      <w:vanish/>
      <w:sz w:val="16"/>
      <w:szCs w:val="16"/>
      <w:lang w:val="cs-CZ" w:eastAsia="cs-CZ"/>
    </w:rPr>
  </w:style>
  <w:style w:type="character" w:customStyle="1" w:styleId="odkaz-style-wrapper">
    <w:name w:val="odkaz-style-wrapper"/>
    <w:basedOn w:val="Standardnpsmoodstavce"/>
    <w:rsid w:val="00A14B9B"/>
  </w:style>
  <w:style w:type="table" w:customStyle="1" w:styleId="Prosttabulka11">
    <w:name w:val="Prostá tabulka 11"/>
    <w:basedOn w:val="Normlntabulka"/>
    <w:uiPriority w:val="41"/>
    <w:rsid w:val="00A14B9B"/>
    <w:pPr>
      <w:spacing w:after="0" w:line="240" w:lineRule="auto"/>
    </w:pPr>
    <w:rPr>
      <w:lang w:val="cs-CZ"/>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textvtabulceChar">
    <w:name w:val="text v tabulce Char"/>
    <w:link w:val="textvtabulce"/>
    <w:locked/>
    <w:rsid w:val="00A14B9B"/>
    <w:rPr>
      <w:sz w:val="18"/>
    </w:rPr>
  </w:style>
  <w:style w:type="paragraph" w:customStyle="1" w:styleId="textvtabulce">
    <w:name w:val="text v tabulce"/>
    <w:basedOn w:val="Normln"/>
    <w:link w:val="textvtabulceChar"/>
    <w:qFormat/>
    <w:rsid w:val="00A14B9B"/>
    <w:pPr>
      <w:spacing w:before="60" w:after="60"/>
      <w:jc w:val="left"/>
    </w:pPr>
    <w:rPr>
      <w:rFonts w:asciiTheme="minorHAnsi" w:hAnsiTheme="minorHAnsi"/>
      <w:sz w:val="18"/>
    </w:rPr>
  </w:style>
  <w:style w:type="character" w:customStyle="1" w:styleId="tlid-translation">
    <w:name w:val="tlid-translation"/>
    <w:basedOn w:val="Standardnpsmoodstavce"/>
    <w:rsid w:val="00A14B9B"/>
  </w:style>
  <w:style w:type="character" w:customStyle="1" w:styleId="Nevyeenzmnka2">
    <w:name w:val="Nevyřešená zmínka2"/>
    <w:basedOn w:val="Standardnpsmoodstavce"/>
    <w:uiPriority w:val="99"/>
    <w:semiHidden/>
    <w:unhideWhenUsed/>
    <w:rsid w:val="00A14B9B"/>
    <w:rPr>
      <w:color w:val="605E5C"/>
      <w:shd w:val="clear" w:color="auto" w:fill="E1DFDD"/>
    </w:rPr>
  </w:style>
  <w:style w:type="character" w:customStyle="1" w:styleId="Nevyeenzmnka3">
    <w:name w:val="Nevyřešená zmínka3"/>
    <w:basedOn w:val="Standardnpsmoodstavce"/>
    <w:uiPriority w:val="99"/>
    <w:semiHidden/>
    <w:unhideWhenUsed/>
    <w:rsid w:val="00A14B9B"/>
    <w:rPr>
      <w:color w:val="605E5C"/>
      <w:shd w:val="clear" w:color="auto" w:fill="E1DFDD"/>
    </w:rPr>
  </w:style>
  <w:style w:type="character" w:customStyle="1" w:styleId="Nevyeenzmnka4">
    <w:name w:val="Nevyřešená zmínka4"/>
    <w:basedOn w:val="Standardnpsmoodstavce"/>
    <w:uiPriority w:val="99"/>
    <w:semiHidden/>
    <w:unhideWhenUsed/>
    <w:rsid w:val="00A14B9B"/>
    <w:rPr>
      <w:color w:val="605E5C"/>
      <w:shd w:val="clear" w:color="auto" w:fill="E1DFDD"/>
    </w:rPr>
  </w:style>
  <w:style w:type="character" w:customStyle="1" w:styleId="td">
    <w:name w:val="td"/>
    <w:basedOn w:val="Standardnpsmoodstavce"/>
    <w:rsid w:val="00A14B9B"/>
  </w:style>
  <w:style w:type="character" w:customStyle="1" w:styleId="markedcontent">
    <w:name w:val="markedcontent"/>
    <w:basedOn w:val="Standardnpsmoodstavce"/>
    <w:rsid w:val="00A14B9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67620099">
      <w:bodyDiv w:val="1"/>
      <w:marLeft w:val="0"/>
      <w:marRight w:val="0"/>
      <w:marTop w:val="0"/>
      <w:marBottom w:val="0"/>
      <w:divBdr>
        <w:top w:val="none" w:sz="0" w:space="0" w:color="auto"/>
        <w:left w:val="none" w:sz="0" w:space="0" w:color="auto"/>
        <w:bottom w:val="none" w:sz="0" w:space="0" w:color="auto"/>
        <w:right w:val="none" w:sz="0" w:space="0" w:color="auto"/>
      </w:divBdr>
    </w:div>
    <w:div w:id="1551069247">
      <w:bodyDiv w:val="1"/>
      <w:marLeft w:val="0"/>
      <w:marRight w:val="0"/>
      <w:marTop w:val="0"/>
      <w:marBottom w:val="0"/>
      <w:divBdr>
        <w:top w:val="none" w:sz="0" w:space="0" w:color="auto"/>
        <w:left w:val="none" w:sz="0" w:space="0" w:color="auto"/>
        <w:bottom w:val="none" w:sz="0" w:space="0" w:color="auto"/>
        <w:right w:val="none" w:sz="0" w:space="0" w:color="auto"/>
      </w:divBdr>
    </w:div>
  </w:divs>
  <w:encoding w:val="x-mac-ce"/>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95.png"/><Relationship Id="rId21" Type="http://schemas.openxmlformats.org/officeDocument/2006/relationships/chart" Target="charts/chart4.xml"/><Relationship Id="rId42" Type="http://schemas.openxmlformats.org/officeDocument/2006/relationships/image" Target="media/image25.emf"/><Relationship Id="rId63" Type="http://schemas.openxmlformats.org/officeDocument/2006/relationships/image" Target="media/image46.png"/><Relationship Id="rId84" Type="http://schemas.openxmlformats.org/officeDocument/2006/relationships/image" Target="media/image62.emf"/><Relationship Id="rId138" Type="http://schemas.openxmlformats.org/officeDocument/2006/relationships/chart" Target="charts/chart15.xml"/><Relationship Id="rId159" Type="http://schemas.openxmlformats.org/officeDocument/2006/relationships/chart" Target="charts/chart22.xml"/><Relationship Id="rId170" Type="http://schemas.openxmlformats.org/officeDocument/2006/relationships/image" Target="media/image135.png"/><Relationship Id="rId191" Type="http://schemas.openxmlformats.org/officeDocument/2006/relationships/image" Target="media/image146.emf"/><Relationship Id="rId205" Type="http://schemas.openxmlformats.org/officeDocument/2006/relationships/image" Target="cid:image001.png@01D76294.EDE5EF30" TargetMode="External"/><Relationship Id="rId107" Type="http://schemas.openxmlformats.org/officeDocument/2006/relationships/image" Target="media/image85.emf"/><Relationship Id="rId11" Type="http://schemas.openxmlformats.org/officeDocument/2006/relationships/image" Target="media/image3.png"/><Relationship Id="rId32" Type="http://schemas.openxmlformats.org/officeDocument/2006/relationships/chart" Target="charts/chart6.xml"/><Relationship Id="rId53" Type="http://schemas.openxmlformats.org/officeDocument/2006/relationships/image" Target="media/image36.png"/><Relationship Id="rId74" Type="http://schemas.openxmlformats.org/officeDocument/2006/relationships/image" Target="media/image52.png"/><Relationship Id="rId128" Type="http://schemas.openxmlformats.org/officeDocument/2006/relationships/image" Target="media/image106.png"/><Relationship Id="rId149" Type="http://schemas.openxmlformats.org/officeDocument/2006/relationships/image" Target="media/image122.png"/><Relationship Id="rId5" Type="http://schemas.openxmlformats.org/officeDocument/2006/relationships/webSettings" Target="webSettings.xml"/><Relationship Id="rId95" Type="http://schemas.openxmlformats.org/officeDocument/2006/relationships/image" Target="media/image73.png"/><Relationship Id="rId160" Type="http://schemas.openxmlformats.org/officeDocument/2006/relationships/image" Target="media/image129.png"/><Relationship Id="rId181" Type="http://schemas.openxmlformats.org/officeDocument/2006/relationships/chart" Target="charts/chart31.xml"/><Relationship Id="rId22" Type="http://schemas.openxmlformats.org/officeDocument/2006/relationships/image" Target="media/image10.png"/><Relationship Id="rId43" Type="http://schemas.openxmlformats.org/officeDocument/2006/relationships/image" Target="media/image26.png"/><Relationship Id="rId64" Type="http://schemas.openxmlformats.org/officeDocument/2006/relationships/chart" Target="charts/chart9.xml"/><Relationship Id="rId118" Type="http://schemas.openxmlformats.org/officeDocument/2006/relationships/image" Target="media/image96.png"/><Relationship Id="rId139" Type="http://schemas.openxmlformats.org/officeDocument/2006/relationships/chart" Target="charts/chart16.xml"/><Relationship Id="rId85" Type="http://schemas.openxmlformats.org/officeDocument/2006/relationships/image" Target="media/image63.emf"/><Relationship Id="rId150" Type="http://schemas.openxmlformats.org/officeDocument/2006/relationships/chart" Target="charts/chart19.xml"/><Relationship Id="rId171" Type="http://schemas.openxmlformats.org/officeDocument/2006/relationships/image" Target="media/image136.png"/><Relationship Id="rId192" Type="http://schemas.openxmlformats.org/officeDocument/2006/relationships/image" Target="media/image147.emf"/><Relationship Id="rId206" Type="http://schemas.openxmlformats.org/officeDocument/2006/relationships/header" Target="header1.xml"/><Relationship Id="rId12" Type="http://schemas.openxmlformats.org/officeDocument/2006/relationships/image" Target="media/image4.emf"/><Relationship Id="rId33" Type="http://schemas.openxmlformats.org/officeDocument/2006/relationships/chart" Target="charts/chart7.xml"/><Relationship Id="rId108" Type="http://schemas.openxmlformats.org/officeDocument/2006/relationships/image" Target="media/image86.emf"/><Relationship Id="rId129" Type="http://schemas.openxmlformats.org/officeDocument/2006/relationships/image" Target="media/image107.png"/><Relationship Id="rId54" Type="http://schemas.openxmlformats.org/officeDocument/2006/relationships/image" Target="media/image37.emf"/><Relationship Id="rId75" Type="http://schemas.openxmlformats.org/officeDocument/2006/relationships/image" Target="media/image53.png"/><Relationship Id="rId96" Type="http://schemas.openxmlformats.org/officeDocument/2006/relationships/image" Target="media/image74.png"/><Relationship Id="rId140" Type="http://schemas.openxmlformats.org/officeDocument/2006/relationships/image" Target="media/image115.png"/><Relationship Id="rId161" Type="http://schemas.openxmlformats.org/officeDocument/2006/relationships/image" Target="media/image130.png"/><Relationship Id="rId182" Type="http://schemas.openxmlformats.org/officeDocument/2006/relationships/chart" Target="charts/chart32.xml"/><Relationship Id="rId6" Type="http://schemas.openxmlformats.org/officeDocument/2006/relationships/footnotes" Target="footnotes.xml"/><Relationship Id="rId23" Type="http://schemas.openxmlformats.org/officeDocument/2006/relationships/image" Target="media/image11.png"/><Relationship Id="rId119" Type="http://schemas.openxmlformats.org/officeDocument/2006/relationships/image" Target="media/image97.emf"/><Relationship Id="rId44" Type="http://schemas.openxmlformats.org/officeDocument/2006/relationships/image" Target="media/image27.png"/><Relationship Id="rId65" Type="http://schemas.openxmlformats.org/officeDocument/2006/relationships/image" Target="media/image47.png"/><Relationship Id="rId86" Type="http://schemas.openxmlformats.org/officeDocument/2006/relationships/image" Target="media/image64.emf"/><Relationship Id="rId130" Type="http://schemas.openxmlformats.org/officeDocument/2006/relationships/image" Target="media/image108.emf"/><Relationship Id="rId151" Type="http://schemas.openxmlformats.org/officeDocument/2006/relationships/image" Target="media/image123.png"/><Relationship Id="rId172" Type="http://schemas.openxmlformats.org/officeDocument/2006/relationships/chart" Target="charts/chart27.xml"/><Relationship Id="rId193" Type="http://schemas.openxmlformats.org/officeDocument/2006/relationships/image" Target="media/image148.emf"/><Relationship Id="rId207" Type="http://schemas.openxmlformats.org/officeDocument/2006/relationships/footer" Target="footer1.xml"/><Relationship Id="rId13" Type="http://schemas.openxmlformats.org/officeDocument/2006/relationships/image" Target="media/image5.png"/><Relationship Id="rId109" Type="http://schemas.openxmlformats.org/officeDocument/2006/relationships/image" Target="media/image87.png"/><Relationship Id="rId34" Type="http://schemas.openxmlformats.org/officeDocument/2006/relationships/chart" Target="charts/chart8.xml"/><Relationship Id="rId55" Type="http://schemas.openxmlformats.org/officeDocument/2006/relationships/image" Target="media/image38.png"/><Relationship Id="rId76" Type="http://schemas.openxmlformats.org/officeDocument/2006/relationships/image" Target="media/image54.png"/><Relationship Id="rId97" Type="http://schemas.openxmlformats.org/officeDocument/2006/relationships/image" Target="media/image75.emf"/><Relationship Id="rId120" Type="http://schemas.openxmlformats.org/officeDocument/2006/relationships/image" Target="media/image98.png"/><Relationship Id="rId141" Type="http://schemas.openxmlformats.org/officeDocument/2006/relationships/image" Target="media/image116.png"/><Relationship Id="rId7" Type="http://schemas.openxmlformats.org/officeDocument/2006/relationships/endnotes" Target="endnotes.xml"/><Relationship Id="rId162" Type="http://schemas.openxmlformats.org/officeDocument/2006/relationships/chart" Target="charts/chart23.xml"/><Relationship Id="rId183" Type="http://schemas.openxmlformats.org/officeDocument/2006/relationships/chart" Target="charts/chart33.xml"/><Relationship Id="rId24" Type="http://schemas.openxmlformats.org/officeDocument/2006/relationships/image" Target="media/image12.png"/><Relationship Id="rId45" Type="http://schemas.openxmlformats.org/officeDocument/2006/relationships/image" Target="media/image28.emf"/><Relationship Id="rId66" Type="http://schemas.openxmlformats.org/officeDocument/2006/relationships/chart" Target="charts/chart10.xml"/><Relationship Id="rId87" Type="http://schemas.openxmlformats.org/officeDocument/2006/relationships/image" Target="media/image65.emf"/><Relationship Id="rId110" Type="http://schemas.openxmlformats.org/officeDocument/2006/relationships/image" Target="media/image88.emf"/><Relationship Id="rId131" Type="http://schemas.openxmlformats.org/officeDocument/2006/relationships/chart" Target="charts/chart14.xml"/><Relationship Id="rId61" Type="http://schemas.openxmlformats.org/officeDocument/2006/relationships/image" Target="media/image44.png"/><Relationship Id="rId82" Type="http://schemas.openxmlformats.org/officeDocument/2006/relationships/image" Target="media/image60.emf"/><Relationship Id="rId152" Type="http://schemas.openxmlformats.org/officeDocument/2006/relationships/image" Target="media/image124.png"/><Relationship Id="rId173" Type="http://schemas.openxmlformats.org/officeDocument/2006/relationships/image" Target="media/image137.png"/><Relationship Id="rId194" Type="http://schemas.openxmlformats.org/officeDocument/2006/relationships/image" Target="media/image149.emf"/><Relationship Id="rId199" Type="http://schemas.openxmlformats.org/officeDocument/2006/relationships/image" Target="media/image154.png"/><Relationship Id="rId203" Type="http://schemas.openxmlformats.org/officeDocument/2006/relationships/image" Target="media/image157.png"/><Relationship Id="rId208" Type="http://schemas.openxmlformats.org/officeDocument/2006/relationships/fontTable" Target="fontTable.xml"/><Relationship Id="rId19" Type="http://schemas.openxmlformats.org/officeDocument/2006/relationships/image" Target="media/image9.png"/><Relationship Id="rId14" Type="http://schemas.openxmlformats.org/officeDocument/2006/relationships/chart" Target="charts/chart1.xml"/><Relationship Id="rId30" Type="http://schemas.openxmlformats.org/officeDocument/2006/relationships/image" Target="media/image16.png"/><Relationship Id="rId35" Type="http://schemas.openxmlformats.org/officeDocument/2006/relationships/image" Target="media/image18.png"/><Relationship Id="rId56" Type="http://schemas.openxmlformats.org/officeDocument/2006/relationships/image" Target="media/image39.png"/><Relationship Id="rId77" Type="http://schemas.openxmlformats.org/officeDocument/2006/relationships/image" Target="media/image55.png"/><Relationship Id="rId100" Type="http://schemas.openxmlformats.org/officeDocument/2006/relationships/image" Target="media/image78.emf"/><Relationship Id="rId105" Type="http://schemas.openxmlformats.org/officeDocument/2006/relationships/image" Target="media/image83.png"/><Relationship Id="rId126" Type="http://schemas.openxmlformats.org/officeDocument/2006/relationships/image" Target="media/image104.png"/><Relationship Id="rId147" Type="http://schemas.openxmlformats.org/officeDocument/2006/relationships/chart" Target="charts/chart18.xml"/><Relationship Id="rId168" Type="http://schemas.openxmlformats.org/officeDocument/2006/relationships/image" Target="media/image134.png"/><Relationship Id="rId8" Type="http://schemas.openxmlformats.org/officeDocument/2006/relationships/image" Target="media/image1.png"/><Relationship Id="rId51" Type="http://schemas.openxmlformats.org/officeDocument/2006/relationships/image" Target="media/image34.png"/><Relationship Id="rId72" Type="http://schemas.openxmlformats.org/officeDocument/2006/relationships/image" Target="media/image50.png"/><Relationship Id="rId93" Type="http://schemas.openxmlformats.org/officeDocument/2006/relationships/image" Target="media/image71.png"/><Relationship Id="rId98" Type="http://schemas.openxmlformats.org/officeDocument/2006/relationships/image" Target="media/image76.emf"/><Relationship Id="rId121" Type="http://schemas.openxmlformats.org/officeDocument/2006/relationships/image" Target="media/image99.emf"/><Relationship Id="rId142" Type="http://schemas.openxmlformats.org/officeDocument/2006/relationships/image" Target="media/image117.png"/><Relationship Id="rId163" Type="http://schemas.openxmlformats.org/officeDocument/2006/relationships/image" Target="media/image131.png"/><Relationship Id="rId184" Type="http://schemas.openxmlformats.org/officeDocument/2006/relationships/chart" Target="charts/chart34.xml"/><Relationship Id="rId189" Type="http://schemas.openxmlformats.org/officeDocument/2006/relationships/image" Target="media/image144.emf"/><Relationship Id="rId3" Type="http://schemas.openxmlformats.org/officeDocument/2006/relationships/styles" Target="styles.xml"/><Relationship Id="rId25" Type="http://schemas.openxmlformats.org/officeDocument/2006/relationships/image" Target="media/image13.png"/><Relationship Id="rId46" Type="http://schemas.openxmlformats.org/officeDocument/2006/relationships/image" Target="media/image29.png"/><Relationship Id="rId67" Type="http://schemas.openxmlformats.org/officeDocument/2006/relationships/chart" Target="charts/chart11.xml"/><Relationship Id="rId116" Type="http://schemas.openxmlformats.org/officeDocument/2006/relationships/image" Target="media/image94.emf"/><Relationship Id="rId137" Type="http://schemas.openxmlformats.org/officeDocument/2006/relationships/image" Target="media/image114.png"/><Relationship Id="rId158" Type="http://schemas.openxmlformats.org/officeDocument/2006/relationships/image" Target="media/image128.png"/><Relationship Id="rId20" Type="http://schemas.openxmlformats.org/officeDocument/2006/relationships/chart" Target="charts/chart3.xml"/><Relationship Id="rId41" Type="http://schemas.openxmlformats.org/officeDocument/2006/relationships/image" Target="media/image24.png"/><Relationship Id="rId62" Type="http://schemas.openxmlformats.org/officeDocument/2006/relationships/image" Target="media/image45.png"/><Relationship Id="rId83" Type="http://schemas.openxmlformats.org/officeDocument/2006/relationships/image" Target="media/image61.tiff"/><Relationship Id="rId88" Type="http://schemas.openxmlformats.org/officeDocument/2006/relationships/image" Target="media/image66.png"/><Relationship Id="rId111" Type="http://schemas.openxmlformats.org/officeDocument/2006/relationships/image" Target="media/image89.emf"/><Relationship Id="rId132" Type="http://schemas.openxmlformats.org/officeDocument/2006/relationships/image" Target="media/image109.emf"/><Relationship Id="rId153" Type="http://schemas.openxmlformats.org/officeDocument/2006/relationships/chart" Target="charts/chart20.xml"/><Relationship Id="rId174" Type="http://schemas.openxmlformats.org/officeDocument/2006/relationships/image" Target="media/image138.png"/><Relationship Id="rId179" Type="http://schemas.openxmlformats.org/officeDocument/2006/relationships/chart" Target="charts/chart29.xml"/><Relationship Id="rId195" Type="http://schemas.openxmlformats.org/officeDocument/2006/relationships/image" Target="media/image150.png"/><Relationship Id="rId209" Type="http://schemas.openxmlformats.org/officeDocument/2006/relationships/theme" Target="theme/theme1.xml"/><Relationship Id="rId190" Type="http://schemas.openxmlformats.org/officeDocument/2006/relationships/image" Target="media/image145.emf"/><Relationship Id="rId204" Type="http://schemas.openxmlformats.org/officeDocument/2006/relationships/image" Target="media/image158.png"/><Relationship Id="rId15" Type="http://schemas.openxmlformats.org/officeDocument/2006/relationships/image" Target="media/image6.png"/><Relationship Id="rId36" Type="http://schemas.openxmlformats.org/officeDocument/2006/relationships/image" Target="media/image19.png"/><Relationship Id="rId57" Type="http://schemas.openxmlformats.org/officeDocument/2006/relationships/image" Target="media/image40.png"/><Relationship Id="rId106" Type="http://schemas.openxmlformats.org/officeDocument/2006/relationships/image" Target="media/image84.png"/><Relationship Id="rId127" Type="http://schemas.openxmlformats.org/officeDocument/2006/relationships/image" Target="media/image105.emf"/><Relationship Id="rId10" Type="http://schemas.openxmlformats.org/officeDocument/2006/relationships/hyperlink" Target="http://www.szpi.gov.cz/clanek/tz-2016-vyzkum-cesky-spotrebitel-zada-stejne-kvalitni-potraviny-jako-evropsky.aspx" TargetMode="External"/><Relationship Id="rId31" Type="http://schemas.openxmlformats.org/officeDocument/2006/relationships/image" Target="media/image17.png"/><Relationship Id="rId52" Type="http://schemas.openxmlformats.org/officeDocument/2006/relationships/image" Target="media/image35.png"/><Relationship Id="rId73" Type="http://schemas.openxmlformats.org/officeDocument/2006/relationships/image" Target="media/image51.emf"/><Relationship Id="rId78" Type="http://schemas.openxmlformats.org/officeDocument/2006/relationships/image" Target="media/image56.png"/><Relationship Id="rId94" Type="http://schemas.openxmlformats.org/officeDocument/2006/relationships/image" Target="media/image72.png"/><Relationship Id="rId99" Type="http://schemas.openxmlformats.org/officeDocument/2006/relationships/image" Target="media/image77.tiff"/><Relationship Id="rId101" Type="http://schemas.openxmlformats.org/officeDocument/2006/relationships/image" Target="media/image79.tiff"/><Relationship Id="rId122" Type="http://schemas.openxmlformats.org/officeDocument/2006/relationships/image" Target="media/image100.png"/><Relationship Id="rId143" Type="http://schemas.openxmlformats.org/officeDocument/2006/relationships/chart" Target="charts/chart17.xml"/><Relationship Id="rId148" Type="http://schemas.openxmlformats.org/officeDocument/2006/relationships/image" Target="media/image121.png"/><Relationship Id="rId164" Type="http://schemas.openxmlformats.org/officeDocument/2006/relationships/image" Target="media/image132.png"/><Relationship Id="rId169" Type="http://schemas.openxmlformats.org/officeDocument/2006/relationships/chart" Target="charts/chart26.xml"/><Relationship Id="rId185" Type="http://schemas.openxmlformats.org/officeDocument/2006/relationships/chart" Target="charts/chart35.xml"/><Relationship Id="rId4" Type="http://schemas.openxmlformats.org/officeDocument/2006/relationships/settings" Target="settings.xml"/><Relationship Id="rId9" Type="http://schemas.openxmlformats.org/officeDocument/2006/relationships/image" Target="media/image2.jpg"/><Relationship Id="rId180" Type="http://schemas.openxmlformats.org/officeDocument/2006/relationships/chart" Target="charts/chart30.xml"/><Relationship Id="rId26" Type="http://schemas.openxmlformats.org/officeDocument/2006/relationships/hyperlink" Target="https://euc-word-edit.officeapps.live.com/we/wordeditorframe.aspx?ui=cs&amp;rs=en%2DUS&amp;wopisrc=https%3A%2F%2Fuzei-my.sharepoint.com%2Fpersonal%2Fnovotna_klara_uzei_cz%2F_vti_bin%2Fwopi.ashx%2Ffiles%2F7545e9d48d4e49bb8462fb40e6807a7e&amp;wdenableroaming=1&amp;mscc=1&amp;wdodb=1&amp;hid=E4E0BB9F-E054-2000-DC7D-9FFA5A9A9455&amp;wdorigin=ItemsView&amp;wdhostclicktime=1617791380717&amp;jsapi=1&amp;jsapiver=v1&amp;newsession=1&amp;corrid=586f4fa3-0c58-4acd-bba5-46e6d86cff4b&amp;usid=586f4fa3-0c58-4acd-bba5-46e6d86cff4b&amp;sftc=1&amp;mtf=1&amp;instantedit=1&amp;wopicomplete=1&amp;wdredirectionreason=Unified_SingleFlush&amp;rct=Medium&amp;ctp=LeastProtected" TargetMode="External"/><Relationship Id="rId47" Type="http://schemas.openxmlformats.org/officeDocument/2006/relationships/image" Target="media/image30.png"/><Relationship Id="rId68" Type="http://schemas.openxmlformats.org/officeDocument/2006/relationships/chart" Target="charts/chart12.xml"/><Relationship Id="rId89" Type="http://schemas.openxmlformats.org/officeDocument/2006/relationships/image" Target="media/image67.png"/><Relationship Id="rId112" Type="http://schemas.openxmlformats.org/officeDocument/2006/relationships/image" Target="media/image90.emf"/><Relationship Id="rId133" Type="http://schemas.openxmlformats.org/officeDocument/2006/relationships/image" Target="media/image110.png"/><Relationship Id="rId154" Type="http://schemas.openxmlformats.org/officeDocument/2006/relationships/image" Target="media/image125.png"/><Relationship Id="rId175" Type="http://schemas.openxmlformats.org/officeDocument/2006/relationships/chart" Target="charts/chart28.xml"/><Relationship Id="rId196" Type="http://schemas.openxmlformats.org/officeDocument/2006/relationships/image" Target="media/image151.emf"/><Relationship Id="rId200" Type="http://schemas.openxmlformats.org/officeDocument/2006/relationships/image" Target="media/image155.png"/><Relationship Id="rId16" Type="http://schemas.openxmlformats.org/officeDocument/2006/relationships/image" Target="media/image7.png"/><Relationship Id="rId37" Type="http://schemas.openxmlformats.org/officeDocument/2006/relationships/image" Target="media/image20.emf"/><Relationship Id="rId58" Type="http://schemas.openxmlformats.org/officeDocument/2006/relationships/image" Target="media/image41.png"/><Relationship Id="rId79" Type="http://schemas.openxmlformats.org/officeDocument/2006/relationships/image" Target="media/image57.png"/><Relationship Id="rId102" Type="http://schemas.openxmlformats.org/officeDocument/2006/relationships/image" Target="media/image80.emf"/><Relationship Id="rId123" Type="http://schemas.openxmlformats.org/officeDocument/2006/relationships/image" Target="media/image101.png"/><Relationship Id="rId144" Type="http://schemas.openxmlformats.org/officeDocument/2006/relationships/image" Target="media/image118.png"/><Relationship Id="rId90" Type="http://schemas.openxmlformats.org/officeDocument/2006/relationships/image" Target="media/image68.png"/><Relationship Id="rId165" Type="http://schemas.openxmlformats.org/officeDocument/2006/relationships/chart" Target="charts/chart24.xml"/><Relationship Id="rId186" Type="http://schemas.openxmlformats.org/officeDocument/2006/relationships/chart" Target="charts/chart36.xml"/><Relationship Id="rId27" Type="http://schemas.openxmlformats.org/officeDocument/2006/relationships/image" Target="media/image14.png"/><Relationship Id="rId48" Type="http://schemas.openxmlformats.org/officeDocument/2006/relationships/image" Target="media/image31.png"/><Relationship Id="rId69" Type="http://schemas.openxmlformats.org/officeDocument/2006/relationships/chart" Target="charts/chart13.xml"/><Relationship Id="rId113" Type="http://schemas.openxmlformats.org/officeDocument/2006/relationships/image" Target="media/image91.png"/><Relationship Id="rId134" Type="http://schemas.openxmlformats.org/officeDocument/2006/relationships/image" Target="media/image111.png"/><Relationship Id="rId80" Type="http://schemas.openxmlformats.org/officeDocument/2006/relationships/image" Target="media/image58.png"/><Relationship Id="rId155" Type="http://schemas.openxmlformats.org/officeDocument/2006/relationships/image" Target="media/image126.png"/><Relationship Id="rId176" Type="http://schemas.openxmlformats.org/officeDocument/2006/relationships/image" Target="media/image139.png"/><Relationship Id="rId197" Type="http://schemas.openxmlformats.org/officeDocument/2006/relationships/image" Target="media/image152.png"/><Relationship Id="rId201" Type="http://schemas.openxmlformats.org/officeDocument/2006/relationships/image" Target="media/image156.png"/><Relationship Id="rId17" Type="http://schemas.openxmlformats.org/officeDocument/2006/relationships/chart" Target="charts/chart2.xml"/><Relationship Id="rId38" Type="http://schemas.openxmlformats.org/officeDocument/2006/relationships/image" Target="media/image21.png"/><Relationship Id="rId59" Type="http://schemas.openxmlformats.org/officeDocument/2006/relationships/image" Target="media/image42.png"/><Relationship Id="rId103" Type="http://schemas.openxmlformats.org/officeDocument/2006/relationships/image" Target="media/image81.emf"/><Relationship Id="rId124" Type="http://schemas.openxmlformats.org/officeDocument/2006/relationships/image" Target="media/image102.emf"/><Relationship Id="rId70" Type="http://schemas.openxmlformats.org/officeDocument/2006/relationships/image" Target="media/image48.emf"/><Relationship Id="rId91" Type="http://schemas.openxmlformats.org/officeDocument/2006/relationships/image" Target="media/image69.emf"/><Relationship Id="rId145" Type="http://schemas.openxmlformats.org/officeDocument/2006/relationships/image" Target="media/image119.png"/><Relationship Id="rId166" Type="http://schemas.openxmlformats.org/officeDocument/2006/relationships/image" Target="media/image133.png"/><Relationship Id="rId187" Type="http://schemas.openxmlformats.org/officeDocument/2006/relationships/image" Target="media/image142.png"/><Relationship Id="rId1" Type="http://schemas.openxmlformats.org/officeDocument/2006/relationships/customXml" Target="../customXml/item1.xml"/><Relationship Id="rId28" Type="http://schemas.openxmlformats.org/officeDocument/2006/relationships/image" Target="media/image15.png"/><Relationship Id="rId49" Type="http://schemas.openxmlformats.org/officeDocument/2006/relationships/image" Target="media/image32.png"/><Relationship Id="rId114" Type="http://schemas.openxmlformats.org/officeDocument/2006/relationships/image" Target="media/image92.emf"/><Relationship Id="rId60" Type="http://schemas.openxmlformats.org/officeDocument/2006/relationships/image" Target="media/image43.png"/><Relationship Id="rId81" Type="http://schemas.openxmlformats.org/officeDocument/2006/relationships/image" Target="media/image59.emf"/><Relationship Id="rId135" Type="http://schemas.openxmlformats.org/officeDocument/2006/relationships/image" Target="media/image112.emf"/><Relationship Id="rId156" Type="http://schemas.openxmlformats.org/officeDocument/2006/relationships/chart" Target="charts/chart21.xml"/><Relationship Id="rId177" Type="http://schemas.openxmlformats.org/officeDocument/2006/relationships/image" Target="media/image140.png"/><Relationship Id="rId198" Type="http://schemas.openxmlformats.org/officeDocument/2006/relationships/image" Target="media/image153.png"/><Relationship Id="rId202" Type="http://schemas.openxmlformats.org/officeDocument/2006/relationships/chart" Target="charts/chart37.xml"/><Relationship Id="rId18" Type="http://schemas.openxmlformats.org/officeDocument/2006/relationships/image" Target="media/image8.png"/><Relationship Id="rId39" Type="http://schemas.openxmlformats.org/officeDocument/2006/relationships/image" Target="media/image22.emf"/><Relationship Id="rId50" Type="http://schemas.openxmlformats.org/officeDocument/2006/relationships/image" Target="media/image33.emf"/><Relationship Id="rId104" Type="http://schemas.openxmlformats.org/officeDocument/2006/relationships/image" Target="media/image82.emf"/><Relationship Id="rId125" Type="http://schemas.openxmlformats.org/officeDocument/2006/relationships/image" Target="media/image103.png"/><Relationship Id="rId146" Type="http://schemas.openxmlformats.org/officeDocument/2006/relationships/image" Target="media/image120.png"/><Relationship Id="rId167" Type="http://schemas.openxmlformats.org/officeDocument/2006/relationships/chart" Target="charts/chart25.xml"/><Relationship Id="rId188" Type="http://schemas.openxmlformats.org/officeDocument/2006/relationships/image" Target="media/image143.png"/><Relationship Id="rId71" Type="http://schemas.openxmlformats.org/officeDocument/2006/relationships/image" Target="media/image49.png"/><Relationship Id="rId92" Type="http://schemas.openxmlformats.org/officeDocument/2006/relationships/image" Target="media/image70.png"/><Relationship Id="rId2" Type="http://schemas.openxmlformats.org/officeDocument/2006/relationships/numbering" Target="numbering.xml"/><Relationship Id="rId29" Type="http://schemas.openxmlformats.org/officeDocument/2006/relationships/chart" Target="charts/chart5.xml"/><Relationship Id="rId40" Type="http://schemas.openxmlformats.org/officeDocument/2006/relationships/image" Target="media/image23.png"/><Relationship Id="rId115" Type="http://schemas.openxmlformats.org/officeDocument/2006/relationships/image" Target="media/image93.png"/><Relationship Id="rId136" Type="http://schemas.openxmlformats.org/officeDocument/2006/relationships/image" Target="media/image113.png"/><Relationship Id="rId157" Type="http://schemas.openxmlformats.org/officeDocument/2006/relationships/image" Target="media/image127.emf"/><Relationship Id="rId178" Type="http://schemas.openxmlformats.org/officeDocument/2006/relationships/image" Target="media/image141.png"/></Relationships>
</file>

<file path=word/_rels/footnotes.xml.rels><?xml version="1.0" encoding="UTF-8" standalone="yes"?>
<Relationships xmlns="http://schemas.openxmlformats.org/package/2006/relationships"><Relationship Id="rId3" Type="http://schemas.openxmlformats.org/officeDocument/2006/relationships/hyperlink" Target="https://www.czechinvest.org/cz/Sluzby-pro-municipality/Nemovitosti-pro-podnikatelske-ucely/Brownfieldy" TargetMode="External"/><Relationship Id="rId2" Type="http://schemas.openxmlformats.org/officeDocument/2006/relationships/hyperlink" Target="https://www.uur.cz/images/5-publikacni-cinnost-a-knihovna/casopis/2012/2012-06/03_zemedelske.pdf" TargetMode="External"/><Relationship Id="rId1" Type="http://schemas.openxmlformats.org/officeDocument/2006/relationships/hyperlink" Target="https://www.cenia.cz/wp-content/uploads/2020/05/Zprava_o_ZP_CR_2019.pdf" TargetMode="External"/><Relationship Id="rId4" Type="http://schemas.openxmlformats.org/officeDocument/2006/relationships/hyperlink" Target="http://www.dvs.cz/clanek.asp?id=6485296" TargetMode="External"/></Relationships>
</file>

<file path=word/charts/_rels/chart1.xml.rels><?xml version="1.0" encoding="UTF-8" standalone="yes"?>
<Relationships xmlns="http://schemas.openxmlformats.org/package/2006/relationships"><Relationship Id="rId1" Type="http://schemas.openxmlformats.org/officeDocument/2006/relationships/oleObject" Target="file:///C:\Users\svobodova\Documents\Koncepce%20SZP%202020+\Aktualizace%20anal&#253;zy\Venkov%20souhrn%20tabulky.xlsx" TargetMode="External"/></Relationships>
</file>

<file path=word/charts/_rels/chart10.xml.rels><?xml version="1.0" encoding="UTF-8" standalone="yes"?>
<Relationships xmlns="http://schemas.openxmlformats.org/package/2006/relationships"><Relationship Id="rId3" Type="http://schemas.openxmlformats.org/officeDocument/2006/relationships/oleObject" Target="https://uzei-my.sharepoint.com/personal/novotna_klara_uzei_cz/Documents/SZP/07_PS_Venkov/1_Faze_Analyza%20situace/DIVERZ_FADNvyvojLFA.xlsx" TargetMode="External"/><Relationship Id="rId2" Type="http://schemas.microsoft.com/office/2011/relationships/chartColorStyle" Target="colors3.xml"/><Relationship Id="rId1" Type="http://schemas.microsoft.com/office/2011/relationships/chartStyle" Target="style3.xml"/></Relationships>
</file>

<file path=word/charts/_rels/chart11.xml.rels><?xml version="1.0" encoding="UTF-8" standalone="yes"?>
<Relationships xmlns="http://schemas.openxmlformats.org/package/2006/relationships"><Relationship Id="rId3" Type="http://schemas.openxmlformats.org/officeDocument/2006/relationships/oleObject" Target="https://uzei-my.sharepoint.com/personal/novotna_klara_uzei_cz/Documents/SZP/07_PS_Venkov/1_Faze_Analyza%20situace/DIVERZ_FADNvyvojLFA.xlsx" TargetMode="External"/><Relationship Id="rId2" Type="http://schemas.microsoft.com/office/2011/relationships/chartColorStyle" Target="colors4.xml"/><Relationship Id="rId1" Type="http://schemas.microsoft.com/office/2011/relationships/chartStyle" Target="style4.xml"/></Relationships>
</file>

<file path=word/charts/_rels/chart12.xml.rels><?xml version="1.0" encoding="UTF-8" standalone="yes"?>
<Relationships xmlns="http://schemas.openxmlformats.org/package/2006/relationships"><Relationship Id="rId3" Type="http://schemas.openxmlformats.org/officeDocument/2006/relationships/oleObject" Target="https://uzei-my.sharepoint.com/personal/novotna_klara_uzei_cz/Documents/SZP/07_PS_Venkov/1_Faze_Analyza%20situace/DIVERZ_FADNvyvojLFA.xlsx" TargetMode="External"/><Relationship Id="rId2" Type="http://schemas.microsoft.com/office/2011/relationships/chartColorStyle" Target="colors5.xml"/><Relationship Id="rId1" Type="http://schemas.microsoft.com/office/2011/relationships/chartStyle" Target="style5.xml"/></Relationships>
</file>

<file path=word/charts/_rels/chart13.xml.rels><?xml version="1.0" encoding="UTF-8" standalone="yes"?>
<Relationships xmlns="http://schemas.openxmlformats.org/package/2006/relationships"><Relationship Id="rId3" Type="http://schemas.openxmlformats.org/officeDocument/2006/relationships/oleObject" Target="https://uzei-my.sharepoint.com/personal/novotna_klara_uzei_cz/Documents/SZP/07_PS_Venkov/1_Faze_Analyza%20situace/DIVERZ_FADNvyvojLFA.xlsx" TargetMode="External"/><Relationship Id="rId2" Type="http://schemas.microsoft.com/office/2011/relationships/chartColorStyle" Target="colors6.xml"/><Relationship Id="rId1" Type="http://schemas.microsoft.com/office/2011/relationships/chartStyle" Target="style6.xml"/></Relationships>
</file>

<file path=word/charts/_rels/chart14.xml.rels><?xml version="1.0" encoding="UTF-8" standalone="yes"?>
<Relationships xmlns="http://schemas.openxmlformats.org/package/2006/relationships"><Relationship Id="rId1" Type="http://schemas.openxmlformats.org/officeDocument/2006/relationships/oleObject" Target="file:///C:\Users\svobodova\AppData\Local\Microsoft\Windows\INetCache\Content.Outlook\0YRFS861\MUled18.xlsx" TargetMode="External"/></Relationships>
</file>

<file path=word/charts/_rels/chart15.xml.rels><?xml version="1.0" encoding="UTF-8" standalone="yes"?>
<Relationships xmlns="http://schemas.openxmlformats.org/package/2006/relationships"><Relationship Id="rId1" Type="http://schemas.openxmlformats.org/officeDocument/2006/relationships/oleObject" Target="file:///C:\Users\svobodova\AppData\Local\Microsoft\Windows\INetCache\Content.Outlook\0YRFS861\Drl&#237;k%20prac%20ku%20prac%20m&#237;st&#367;m.xlsx" TargetMode="External"/></Relationships>
</file>

<file path=word/charts/_rels/chart16.xml.rels><?xml version="1.0" encoding="UTF-8" standalone="yes"?>
<Relationships xmlns="http://schemas.openxmlformats.org/package/2006/relationships"><Relationship Id="rId1" Type="http://schemas.openxmlformats.org/officeDocument/2006/relationships/oleObject" Target="file:///C:\Users\svobodova\AppData\Local\Microsoft\Windows\INetCache\Content.Outlook\0YRFS861\Drl&#237;k%20prac%20ku%20prac%20m&#237;st&#367;m.xlsx" TargetMode="External"/></Relationships>
</file>

<file path=word/charts/_rels/chart17.xml.rels><?xml version="1.0" encoding="UTF-8" standalone="yes"?>
<Relationships xmlns="http://schemas.openxmlformats.org/package/2006/relationships"><Relationship Id="rId1" Type="http://schemas.openxmlformats.org/officeDocument/2006/relationships/oleObject" Target="file:///C:\Users\svobodova\Documents\ZZ\ZZ%202019\Pr&#225;ce%20s%20daty%20ZZ%202019.xlsx" TargetMode="External"/></Relationships>
</file>

<file path=word/charts/_rels/chart18.xml.rels><?xml version="1.0" encoding="UTF-8" standalone="yes"?>
<Relationships xmlns="http://schemas.openxmlformats.org/package/2006/relationships"><Relationship Id="rId1" Type="http://schemas.openxmlformats.org/officeDocument/2006/relationships/oleObject" Target="file:///C:\Users\svobodova\Documents\Koncepce%20SZP%202020+\Aktualizace%20anal&#253;zy\Venkov%20souhrn%20tabulky.xlsx" TargetMode="External"/></Relationships>
</file>

<file path=word/charts/_rels/chart19.xml.rels><?xml version="1.0" encoding="UTF-8" standalone="yes"?>
<Relationships xmlns="http://schemas.openxmlformats.org/package/2006/relationships"><Relationship Id="rId1" Type="http://schemas.openxmlformats.org/officeDocument/2006/relationships/oleObject" Target="file:///C:\Users\svobodova\Documents\ZZ\ZZ%202019\Pr&#225;ce%20s%20daty%20ZZ%202019.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C:\Users\svobodova\Documents\ZZ\ZZ%202019\Obyvatelstvo%20lexikony.xlsx" TargetMode="External"/></Relationships>
</file>

<file path=word/charts/_rels/chart20.xml.rels><?xml version="1.0" encoding="UTF-8" standalone="yes"?>
<Relationships xmlns="http://schemas.openxmlformats.org/package/2006/relationships"><Relationship Id="rId1" Type="http://schemas.openxmlformats.org/officeDocument/2006/relationships/oleObject" Target="file:///C:\Users\svobodova\Documents\ZZ\ZZ%202019\Pr&#225;ce%20s%20daty%20ZZ%202019.xlsx" TargetMode="External"/></Relationships>
</file>

<file path=word/charts/_rels/chart21.xml.rels><?xml version="1.0" encoding="UTF-8" standalone="yes"?>
<Relationships xmlns="http://schemas.openxmlformats.org/package/2006/relationships"><Relationship Id="rId1" Type="http://schemas.openxmlformats.org/officeDocument/2006/relationships/oleObject" Target="file:///C:\Users\svobodova\Documents\Koncepce%20SZP%202020+\Aktualizace%20anal&#253;zy\Venkov%20souhrn%20tabulky.xlsx" TargetMode="External"/></Relationships>
</file>

<file path=word/charts/_rels/chart22.xml.rels><?xml version="1.0" encoding="UTF-8" standalone="yes"?>
<Relationships xmlns="http://schemas.openxmlformats.org/package/2006/relationships"><Relationship Id="rId1" Type="http://schemas.openxmlformats.org/officeDocument/2006/relationships/oleObject" Target="file:///C:\Users\Drlik\Documents\PRV18V.xlsx" TargetMode="External"/></Relationships>
</file>

<file path=word/charts/_rels/chart23.xml.rels><?xml version="1.0" encoding="UTF-8" standalone="yes"?>
<Relationships xmlns="http://schemas.openxmlformats.org/package/2006/relationships"><Relationship Id="rId1" Type="http://schemas.openxmlformats.org/officeDocument/2006/relationships/oleObject" Target="file:///C:\Users\Drlik\Documents\MzdyOdvKr.xlsx" TargetMode="External"/></Relationships>
</file>

<file path=word/charts/_rels/chart24.xml.rels><?xml version="1.0" encoding="UTF-8" standalone="yes"?>
<Relationships xmlns="http://schemas.openxmlformats.org/package/2006/relationships"><Relationship Id="rId1" Type="http://schemas.openxmlformats.org/officeDocument/2006/relationships/oleObject" Target="file:///C:\Users\Drlik\Documents\MzdyOdvKr.xlsx" TargetMode="External"/></Relationships>
</file>

<file path=word/charts/_rels/chart25.xml.rels><?xml version="1.0" encoding="UTF-8" standalone="yes"?>
<Relationships xmlns="http://schemas.openxmlformats.org/package/2006/relationships"><Relationship Id="rId1" Type="http://schemas.openxmlformats.org/officeDocument/2006/relationships/oleObject" Target="file:///C:\Users\Drlik\Documents\MzdyOdvKr.xlsx" TargetMode="External"/></Relationships>
</file>

<file path=word/charts/_rels/chart26.xml.rels><?xml version="1.0" encoding="UTF-8" standalone="yes"?>
<Relationships xmlns="http://schemas.openxmlformats.org/package/2006/relationships"><Relationship Id="rId1" Type="http://schemas.openxmlformats.org/officeDocument/2006/relationships/oleObject" Target="file:///C:\Users\Drlik\Documents\MzdyOdvKr.xlsx" TargetMode="External"/></Relationships>
</file>

<file path=word/charts/_rels/chart27.xml.rels><?xml version="1.0" encoding="UTF-8" standalone="yes"?>
<Relationships xmlns="http://schemas.openxmlformats.org/package/2006/relationships"><Relationship Id="rId1" Type="http://schemas.openxmlformats.org/officeDocument/2006/relationships/oleObject" Target="file:///C:\Users\Drlik\Documents\MzdyOdvKr.xlsx" TargetMode="External"/></Relationships>
</file>

<file path=word/charts/_rels/chart28.xml.rels><?xml version="1.0" encoding="UTF-8" standalone="yes"?>
<Relationships xmlns="http://schemas.openxmlformats.org/package/2006/relationships"><Relationship Id="rId1" Type="http://schemas.openxmlformats.org/officeDocument/2006/relationships/oleObject" Target="file:///C:\Users\Drlik\Documents\MzdyOdvKr.xlsx" TargetMode="External"/></Relationships>
</file>

<file path=word/charts/_rels/chart29.xml.rels><?xml version="1.0" encoding="UTF-8" standalone="yes"?>
<Relationships xmlns="http://schemas.openxmlformats.org/package/2006/relationships"><Relationship Id="rId3" Type="http://schemas.openxmlformats.org/officeDocument/2006/relationships/oleObject" Target="file:///C:\Users\podzemna\Desktop\rozvoj%20venkova\indik&#225;tor%20chudoba\do%20anal&#253;zy\idikatory_chudoby_2005_2017_grafy_tabulky.xls" TargetMode="External"/><Relationship Id="rId2" Type="http://schemas.microsoft.com/office/2011/relationships/chartColorStyle" Target="colors7.xml"/><Relationship Id="rId1" Type="http://schemas.microsoft.com/office/2011/relationships/chartStyle" Target="style7.xml"/></Relationships>
</file>

<file path=word/charts/_rels/chart3.xml.rels><?xml version="1.0" encoding="UTF-8" standalone="yes"?>
<Relationships xmlns="http://schemas.openxmlformats.org/package/2006/relationships"><Relationship Id="rId1" Type="http://schemas.openxmlformats.org/officeDocument/2006/relationships/oleObject" Target="file:///C:\Users\svobodova\Documents\ZZ\ZZ%202019\Obyvatelstvo%20lexikony.xlsx" TargetMode="External"/></Relationships>
</file>

<file path=word/charts/_rels/chart30.xml.rels><?xml version="1.0" encoding="UTF-8" standalone="yes"?>
<Relationships xmlns="http://schemas.openxmlformats.org/package/2006/relationships"><Relationship Id="rId1" Type="http://schemas.openxmlformats.org/officeDocument/2006/relationships/oleObject" Target="file:///C:\Users\podzemna\Desktop\rozvoj%20venkova\indik&#225;tor%20chudoba\do%20anal&#253;zy\idikatory_chudoby_2005_2017_grafy_tabulky.xls" TargetMode="External"/></Relationships>
</file>

<file path=word/charts/_rels/chart31.xml.rels><?xml version="1.0" encoding="UTF-8" standalone="yes"?>
<Relationships xmlns="http://schemas.openxmlformats.org/package/2006/relationships"><Relationship Id="rId2" Type="http://schemas.openxmlformats.org/officeDocument/2006/relationships/chartUserShapes" Target="../drawings/drawing1.xml"/><Relationship Id="rId1" Type="http://schemas.openxmlformats.org/officeDocument/2006/relationships/oleObject" Target="file:///C:\Users\podzemna\Desktop\rozvoj%20venkova\indik&#225;tor%20chudoba\do%20anal&#253;zy\idikatory_chudoby_2005_2019_grafy_tabulky.xls" TargetMode="External"/></Relationships>
</file>

<file path=word/charts/_rels/chart32.xml.rels><?xml version="1.0" encoding="UTF-8" standalone="yes"?>
<Relationships xmlns="http://schemas.openxmlformats.org/package/2006/relationships"><Relationship Id="rId1" Type="http://schemas.openxmlformats.org/officeDocument/2006/relationships/oleObject" Target="file:///C:\Users\podzemna\Desktop\rozvoj%20venkova\indik&#225;tor%20chudoba\do%20anal&#253;zy\idikatory_chudoby_2005_2017_grafy_tabulky.xls" TargetMode="External"/></Relationships>
</file>

<file path=word/charts/_rels/chart33.xml.rels><?xml version="1.0" encoding="UTF-8" standalone="yes"?>
<Relationships xmlns="http://schemas.openxmlformats.org/package/2006/relationships"><Relationship Id="rId2" Type="http://schemas.openxmlformats.org/officeDocument/2006/relationships/chartUserShapes" Target="../drawings/drawing2.xml"/><Relationship Id="rId1" Type="http://schemas.openxmlformats.org/officeDocument/2006/relationships/oleObject" Target="file:///C:\Users\podzemna\Desktop\rozvoj%20venkova\indik&#225;tor%20chudoba\do%20anal&#253;zy\idikatory_chudoby_2005_2019_grafy_tabulky.xls" TargetMode="External"/></Relationships>
</file>

<file path=word/charts/_rels/chart34.xml.rels><?xml version="1.0" encoding="UTF-8" standalone="yes"?>
<Relationships xmlns="http://schemas.openxmlformats.org/package/2006/relationships"><Relationship Id="rId1" Type="http://schemas.openxmlformats.org/officeDocument/2006/relationships/oleObject" Target="file:///C:\Users\podzemna\Desktop\rozvoj%20venkova\indik&#225;tor%20chudoba\do%20anal&#253;zy\idikatory_chudoby_2005_2017_grafy_tabulky.xls" TargetMode="External"/></Relationships>
</file>

<file path=word/charts/_rels/chart35.xml.rels><?xml version="1.0" encoding="UTF-8" standalone="yes"?>
<Relationships xmlns="http://schemas.openxmlformats.org/package/2006/relationships"><Relationship Id="rId1" Type="http://schemas.openxmlformats.org/officeDocument/2006/relationships/oleObject" Target="file:///C:\Users\podzemna\Desktop\rozvoj%20venkova\indik&#225;tor%20chudoba\do%20anal&#253;zy\idikatory_chudoby_2005_2017_grafy_tabulky.xls" TargetMode="External"/></Relationships>
</file>

<file path=word/charts/_rels/chart36.xml.rels><?xml version="1.0" encoding="UTF-8" standalone="yes"?>
<Relationships xmlns="http://schemas.openxmlformats.org/package/2006/relationships"><Relationship Id="rId1" Type="http://schemas.openxmlformats.org/officeDocument/2006/relationships/oleObject" Target="file:///C:\Users\podzemna\Desktop\rozvoj%20venkova\indik&#225;tor%20chudoba\do%20anal&#253;zy\idikatory_chudoby_2005_2017_grafy_tabulky.xls" TargetMode="External"/></Relationships>
</file>

<file path=word/charts/_rels/chart37.xml.rels><?xml version="1.0" encoding="UTF-8" standalone="yes"?>
<Relationships xmlns="http://schemas.openxmlformats.org/package/2006/relationships"><Relationship Id="rId1" Type="http://schemas.openxmlformats.org/officeDocument/2006/relationships/oleObject" Target="file:///C:\Users\karas\Desktop\Vysokorychl%20internet.xlsx"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C:\Users\svobodova\Documents\Koncepce%20SZP%202020+\Obce%20&#268;R%20ZZ%20k%201.1%20(version%202).xlsx"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C:\Users\svobodova\Documents\Koncepce%20SZP%202020+\Aktualizace%20anal&#253;zy\Venkov%20souhrn%20tabulky.xlsx" TargetMode="External"/></Relationships>
</file>

<file path=word/charts/_rels/chart6.xml.rels><?xml version="1.0" encoding="UTF-8" standalone="yes"?>
<Relationships xmlns="http://schemas.openxmlformats.org/package/2006/relationships"><Relationship Id="rId3" Type="http://schemas.openxmlformats.org/officeDocument/2006/relationships/oleObject" Target="file:///C:\Users\svobodova\Documents\Koncepce%20SZP%202020+\Aktualizace%20anal&#253;zy\Venkov%20souhrn%20tabulk%20-%20pro%20anal&#253;zu%20SZP.xlsx" TargetMode="External"/><Relationship Id="rId2" Type="http://schemas.microsoft.com/office/2011/relationships/chartColorStyle" Target="colors1.xml"/><Relationship Id="rId1" Type="http://schemas.microsoft.com/office/2011/relationships/chartStyle" Target="style1.xml"/></Relationships>
</file>

<file path=word/charts/_rels/chart7.xml.rels><?xml version="1.0" encoding="UTF-8" standalone="yes"?>
<Relationships xmlns="http://schemas.openxmlformats.org/package/2006/relationships"><Relationship Id="rId1" Type="http://schemas.openxmlformats.org/officeDocument/2006/relationships/oleObject" Target="file:///C:\Users\svobodova\Documents\Koncepce%20SZP%202020+\Aktualizace%20anal&#253;zy\Venkov%20souhrn%20tabulky.xlsx" TargetMode="External"/></Relationships>
</file>

<file path=word/charts/_rels/chart8.xml.rels><?xml version="1.0" encoding="UTF-8" standalone="yes"?>
<Relationships xmlns="http://schemas.openxmlformats.org/package/2006/relationships"><Relationship Id="rId1" Type="http://schemas.openxmlformats.org/officeDocument/2006/relationships/oleObject" Target="file:///C:\Users\svobodova\Documents\Koncepce%20SZP%202020+\Indik&#225;tory%20demo%20SZP.xlsx" TargetMode="External"/></Relationships>
</file>

<file path=word/charts/_rels/chart9.xml.rels><?xml version="1.0" encoding="UTF-8" standalone="yes"?>
<Relationships xmlns="http://schemas.openxmlformats.org/package/2006/relationships"><Relationship Id="rId3" Type="http://schemas.openxmlformats.org/officeDocument/2006/relationships/oleObject" Target="https://uzei-my.sharepoint.com/personal/novotna_klara_uzei_cz/Documents/SZP/07_PS_Venkov/1_Faze_Analyza%20situace/DIVERZ_FADNvyvojcelkem.xlsx" TargetMode="External"/><Relationship Id="rId2" Type="http://schemas.microsoft.com/office/2011/relationships/chartColorStyle" Target="colors2.xml"/><Relationship Id="rId1" Type="http://schemas.microsoft.com/office/2011/relationships/chartStyle" Target="style2.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cs-CZ"/>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hustota!$A$22:$A$36</c:f>
              <c:strCache>
                <c:ptCount val="15"/>
                <c:pt idx="0">
                  <c:v>Moravskoslezský kraj</c:v>
                </c:pt>
                <c:pt idx="1">
                  <c:v>Jihomoravský kraj</c:v>
                </c:pt>
                <c:pt idx="2">
                  <c:v>Ústecký kraj</c:v>
                </c:pt>
                <c:pt idx="3">
                  <c:v>Zlínský kraj (V)</c:v>
                </c:pt>
                <c:pt idx="4">
                  <c:v>Liberecký kraj</c:v>
                </c:pt>
                <c:pt idx="5">
                  <c:v>Středočeský kraj (M)</c:v>
                </c:pt>
                <c:pt idx="6">
                  <c:v>Olomoucký kraj (V)</c:v>
                </c:pt>
                <c:pt idx="7">
                  <c:v>Královéhradecký kraj</c:v>
                </c:pt>
                <c:pt idx="8">
                  <c:v>Pardubický kraj (V)</c:v>
                </c:pt>
                <c:pt idx="9">
                  <c:v>Karlovarský kraj</c:v>
                </c:pt>
                <c:pt idx="10">
                  <c:v>Plzeňský kraj (V)</c:v>
                </c:pt>
                <c:pt idx="11">
                  <c:v>Kraj Vysočina (V)</c:v>
                </c:pt>
                <c:pt idx="12">
                  <c:v>Jihočeský kraj (V)</c:v>
                </c:pt>
                <c:pt idx="14">
                  <c:v>ČR</c:v>
                </c:pt>
              </c:strCache>
            </c:strRef>
          </c:cat>
          <c:val>
            <c:numRef>
              <c:f>hustota!$B$22:$B$36</c:f>
              <c:numCache>
                <c:formatCode>0.0</c:formatCode>
                <c:ptCount val="15"/>
                <c:pt idx="0">
                  <c:v>222.05930113961142</c:v>
                </c:pt>
                <c:pt idx="1">
                  <c:v>164.60931534372534</c:v>
                </c:pt>
                <c:pt idx="2">
                  <c:v>153.80113261650598</c:v>
                </c:pt>
                <c:pt idx="3">
                  <c:v>147.14423481022493</c:v>
                </c:pt>
                <c:pt idx="4">
                  <c:v>139.50230895146063</c:v>
                </c:pt>
                <c:pt idx="5">
                  <c:v>123.7870004608867</c:v>
                </c:pt>
                <c:pt idx="6">
                  <c:v>120.11236974691637</c:v>
                </c:pt>
                <c:pt idx="7">
                  <c:v>115.79907990778851</c:v>
                </c:pt>
                <c:pt idx="8">
                  <c:v>114.6988276387374</c:v>
                </c:pt>
                <c:pt idx="9">
                  <c:v>89.321215367205838</c:v>
                </c:pt>
                <c:pt idx="10">
                  <c:v>75.93362456775121</c:v>
                </c:pt>
                <c:pt idx="11">
                  <c:v>74.887366871292954</c:v>
                </c:pt>
                <c:pt idx="12">
                  <c:v>63.650573015542278</c:v>
                </c:pt>
                <c:pt idx="14">
                  <c:v>134.52540760858392</c:v>
                </c:pt>
              </c:numCache>
            </c:numRef>
          </c:val>
          <c:extLst>
            <c:ext xmlns:c16="http://schemas.microsoft.com/office/drawing/2014/chart" uri="{C3380CC4-5D6E-409C-BE32-E72D297353CC}">
              <c16:uniqueId val="{00000000-759D-4A89-8410-593E78810FAA}"/>
            </c:ext>
          </c:extLst>
        </c:ser>
        <c:dLbls>
          <c:showLegendKey val="0"/>
          <c:showVal val="0"/>
          <c:showCatName val="0"/>
          <c:showSerName val="0"/>
          <c:showPercent val="0"/>
          <c:showBubbleSize val="0"/>
        </c:dLbls>
        <c:gapWidth val="219"/>
        <c:overlap val="-27"/>
        <c:axId val="36765056"/>
        <c:axId val="73483392"/>
      </c:barChart>
      <c:catAx>
        <c:axId val="3676505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73483392"/>
        <c:crosses val="autoZero"/>
        <c:auto val="1"/>
        <c:lblAlgn val="ctr"/>
        <c:lblOffset val="100"/>
        <c:noMultiLvlLbl val="0"/>
      </c:catAx>
      <c:valAx>
        <c:axId val="73483392"/>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36765056"/>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cs-CZ"/>
    </a:p>
  </c:txPr>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'podíly Agroturis a OZE'!$B$4</c:f>
              <c:strCache>
                <c:ptCount val="1"/>
                <c:pt idx="0">
                  <c:v>H</c:v>
                </c:pt>
              </c:strCache>
            </c:strRef>
          </c:tx>
          <c:spPr>
            <a:ln w="28575" cap="rnd">
              <a:solidFill>
                <a:schemeClr val="accent1"/>
              </a:solidFill>
              <a:round/>
            </a:ln>
            <a:effectLst/>
          </c:spPr>
          <c:marker>
            <c:symbol val="none"/>
          </c:marker>
          <c:cat>
            <c:numRef>
              <c:f>'podíly Agroturis a OZE'!$C$3:$G$3</c:f>
              <c:numCache>
                <c:formatCode>General</c:formatCode>
                <c:ptCount val="5"/>
                <c:pt idx="0">
                  <c:v>2014</c:v>
                </c:pt>
                <c:pt idx="1">
                  <c:v>2015</c:v>
                </c:pt>
                <c:pt idx="2">
                  <c:v>2016</c:v>
                </c:pt>
                <c:pt idx="3">
                  <c:v>2017</c:v>
                </c:pt>
                <c:pt idx="4">
                  <c:v>2018</c:v>
                </c:pt>
              </c:numCache>
            </c:numRef>
          </c:cat>
          <c:val>
            <c:numRef>
              <c:f>'podíly Agroturis a OZE'!$C$4:$G$4</c:f>
              <c:numCache>
                <c:formatCode>0.00</c:formatCode>
                <c:ptCount val="5"/>
                <c:pt idx="0">
                  <c:v>7.4437684851157524</c:v>
                </c:pt>
                <c:pt idx="1">
                  <c:v>4.982539508064515</c:v>
                </c:pt>
                <c:pt idx="2">
                  <c:v>4.0608133254270022</c:v>
                </c:pt>
                <c:pt idx="3">
                  <c:v>6.2575941676792226</c:v>
                </c:pt>
                <c:pt idx="4" formatCode="General">
                  <c:v>9.6245530393325378</c:v>
                </c:pt>
              </c:numCache>
            </c:numRef>
          </c:val>
          <c:smooth val="0"/>
          <c:extLst>
            <c:ext xmlns:c16="http://schemas.microsoft.com/office/drawing/2014/chart" uri="{C3380CC4-5D6E-409C-BE32-E72D297353CC}">
              <c16:uniqueId val="{00000000-9B3E-495B-A1BF-8AD4686A4782}"/>
            </c:ext>
          </c:extLst>
        </c:ser>
        <c:ser>
          <c:idx val="1"/>
          <c:order val="1"/>
          <c:tx>
            <c:strRef>
              <c:f>'podíly Agroturis a OZE'!$B$5</c:f>
              <c:strCache>
                <c:ptCount val="1"/>
                <c:pt idx="0">
                  <c:v>J</c:v>
                </c:pt>
              </c:strCache>
            </c:strRef>
          </c:tx>
          <c:spPr>
            <a:ln w="28575" cap="rnd">
              <a:solidFill>
                <a:schemeClr val="accent2"/>
              </a:solidFill>
              <a:round/>
            </a:ln>
            <a:effectLst/>
          </c:spPr>
          <c:marker>
            <c:symbol val="none"/>
          </c:marker>
          <c:cat>
            <c:numRef>
              <c:f>'podíly Agroturis a OZE'!$C$3:$G$3</c:f>
              <c:numCache>
                <c:formatCode>General</c:formatCode>
                <c:ptCount val="5"/>
                <c:pt idx="0">
                  <c:v>2014</c:v>
                </c:pt>
                <c:pt idx="1">
                  <c:v>2015</c:v>
                </c:pt>
                <c:pt idx="2">
                  <c:v>2016</c:v>
                </c:pt>
                <c:pt idx="3">
                  <c:v>2017</c:v>
                </c:pt>
                <c:pt idx="4">
                  <c:v>2018</c:v>
                </c:pt>
              </c:numCache>
            </c:numRef>
          </c:cat>
          <c:val>
            <c:numRef>
              <c:f>'podíly Agroturis a OZE'!$C$5:$G$5</c:f>
              <c:numCache>
                <c:formatCode>0.00</c:formatCode>
                <c:ptCount val="5"/>
                <c:pt idx="0">
                  <c:v>5.0638196361931902</c:v>
                </c:pt>
                <c:pt idx="1">
                  <c:v>6.3821321063974601</c:v>
                </c:pt>
                <c:pt idx="2">
                  <c:v>3.990300090871028</c:v>
                </c:pt>
                <c:pt idx="3">
                  <c:v>5.7412167952013711</c:v>
                </c:pt>
                <c:pt idx="4" formatCode="General">
                  <c:v>5.0154104791258058</c:v>
                </c:pt>
              </c:numCache>
            </c:numRef>
          </c:val>
          <c:smooth val="0"/>
          <c:extLst>
            <c:ext xmlns:c16="http://schemas.microsoft.com/office/drawing/2014/chart" uri="{C3380CC4-5D6E-409C-BE32-E72D297353CC}">
              <c16:uniqueId val="{00000001-9B3E-495B-A1BF-8AD4686A4782}"/>
            </c:ext>
          </c:extLst>
        </c:ser>
        <c:ser>
          <c:idx val="2"/>
          <c:order val="2"/>
          <c:tx>
            <c:strRef>
              <c:f>'podíly Agroturis a OZE'!$B$6</c:f>
              <c:strCache>
                <c:ptCount val="1"/>
                <c:pt idx="0">
                  <c:v>N</c:v>
                </c:pt>
              </c:strCache>
            </c:strRef>
          </c:tx>
          <c:spPr>
            <a:ln w="28575" cap="rnd">
              <a:solidFill>
                <a:schemeClr val="accent3"/>
              </a:solidFill>
              <a:round/>
            </a:ln>
            <a:effectLst/>
          </c:spPr>
          <c:marker>
            <c:symbol val="none"/>
          </c:marker>
          <c:cat>
            <c:numRef>
              <c:f>'podíly Agroturis a OZE'!$C$3:$G$3</c:f>
              <c:numCache>
                <c:formatCode>General</c:formatCode>
                <c:ptCount val="5"/>
                <c:pt idx="0">
                  <c:v>2014</c:v>
                </c:pt>
                <c:pt idx="1">
                  <c:v>2015</c:v>
                </c:pt>
                <c:pt idx="2">
                  <c:v>2016</c:v>
                </c:pt>
                <c:pt idx="3">
                  <c:v>2017</c:v>
                </c:pt>
                <c:pt idx="4">
                  <c:v>2018</c:v>
                </c:pt>
              </c:numCache>
            </c:numRef>
          </c:cat>
          <c:val>
            <c:numRef>
              <c:f>'podíly Agroturis a OZE'!$C$6:$G$6</c:f>
              <c:numCache>
                <c:formatCode>0.00</c:formatCode>
                <c:ptCount val="5"/>
                <c:pt idx="0">
                  <c:v>1.958664128118917</c:v>
                </c:pt>
                <c:pt idx="1">
                  <c:v>2.6390638819617278</c:v>
                </c:pt>
                <c:pt idx="2">
                  <c:v>2.7334269443641674</c:v>
                </c:pt>
                <c:pt idx="3">
                  <c:v>2.9838578183596933</c:v>
                </c:pt>
                <c:pt idx="4" formatCode="General">
                  <c:v>3.5685054837125549</c:v>
                </c:pt>
              </c:numCache>
            </c:numRef>
          </c:val>
          <c:smooth val="0"/>
          <c:extLst>
            <c:ext xmlns:c16="http://schemas.microsoft.com/office/drawing/2014/chart" uri="{C3380CC4-5D6E-409C-BE32-E72D297353CC}">
              <c16:uniqueId val="{00000002-9B3E-495B-A1BF-8AD4686A4782}"/>
            </c:ext>
          </c:extLst>
        </c:ser>
        <c:dLbls>
          <c:showLegendKey val="0"/>
          <c:showVal val="0"/>
          <c:showCatName val="0"/>
          <c:showSerName val="0"/>
          <c:showPercent val="0"/>
          <c:showBubbleSize val="0"/>
        </c:dLbls>
        <c:smooth val="0"/>
        <c:axId val="509569888"/>
        <c:axId val="509568576"/>
      </c:lineChart>
      <c:catAx>
        <c:axId val="50956988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509568576"/>
        <c:crosses val="autoZero"/>
        <c:auto val="1"/>
        <c:lblAlgn val="ctr"/>
        <c:lblOffset val="100"/>
        <c:noMultiLvlLbl val="0"/>
      </c:catAx>
      <c:valAx>
        <c:axId val="509568576"/>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50956988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cs-CZ"/>
    </a:p>
  </c:txPr>
  <c:externalData r:id="rId3">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'podíly Agroturis a OZE'!$B$14</c:f>
              <c:strCache>
                <c:ptCount val="1"/>
                <c:pt idx="0">
                  <c:v>H</c:v>
                </c:pt>
              </c:strCache>
            </c:strRef>
          </c:tx>
          <c:spPr>
            <a:ln w="28575" cap="rnd">
              <a:solidFill>
                <a:schemeClr val="accent1"/>
              </a:solidFill>
              <a:round/>
            </a:ln>
            <a:effectLst/>
          </c:spPr>
          <c:marker>
            <c:symbol val="none"/>
          </c:marker>
          <c:cat>
            <c:numRef>
              <c:f>'podíly Agroturis a OZE'!$C$13:$G$13</c:f>
              <c:numCache>
                <c:formatCode>General</c:formatCode>
                <c:ptCount val="5"/>
                <c:pt idx="0">
                  <c:v>2014</c:v>
                </c:pt>
                <c:pt idx="1">
                  <c:v>2015</c:v>
                </c:pt>
                <c:pt idx="2">
                  <c:v>2016</c:v>
                </c:pt>
                <c:pt idx="3">
                  <c:v>2017</c:v>
                </c:pt>
                <c:pt idx="4">
                  <c:v>2018</c:v>
                </c:pt>
              </c:numCache>
            </c:numRef>
          </c:cat>
          <c:val>
            <c:numRef>
              <c:f>'podíly Agroturis a OZE'!$C$14:$G$14</c:f>
              <c:numCache>
                <c:formatCode>0.00</c:formatCode>
                <c:ptCount val="5"/>
                <c:pt idx="0">
                  <c:v>6.0627889944211022</c:v>
                </c:pt>
                <c:pt idx="1">
                  <c:v>8.0502325763484741</c:v>
                </c:pt>
                <c:pt idx="2">
                  <c:v>5.5919379764344042</c:v>
                </c:pt>
                <c:pt idx="3">
                  <c:v>7.4119076549210208</c:v>
                </c:pt>
                <c:pt idx="4" formatCode="General">
                  <c:v>2.234803337306317</c:v>
                </c:pt>
              </c:numCache>
            </c:numRef>
          </c:val>
          <c:smooth val="0"/>
          <c:extLst>
            <c:ext xmlns:c16="http://schemas.microsoft.com/office/drawing/2014/chart" uri="{C3380CC4-5D6E-409C-BE32-E72D297353CC}">
              <c16:uniqueId val="{00000000-450A-4EDA-8178-C4D09036235C}"/>
            </c:ext>
          </c:extLst>
        </c:ser>
        <c:ser>
          <c:idx val="1"/>
          <c:order val="1"/>
          <c:tx>
            <c:strRef>
              <c:f>'podíly Agroturis a OZE'!$B$15</c:f>
              <c:strCache>
                <c:ptCount val="1"/>
                <c:pt idx="0">
                  <c:v>J</c:v>
                </c:pt>
              </c:strCache>
            </c:strRef>
          </c:tx>
          <c:spPr>
            <a:ln w="28575" cap="rnd">
              <a:solidFill>
                <a:schemeClr val="accent2"/>
              </a:solidFill>
              <a:round/>
            </a:ln>
            <a:effectLst/>
          </c:spPr>
          <c:marker>
            <c:symbol val="none"/>
          </c:marker>
          <c:cat>
            <c:numRef>
              <c:f>'podíly Agroturis a OZE'!$C$13:$G$13</c:f>
              <c:numCache>
                <c:formatCode>General</c:formatCode>
                <c:ptCount val="5"/>
                <c:pt idx="0">
                  <c:v>2014</c:v>
                </c:pt>
                <c:pt idx="1">
                  <c:v>2015</c:v>
                </c:pt>
                <c:pt idx="2">
                  <c:v>2016</c:v>
                </c:pt>
                <c:pt idx="3">
                  <c:v>2017</c:v>
                </c:pt>
                <c:pt idx="4">
                  <c:v>2018</c:v>
                </c:pt>
              </c:numCache>
            </c:numRef>
          </c:cat>
          <c:val>
            <c:numRef>
              <c:f>'podíly Agroturis a OZE'!$C$15:$G$15</c:f>
              <c:numCache>
                <c:formatCode>0.00</c:formatCode>
                <c:ptCount val="5"/>
                <c:pt idx="0">
                  <c:v>19.520229173554409</c:v>
                </c:pt>
                <c:pt idx="1">
                  <c:v>16.071217327364419</c:v>
                </c:pt>
                <c:pt idx="2">
                  <c:v>11.580034203446417</c:v>
                </c:pt>
                <c:pt idx="3">
                  <c:v>12.253641816623821</c:v>
                </c:pt>
                <c:pt idx="4" formatCode="General">
                  <c:v>16.08293639674979</c:v>
                </c:pt>
              </c:numCache>
            </c:numRef>
          </c:val>
          <c:smooth val="0"/>
          <c:extLst>
            <c:ext xmlns:c16="http://schemas.microsoft.com/office/drawing/2014/chart" uri="{C3380CC4-5D6E-409C-BE32-E72D297353CC}">
              <c16:uniqueId val="{00000001-450A-4EDA-8178-C4D09036235C}"/>
            </c:ext>
          </c:extLst>
        </c:ser>
        <c:ser>
          <c:idx val="2"/>
          <c:order val="2"/>
          <c:tx>
            <c:strRef>
              <c:f>'podíly Agroturis a OZE'!$B$16</c:f>
              <c:strCache>
                <c:ptCount val="1"/>
                <c:pt idx="0">
                  <c:v>N</c:v>
                </c:pt>
              </c:strCache>
            </c:strRef>
          </c:tx>
          <c:spPr>
            <a:ln w="28575" cap="rnd">
              <a:solidFill>
                <a:schemeClr val="accent3"/>
              </a:solidFill>
              <a:round/>
            </a:ln>
            <a:effectLst/>
          </c:spPr>
          <c:marker>
            <c:symbol val="none"/>
          </c:marker>
          <c:cat>
            <c:numRef>
              <c:f>'podíly Agroturis a OZE'!$C$13:$G$13</c:f>
              <c:numCache>
                <c:formatCode>General</c:formatCode>
                <c:ptCount val="5"/>
                <c:pt idx="0">
                  <c:v>2014</c:v>
                </c:pt>
                <c:pt idx="1">
                  <c:v>2015</c:v>
                </c:pt>
                <c:pt idx="2">
                  <c:v>2016</c:v>
                </c:pt>
                <c:pt idx="3">
                  <c:v>2017</c:v>
                </c:pt>
                <c:pt idx="4">
                  <c:v>2018</c:v>
                </c:pt>
              </c:numCache>
            </c:numRef>
          </c:cat>
          <c:val>
            <c:numRef>
              <c:f>'podíly Agroturis a OZE'!$C$16:$G$16</c:f>
              <c:numCache>
                <c:formatCode>0.00</c:formatCode>
                <c:ptCount val="5"/>
                <c:pt idx="0">
                  <c:v>12.043892431320028</c:v>
                </c:pt>
                <c:pt idx="1">
                  <c:v>13.044413435768934</c:v>
                </c:pt>
                <c:pt idx="2">
                  <c:v>12.628499762508961</c:v>
                </c:pt>
                <c:pt idx="3">
                  <c:v>12.000652209359204</c:v>
                </c:pt>
                <c:pt idx="4" formatCode="General">
                  <c:v>12.817155017187757</c:v>
                </c:pt>
              </c:numCache>
            </c:numRef>
          </c:val>
          <c:smooth val="0"/>
          <c:extLst>
            <c:ext xmlns:c16="http://schemas.microsoft.com/office/drawing/2014/chart" uri="{C3380CC4-5D6E-409C-BE32-E72D297353CC}">
              <c16:uniqueId val="{00000002-450A-4EDA-8178-C4D09036235C}"/>
            </c:ext>
          </c:extLst>
        </c:ser>
        <c:dLbls>
          <c:showLegendKey val="0"/>
          <c:showVal val="0"/>
          <c:showCatName val="0"/>
          <c:showSerName val="0"/>
          <c:showPercent val="0"/>
          <c:showBubbleSize val="0"/>
        </c:dLbls>
        <c:smooth val="0"/>
        <c:axId val="508590192"/>
        <c:axId val="508590520"/>
      </c:lineChart>
      <c:catAx>
        <c:axId val="50859019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508590520"/>
        <c:crosses val="autoZero"/>
        <c:auto val="1"/>
        <c:lblAlgn val="ctr"/>
        <c:lblOffset val="100"/>
        <c:noMultiLvlLbl val="0"/>
      </c:catAx>
      <c:valAx>
        <c:axId val="508590520"/>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50859019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cs-CZ"/>
    </a:p>
  </c:txPr>
  <c:externalData r:id="rId3">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'podíly Agroturis a OZE'!$B$26</c:f>
              <c:strCache>
                <c:ptCount val="1"/>
                <c:pt idx="0">
                  <c:v>Malá</c:v>
                </c:pt>
              </c:strCache>
            </c:strRef>
          </c:tx>
          <c:spPr>
            <a:ln w="28575" cap="rnd">
              <a:solidFill>
                <a:schemeClr val="accent1"/>
              </a:solidFill>
              <a:round/>
            </a:ln>
            <a:effectLst/>
          </c:spPr>
          <c:marker>
            <c:symbol val="none"/>
          </c:marker>
          <c:cat>
            <c:numRef>
              <c:f>'podíly Agroturis a OZE'!$C$25:$G$25</c:f>
              <c:numCache>
                <c:formatCode>General</c:formatCode>
                <c:ptCount val="5"/>
                <c:pt idx="0">
                  <c:v>2014</c:v>
                </c:pt>
                <c:pt idx="1">
                  <c:v>2015</c:v>
                </c:pt>
                <c:pt idx="2">
                  <c:v>2016</c:v>
                </c:pt>
                <c:pt idx="3">
                  <c:v>2017</c:v>
                </c:pt>
                <c:pt idx="4">
                  <c:v>2018</c:v>
                </c:pt>
              </c:numCache>
            </c:numRef>
          </c:cat>
          <c:val>
            <c:numRef>
              <c:f>'podíly Agroturis a OZE'!$C$26:$G$26</c:f>
              <c:numCache>
                <c:formatCode>0</c:formatCode>
                <c:ptCount val="5"/>
                <c:pt idx="0">
                  <c:v>432</c:v>
                </c:pt>
                <c:pt idx="1">
                  <c:v>331</c:v>
                </c:pt>
                <c:pt idx="2">
                  <c:v>201</c:v>
                </c:pt>
                <c:pt idx="3">
                  <c:v>318</c:v>
                </c:pt>
                <c:pt idx="4">
                  <c:v>416</c:v>
                </c:pt>
              </c:numCache>
            </c:numRef>
          </c:val>
          <c:smooth val="0"/>
          <c:extLst>
            <c:ext xmlns:c16="http://schemas.microsoft.com/office/drawing/2014/chart" uri="{C3380CC4-5D6E-409C-BE32-E72D297353CC}">
              <c16:uniqueId val="{00000000-BA61-41F4-A9A3-9EA2513AEE02}"/>
            </c:ext>
          </c:extLst>
        </c:ser>
        <c:ser>
          <c:idx val="1"/>
          <c:order val="1"/>
          <c:tx>
            <c:strRef>
              <c:f>'podíly Agroturis a OZE'!$B$27</c:f>
              <c:strCache>
                <c:ptCount val="1"/>
                <c:pt idx="0">
                  <c:v>Střední</c:v>
                </c:pt>
              </c:strCache>
            </c:strRef>
          </c:tx>
          <c:spPr>
            <a:ln w="28575" cap="rnd">
              <a:solidFill>
                <a:schemeClr val="accent2"/>
              </a:solidFill>
              <a:round/>
            </a:ln>
            <a:effectLst/>
          </c:spPr>
          <c:marker>
            <c:symbol val="none"/>
          </c:marker>
          <c:cat>
            <c:numRef>
              <c:f>'podíly Agroturis a OZE'!$C$25:$G$25</c:f>
              <c:numCache>
                <c:formatCode>General</c:formatCode>
                <c:ptCount val="5"/>
                <c:pt idx="0">
                  <c:v>2014</c:v>
                </c:pt>
                <c:pt idx="1">
                  <c:v>2015</c:v>
                </c:pt>
                <c:pt idx="2">
                  <c:v>2016</c:v>
                </c:pt>
                <c:pt idx="3">
                  <c:v>2017</c:v>
                </c:pt>
                <c:pt idx="4">
                  <c:v>2018</c:v>
                </c:pt>
              </c:numCache>
            </c:numRef>
          </c:cat>
          <c:val>
            <c:numRef>
              <c:f>'podíly Agroturis a OZE'!$C$27:$G$27</c:f>
              <c:numCache>
                <c:formatCode>0</c:formatCode>
                <c:ptCount val="5"/>
                <c:pt idx="0">
                  <c:v>48</c:v>
                </c:pt>
                <c:pt idx="1">
                  <c:v>97</c:v>
                </c:pt>
                <c:pt idx="2">
                  <c:v>89</c:v>
                </c:pt>
                <c:pt idx="3">
                  <c:v>100</c:v>
                </c:pt>
                <c:pt idx="4">
                  <c:v>135</c:v>
                </c:pt>
              </c:numCache>
            </c:numRef>
          </c:val>
          <c:smooth val="0"/>
          <c:extLst>
            <c:ext xmlns:c16="http://schemas.microsoft.com/office/drawing/2014/chart" uri="{C3380CC4-5D6E-409C-BE32-E72D297353CC}">
              <c16:uniqueId val="{00000001-BA61-41F4-A9A3-9EA2513AEE02}"/>
            </c:ext>
          </c:extLst>
        </c:ser>
        <c:ser>
          <c:idx val="2"/>
          <c:order val="2"/>
          <c:tx>
            <c:strRef>
              <c:f>'podíly Agroturis a OZE'!$B$28</c:f>
              <c:strCache>
                <c:ptCount val="1"/>
                <c:pt idx="0">
                  <c:v>Velká</c:v>
                </c:pt>
              </c:strCache>
            </c:strRef>
          </c:tx>
          <c:spPr>
            <a:ln w="28575" cap="rnd">
              <a:solidFill>
                <a:schemeClr val="accent3"/>
              </a:solidFill>
              <a:round/>
            </a:ln>
            <a:effectLst/>
          </c:spPr>
          <c:marker>
            <c:symbol val="none"/>
          </c:marker>
          <c:cat>
            <c:numRef>
              <c:f>'podíly Agroturis a OZE'!$C$25:$G$25</c:f>
              <c:numCache>
                <c:formatCode>General</c:formatCode>
                <c:ptCount val="5"/>
                <c:pt idx="0">
                  <c:v>2014</c:v>
                </c:pt>
                <c:pt idx="1">
                  <c:v>2015</c:v>
                </c:pt>
                <c:pt idx="2">
                  <c:v>2016</c:v>
                </c:pt>
                <c:pt idx="3">
                  <c:v>2017</c:v>
                </c:pt>
                <c:pt idx="4">
                  <c:v>2018</c:v>
                </c:pt>
              </c:numCache>
            </c:numRef>
          </c:cat>
          <c:val>
            <c:numRef>
              <c:f>'podíly Agroturis a OZE'!$C$28:$G$28</c:f>
              <c:numCache>
                <c:formatCode>0</c:formatCode>
                <c:ptCount val="5"/>
                <c:pt idx="0">
                  <c:v>15</c:v>
                </c:pt>
                <c:pt idx="1">
                  <c:v>74</c:v>
                </c:pt>
                <c:pt idx="2">
                  <c:v>63</c:v>
                </c:pt>
                <c:pt idx="3">
                  <c:v>100</c:v>
                </c:pt>
                <c:pt idx="4">
                  <c:v>110</c:v>
                </c:pt>
              </c:numCache>
            </c:numRef>
          </c:val>
          <c:smooth val="0"/>
          <c:extLst>
            <c:ext xmlns:c16="http://schemas.microsoft.com/office/drawing/2014/chart" uri="{C3380CC4-5D6E-409C-BE32-E72D297353CC}">
              <c16:uniqueId val="{00000002-BA61-41F4-A9A3-9EA2513AEE02}"/>
            </c:ext>
          </c:extLst>
        </c:ser>
        <c:ser>
          <c:idx val="3"/>
          <c:order val="3"/>
          <c:tx>
            <c:strRef>
              <c:f>'podíly Agroturis a OZE'!$B$29</c:f>
              <c:strCache>
                <c:ptCount val="1"/>
                <c:pt idx="0">
                  <c:v>Největší</c:v>
                </c:pt>
              </c:strCache>
            </c:strRef>
          </c:tx>
          <c:spPr>
            <a:ln w="28575" cap="rnd">
              <a:solidFill>
                <a:schemeClr val="accent4"/>
              </a:solidFill>
              <a:round/>
            </a:ln>
            <a:effectLst/>
          </c:spPr>
          <c:marker>
            <c:symbol val="none"/>
          </c:marker>
          <c:cat>
            <c:numRef>
              <c:f>'podíly Agroturis a OZE'!$C$25:$G$25</c:f>
              <c:numCache>
                <c:formatCode>General</c:formatCode>
                <c:ptCount val="5"/>
                <c:pt idx="0">
                  <c:v>2014</c:v>
                </c:pt>
                <c:pt idx="1">
                  <c:v>2015</c:v>
                </c:pt>
                <c:pt idx="2">
                  <c:v>2016</c:v>
                </c:pt>
                <c:pt idx="3">
                  <c:v>2017</c:v>
                </c:pt>
                <c:pt idx="4">
                  <c:v>2018</c:v>
                </c:pt>
              </c:numCache>
            </c:numRef>
          </c:cat>
          <c:val>
            <c:numRef>
              <c:f>'podíly Agroturis a OZE'!$C$29:$G$29</c:f>
              <c:numCache>
                <c:formatCode>0</c:formatCode>
                <c:ptCount val="5"/>
                <c:pt idx="0">
                  <c:v>177</c:v>
                </c:pt>
                <c:pt idx="1">
                  <c:v>194</c:v>
                </c:pt>
                <c:pt idx="2">
                  <c:v>201</c:v>
                </c:pt>
                <c:pt idx="3">
                  <c:v>246</c:v>
                </c:pt>
                <c:pt idx="4">
                  <c:v>242</c:v>
                </c:pt>
              </c:numCache>
            </c:numRef>
          </c:val>
          <c:smooth val="0"/>
          <c:extLst>
            <c:ext xmlns:c16="http://schemas.microsoft.com/office/drawing/2014/chart" uri="{C3380CC4-5D6E-409C-BE32-E72D297353CC}">
              <c16:uniqueId val="{00000003-BA61-41F4-A9A3-9EA2513AEE02}"/>
            </c:ext>
          </c:extLst>
        </c:ser>
        <c:dLbls>
          <c:showLegendKey val="0"/>
          <c:showVal val="0"/>
          <c:showCatName val="0"/>
          <c:showSerName val="0"/>
          <c:showPercent val="0"/>
          <c:showBubbleSize val="0"/>
        </c:dLbls>
        <c:smooth val="0"/>
        <c:axId val="292621984"/>
        <c:axId val="442098320"/>
      </c:lineChart>
      <c:catAx>
        <c:axId val="29262198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442098320"/>
        <c:crosses val="autoZero"/>
        <c:auto val="1"/>
        <c:lblAlgn val="ctr"/>
        <c:lblOffset val="100"/>
        <c:noMultiLvlLbl val="0"/>
      </c:catAx>
      <c:valAx>
        <c:axId val="442098320"/>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29262198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cs-CZ"/>
    </a:p>
  </c:txPr>
  <c:externalData r:id="rId3">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'podíly Agroturis a OZE'!$B$36</c:f>
              <c:strCache>
                <c:ptCount val="1"/>
                <c:pt idx="0">
                  <c:v>Malá</c:v>
                </c:pt>
              </c:strCache>
            </c:strRef>
          </c:tx>
          <c:spPr>
            <a:ln w="28575" cap="rnd">
              <a:solidFill>
                <a:schemeClr val="accent1"/>
              </a:solidFill>
              <a:round/>
            </a:ln>
            <a:effectLst/>
          </c:spPr>
          <c:marker>
            <c:symbol val="none"/>
          </c:marker>
          <c:cat>
            <c:numRef>
              <c:f>'podíly Agroturis a OZE'!$C$35:$G$35</c:f>
              <c:numCache>
                <c:formatCode>General</c:formatCode>
                <c:ptCount val="5"/>
                <c:pt idx="0">
                  <c:v>2014</c:v>
                </c:pt>
                <c:pt idx="1">
                  <c:v>2015</c:v>
                </c:pt>
                <c:pt idx="2">
                  <c:v>2016</c:v>
                </c:pt>
                <c:pt idx="3">
                  <c:v>2017</c:v>
                </c:pt>
                <c:pt idx="4">
                  <c:v>2018</c:v>
                </c:pt>
              </c:numCache>
            </c:numRef>
          </c:cat>
          <c:val>
            <c:numRef>
              <c:f>'podíly Agroturis a OZE'!$C$36:$G$36</c:f>
              <c:numCache>
                <c:formatCode>0</c:formatCode>
                <c:ptCount val="5"/>
                <c:pt idx="0">
                  <c:v>0</c:v>
                </c:pt>
                <c:pt idx="1">
                  <c:v>51</c:v>
                </c:pt>
                <c:pt idx="2">
                  <c:v>41</c:v>
                </c:pt>
                <c:pt idx="3">
                  <c:v>6</c:v>
                </c:pt>
                <c:pt idx="4">
                  <c:v>5</c:v>
                </c:pt>
              </c:numCache>
            </c:numRef>
          </c:val>
          <c:smooth val="0"/>
          <c:extLst>
            <c:ext xmlns:c16="http://schemas.microsoft.com/office/drawing/2014/chart" uri="{C3380CC4-5D6E-409C-BE32-E72D297353CC}">
              <c16:uniqueId val="{00000000-55E4-4C15-A7A0-EC797BF8E732}"/>
            </c:ext>
          </c:extLst>
        </c:ser>
        <c:ser>
          <c:idx val="1"/>
          <c:order val="1"/>
          <c:tx>
            <c:strRef>
              <c:f>'podíly Agroturis a OZE'!$B$37</c:f>
              <c:strCache>
                <c:ptCount val="1"/>
                <c:pt idx="0">
                  <c:v>Střední</c:v>
                </c:pt>
              </c:strCache>
            </c:strRef>
          </c:tx>
          <c:spPr>
            <a:ln w="28575" cap="rnd">
              <a:solidFill>
                <a:schemeClr val="accent2"/>
              </a:solidFill>
              <a:round/>
            </a:ln>
            <a:effectLst/>
          </c:spPr>
          <c:marker>
            <c:symbol val="none"/>
          </c:marker>
          <c:cat>
            <c:numRef>
              <c:f>'podíly Agroturis a OZE'!$C$35:$G$35</c:f>
              <c:numCache>
                <c:formatCode>General</c:formatCode>
                <c:ptCount val="5"/>
                <c:pt idx="0">
                  <c:v>2014</c:v>
                </c:pt>
                <c:pt idx="1">
                  <c:v>2015</c:v>
                </c:pt>
                <c:pt idx="2">
                  <c:v>2016</c:v>
                </c:pt>
                <c:pt idx="3">
                  <c:v>2017</c:v>
                </c:pt>
                <c:pt idx="4">
                  <c:v>2018</c:v>
                </c:pt>
              </c:numCache>
            </c:numRef>
          </c:cat>
          <c:val>
            <c:numRef>
              <c:f>'podíly Agroturis a OZE'!$C$37:$G$37</c:f>
              <c:numCache>
                <c:formatCode>0</c:formatCode>
                <c:ptCount val="5"/>
                <c:pt idx="0">
                  <c:v>250</c:v>
                </c:pt>
                <c:pt idx="1">
                  <c:v>223</c:v>
                </c:pt>
                <c:pt idx="2">
                  <c:v>184</c:v>
                </c:pt>
                <c:pt idx="3">
                  <c:v>149</c:v>
                </c:pt>
                <c:pt idx="4">
                  <c:v>176</c:v>
                </c:pt>
              </c:numCache>
            </c:numRef>
          </c:val>
          <c:smooth val="0"/>
          <c:extLst>
            <c:ext xmlns:c16="http://schemas.microsoft.com/office/drawing/2014/chart" uri="{C3380CC4-5D6E-409C-BE32-E72D297353CC}">
              <c16:uniqueId val="{00000001-55E4-4C15-A7A0-EC797BF8E732}"/>
            </c:ext>
          </c:extLst>
        </c:ser>
        <c:ser>
          <c:idx val="2"/>
          <c:order val="2"/>
          <c:tx>
            <c:strRef>
              <c:f>'podíly Agroturis a OZE'!$B$38</c:f>
              <c:strCache>
                <c:ptCount val="1"/>
                <c:pt idx="0">
                  <c:v>Velká</c:v>
                </c:pt>
              </c:strCache>
            </c:strRef>
          </c:tx>
          <c:spPr>
            <a:ln w="28575" cap="rnd">
              <a:solidFill>
                <a:schemeClr val="accent3"/>
              </a:solidFill>
              <a:round/>
            </a:ln>
            <a:effectLst/>
          </c:spPr>
          <c:marker>
            <c:symbol val="none"/>
          </c:marker>
          <c:cat>
            <c:numRef>
              <c:f>'podíly Agroturis a OZE'!$C$35:$G$35</c:f>
              <c:numCache>
                <c:formatCode>General</c:formatCode>
                <c:ptCount val="5"/>
                <c:pt idx="0">
                  <c:v>2014</c:v>
                </c:pt>
                <c:pt idx="1">
                  <c:v>2015</c:v>
                </c:pt>
                <c:pt idx="2">
                  <c:v>2016</c:v>
                </c:pt>
                <c:pt idx="3">
                  <c:v>2017</c:v>
                </c:pt>
                <c:pt idx="4">
                  <c:v>2018</c:v>
                </c:pt>
              </c:numCache>
            </c:numRef>
          </c:cat>
          <c:val>
            <c:numRef>
              <c:f>'podíly Agroturis a OZE'!$C$38:$G$38</c:f>
              <c:numCache>
                <c:formatCode>0</c:formatCode>
                <c:ptCount val="5"/>
                <c:pt idx="0">
                  <c:v>436</c:v>
                </c:pt>
                <c:pt idx="1">
                  <c:v>338</c:v>
                </c:pt>
                <c:pt idx="2">
                  <c:v>320</c:v>
                </c:pt>
                <c:pt idx="3">
                  <c:v>187</c:v>
                </c:pt>
                <c:pt idx="4">
                  <c:v>217</c:v>
                </c:pt>
              </c:numCache>
            </c:numRef>
          </c:val>
          <c:smooth val="0"/>
          <c:extLst>
            <c:ext xmlns:c16="http://schemas.microsoft.com/office/drawing/2014/chart" uri="{C3380CC4-5D6E-409C-BE32-E72D297353CC}">
              <c16:uniqueId val="{00000002-55E4-4C15-A7A0-EC797BF8E732}"/>
            </c:ext>
          </c:extLst>
        </c:ser>
        <c:ser>
          <c:idx val="3"/>
          <c:order val="3"/>
          <c:tx>
            <c:strRef>
              <c:f>'podíly Agroturis a OZE'!$B$39</c:f>
              <c:strCache>
                <c:ptCount val="1"/>
                <c:pt idx="0">
                  <c:v>Největší</c:v>
                </c:pt>
              </c:strCache>
            </c:strRef>
          </c:tx>
          <c:spPr>
            <a:ln w="28575" cap="rnd">
              <a:solidFill>
                <a:schemeClr val="accent4"/>
              </a:solidFill>
              <a:round/>
            </a:ln>
            <a:effectLst/>
          </c:spPr>
          <c:marker>
            <c:symbol val="none"/>
          </c:marker>
          <c:cat>
            <c:numRef>
              <c:f>'podíly Agroturis a OZE'!$C$35:$G$35</c:f>
              <c:numCache>
                <c:formatCode>General</c:formatCode>
                <c:ptCount val="5"/>
                <c:pt idx="0">
                  <c:v>2014</c:v>
                </c:pt>
                <c:pt idx="1">
                  <c:v>2015</c:v>
                </c:pt>
                <c:pt idx="2">
                  <c:v>2016</c:v>
                </c:pt>
                <c:pt idx="3">
                  <c:v>2017</c:v>
                </c:pt>
                <c:pt idx="4">
                  <c:v>2018</c:v>
                </c:pt>
              </c:numCache>
            </c:numRef>
          </c:cat>
          <c:val>
            <c:numRef>
              <c:f>'podíly Agroturis a OZE'!$C$39:$G$39</c:f>
              <c:numCache>
                <c:formatCode>0</c:formatCode>
                <c:ptCount val="5"/>
                <c:pt idx="0">
                  <c:v>887</c:v>
                </c:pt>
                <c:pt idx="1">
                  <c:v>890</c:v>
                </c:pt>
                <c:pt idx="2">
                  <c:v>864</c:v>
                </c:pt>
                <c:pt idx="3">
                  <c:v>931</c:v>
                </c:pt>
                <c:pt idx="4">
                  <c:v>1027</c:v>
                </c:pt>
              </c:numCache>
            </c:numRef>
          </c:val>
          <c:smooth val="0"/>
          <c:extLst>
            <c:ext xmlns:c16="http://schemas.microsoft.com/office/drawing/2014/chart" uri="{C3380CC4-5D6E-409C-BE32-E72D297353CC}">
              <c16:uniqueId val="{00000003-55E4-4C15-A7A0-EC797BF8E732}"/>
            </c:ext>
          </c:extLst>
        </c:ser>
        <c:dLbls>
          <c:showLegendKey val="0"/>
          <c:showVal val="0"/>
          <c:showCatName val="0"/>
          <c:showSerName val="0"/>
          <c:showPercent val="0"/>
          <c:showBubbleSize val="0"/>
        </c:dLbls>
        <c:smooth val="0"/>
        <c:axId val="609101848"/>
        <c:axId val="609102176"/>
      </c:lineChart>
      <c:catAx>
        <c:axId val="60910184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609102176"/>
        <c:crosses val="autoZero"/>
        <c:auto val="1"/>
        <c:lblAlgn val="ctr"/>
        <c:lblOffset val="100"/>
        <c:noMultiLvlLbl val="0"/>
      </c:catAx>
      <c:valAx>
        <c:axId val="609102176"/>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60910184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cs-CZ"/>
    </a:p>
  </c:txPr>
  <c:externalData r:id="rId3">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 AS'!$A$3</c:f>
              <c:strCache>
                <c:ptCount val="1"/>
                <c:pt idx="0">
                  <c:v>Podíl AS </c:v>
                </c:pt>
              </c:strCache>
            </c:strRef>
          </c:tx>
          <c:spPr>
            <a:ln w="28575" cap="rnd">
              <a:solidFill>
                <a:srgbClr val="00B050"/>
              </a:solidFill>
              <a:round/>
            </a:ln>
            <a:effectLst/>
          </c:spPr>
          <c:marker>
            <c:symbol val="none"/>
          </c:marker>
          <c:dLbls>
            <c:spPr>
              <a:noFill/>
              <a:ln>
                <a:noFill/>
              </a:ln>
              <a:effectLst/>
            </c:spPr>
            <c:dLblPos val="t"/>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 AS'!$B$2:$L$2</c:f>
              <c:strCache>
                <c:ptCount val="11"/>
                <c:pt idx="0">
                  <c:v>do 99</c:v>
                </c:pt>
                <c:pt idx="1">
                  <c:v>100 až 199</c:v>
                </c:pt>
                <c:pt idx="2">
                  <c:v>200 až 499</c:v>
                </c:pt>
                <c:pt idx="3">
                  <c:v>500 až 999</c:v>
                </c:pt>
                <c:pt idx="4">
                  <c:v>1000 až 1999</c:v>
                </c:pt>
                <c:pt idx="5">
                  <c:v>2000 až 4999</c:v>
                </c:pt>
                <c:pt idx="6">
                  <c:v>5000 až 9999</c:v>
                </c:pt>
                <c:pt idx="7">
                  <c:v>10000 až 19999</c:v>
                </c:pt>
                <c:pt idx="8">
                  <c:v>20000 až 49999</c:v>
                </c:pt>
                <c:pt idx="9">
                  <c:v>50000 až 99999</c:v>
                </c:pt>
                <c:pt idx="10">
                  <c:v>100000 a více</c:v>
                </c:pt>
              </c:strCache>
            </c:strRef>
          </c:cat>
          <c:val>
            <c:numRef>
              <c:f>'% AS'!$B$3:$L$3</c:f>
              <c:numCache>
                <c:formatCode>0.0</c:formatCode>
                <c:ptCount val="11"/>
                <c:pt idx="0">
                  <c:v>14.590824104703007</c:v>
                </c:pt>
                <c:pt idx="1">
                  <c:v>11.00801674129468</c:v>
                </c:pt>
                <c:pt idx="2">
                  <c:v>8.3491454294374012</c:v>
                </c:pt>
                <c:pt idx="3">
                  <c:v>6.0404744193126279</c:v>
                </c:pt>
                <c:pt idx="4">
                  <c:v>4.8150577485849535</c:v>
                </c:pt>
                <c:pt idx="5">
                  <c:v>3.1299406419669733</c:v>
                </c:pt>
                <c:pt idx="6">
                  <c:v>2.2099748855221106</c:v>
                </c:pt>
                <c:pt idx="7">
                  <c:v>1.5578161910653676</c:v>
                </c:pt>
                <c:pt idx="8">
                  <c:v>1.1186448376890541</c:v>
                </c:pt>
                <c:pt idx="9">
                  <c:v>0.73686581864666056</c:v>
                </c:pt>
                <c:pt idx="10">
                  <c:v>0.45631426262362018</c:v>
                </c:pt>
              </c:numCache>
            </c:numRef>
          </c:val>
          <c:smooth val="0"/>
          <c:extLst>
            <c:ext xmlns:c16="http://schemas.microsoft.com/office/drawing/2014/chart" uri="{C3380CC4-5D6E-409C-BE32-E72D297353CC}">
              <c16:uniqueId val="{00000000-BE5E-4277-966A-5988726AC785}"/>
            </c:ext>
          </c:extLst>
        </c:ser>
        <c:dLbls>
          <c:showLegendKey val="0"/>
          <c:showVal val="0"/>
          <c:showCatName val="0"/>
          <c:showSerName val="0"/>
          <c:showPercent val="0"/>
          <c:showBubbleSize val="0"/>
        </c:dLbls>
        <c:smooth val="0"/>
        <c:axId val="113271168"/>
        <c:axId val="113272704"/>
      </c:lineChart>
      <c:catAx>
        <c:axId val="11327116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113272704"/>
        <c:crosses val="autoZero"/>
        <c:auto val="1"/>
        <c:lblAlgn val="ctr"/>
        <c:lblOffset val="100"/>
        <c:noMultiLvlLbl val="0"/>
      </c:catAx>
      <c:valAx>
        <c:axId val="113272704"/>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113271168"/>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cs-CZ"/>
    </a:p>
  </c:txPr>
  <c:externalData r:id="rId1">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MiZa!$A$3</c:f>
              <c:strCache>
                <c:ptCount val="1"/>
                <c:pt idx="0">
                  <c:v>zemědělství (včetně lesnictví a rybolovu)</c:v>
                </c:pt>
              </c:strCache>
            </c:strRef>
          </c:tx>
          <c:spPr>
            <a:ln w="28575" cap="rnd">
              <a:solidFill>
                <a:srgbClr val="00B050"/>
              </a:solidFill>
              <a:round/>
            </a:ln>
            <a:effectLst/>
          </c:spPr>
          <c:marker>
            <c:symbol val="none"/>
          </c:marker>
          <c:cat>
            <c:strRef>
              <c:f>MiZa!$B$1:$L$2</c:f>
              <c:strCache>
                <c:ptCount val="11"/>
                <c:pt idx="0">
                  <c:v>do 99</c:v>
                </c:pt>
                <c:pt idx="1">
                  <c:v>100-199</c:v>
                </c:pt>
                <c:pt idx="2">
                  <c:v>200-499</c:v>
                </c:pt>
                <c:pt idx="3">
                  <c:v>500-999</c:v>
                </c:pt>
                <c:pt idx="4">
                  <c:v>1000-1999</c:v>
                </c:pt>
                <c:pt idx="5">
                  <c:v>2000-4999</c:v>
                </c:pt>
                <c:pt idx="6">
                  <c:v>5000-9999</c:v>
                </c:pt>
                <c:pt idx="7">
                  <c:v>10 000-19 999</c:v>
                </c:pt>
                <c:pt idx="8">
                  <c:v>20 000-49 999</c:v>
                </c:pt>
                <c:pt idx="9">
                  <c:v>50 000-99 999</c:v>
                </c:pt>
                <c:pt idx="10">
                  <c:v>100 000 a více</c:v>
                </c:pt>
              </c:strCache>
            </c:strRef>
          </c:cat>
          <c:val>
            <c:numRef>
              <c:f>MiZa!$B$3:$L$3</c:f>
              <c:numCache>
                <c:formatCode>#,##0.00</c:formatCode>
                <c:ptCount val="11"/>
                <c:pt idx="0">
                  <c:v>0.74507966260543579</c:v>
                </c:pt>
                <c:pt idx="1">
                  <c:v>0.82200132538104709</c:v>
                </c:pt>
                <c:pt idx="2">
                  <c:v>0.91859374362739099</c:v>
                </c:pt>
                <c:pt idx="3">
                  <c:v>0.95385970286414457</c:v>
                </c:pt>
                <c:pt idx="4">
                  <c:v>0.9714901450186324</c:v>
                </c:pt>
                <c:pt idx="5">
                  <c:v>0.93492517235580963</c:v>
                </c:pt>
                <c:pt idx="6">
                  <c:v>0.9503210188401221</c:v>
                </c:pt>
                <c:pt idx="7">
                  <c:v>0.92383397518185706</c:v>
                </c:pt>
                <c:pt idx="8">
                  <c:v>0.9197195191757298</c:v>
                </c:pt>
                <c:pt idx="9">
                  <c:v>0.98318240620957309</c:v>
                </c:pt>
                <c:pt idx="10">
                  <c:v>1.007497656982193</c:v>
                </c:pt>
              </c:numCache>
            </c:numRef>
          </c:val>
          <c:smooth val="0"/>
          <c:extLst>
            <c:ext xmlns:c16="http://schemas.microsoft.com/office/drawing/2014/chart" uri="{C3380CC4-5D6E-409C-BE32-E72D297353CC}">
              <c16:uniqueId val="{00000000-8833-43F0-AD0C-CECB3154AF95}"/>
            </c:ext>
          </c:extLst>
        </c:ser>
        <c:ser>
          <c:idx val="1"/>
          <c:order val="1"/>
          <c:tx>
            <c:strRef>
              <c:f>MiZa!$A$4</c:f>
              <c:strCache>
                <c:ptCount val="1"/>
                <c:pt idx="0">
                  <c:v>průmysl, stavebnictví</c:v>
                </c:pt>
              </c:strCache>
            </c:strRef>
          </c:tx>
          <c:spPr>
            <a:ln w="28575" cap="rnd">
              <a:solidFill>
                <a:schemeClr val="accent2"/>
              </a:solidFill>
              <a:round/>
            </a:ln>
            <a:effectLst/>
          </c:spPr>
          <c:marker>
            <c:symbol val="none"/>
          </c:marker>
          <c:cat>
            <c:strRef>
              <c:f>MiZa!$B$1:$L$2</c:f>
              <c:strCache>
                <c:ptCount val="11"/>
                <c:pt idx="0">
                  <c:v>do 99</c:v>
                </c:pt>
                <c:pt idx="1">
                  <c:v>100-199</c:v>
                </c:pt>
                <c:pt idx="2">
                  <c:v>200-499</c:v>
                </c:pt>
                <c:pt idx="3">
                  <c:v>500-999</c:v>
                </c:pt>
                <c:pt idx="4">
                  <c:v>1000-1999</c:v>
                </c:pt>
                <c:pt idx="5">
                  <c:v>2000-4999</c:v>
                </c:pt>
                <c:pt idx="6">
                  <c:v>5000-9999</c:v>
                </c:pt>
                <c:pt idx="7">
                  <c:v>10 000-19 999</c:v>
                </c:pt>
                <c:pt idx="8">
                  <c:v>20 000-49 999</c:v>
                </c:pt>
                <c:pt idx="9">
                  <c:v>50 000-99 999</c:v>
                </c:pt>
                <c:pt idx="10">
                  <c:v>100 000 a více</c:v>
                </c:pt>
              </c:strCache>
            </c:strRef>
          </c:cat>
          <c:val>
            <c:numRef>
              <c:f>MiZa!$B$4:$L$4</c:f>
              <c:numCache>
                <c:formatCode>#,##0.00</c:formatCode>
                <c:ptCount val="11"/>
                <c:pt idx="0">
                  <c:v>0.60227920227920229</c:v>
                </c:pt>
                <c:pt idx="1">
                  <c:v>0.5780958544291751</c:v>
                </c:pt>
                <c:pt idx="2">
                  <c:v>0.64593249577759915</c:v>
                </c:pt>
                <c:pt idx="3">
                  <c:v>0.7098062516462178</c:v>
                </c:pt>
                <c:pt idx="4">
                  <c:v>0.75112055551684898</c:v>
                </c:pt>
                <c:pt idx="5">
                  <c:v>0.86390532544378695</c:v>
                </c:pt>
                <c:pt idx="6">
                  <c:v>0.98253855367569998</c:v>
                </c:pt>
                <c:pt idx="7">
                  <c:v>1.1131722758863263</c:v>
                </c:pt>
                <c:pt idx="8">
                  <c:v>1.102893213090101</c:v>
                </c:pt>
                <c:pt idx="9">
                  <c:v>1.0159494866233985</c:v>
                </c:pt>
                <c:pt idx="10">
                  <c:v>1.1499693540885123</c:v>
                </c:pt>
              </c:numCache>
            </c:numRef>
          </c:val>
          <c:smooth val="0"/>
          <c:extLst>
            <c:ext xmlns:c16="http://schemas.microsoft.com/office/drawing/2014/chart" uri="{C3380CC4-5D6E-409C-BE32-E72D297353CC}">
              <c16:uniqueId val="{00000001-8833-43F0-AD0C-CECB3154AF95}"/>
            </c:ext>
          </c:extLst>
        </c:ser>
        <c:ser>
          <c:idx val="2"/>
          <c:order val="2"/>
          <c:tx>
            <c:strRef>
              <c:f>MiZa!$A$5</c:f>
              <c:strCache>
                <c:ptCount val="1"/>
                <c:pt idx="0">
                  <c:v>služby</c:v>
                </c:pt>
              </c:strCache>
            </c:strRef>
          </c:tx>
          <c:spPr>
            <a:ln w="28575" cap="rnd">
              <a:solidFill>
                <a:schemeClr val="accent3"/>
              </a:solidFill>
              <a:round/>
            </a:ln>
            <a:effectLst/>
          </c:spPr>
          <c:marker>
            <c:symbol val="none"/>
          </c:marker>
          <c:cat>
            <c:strRef>
              <c:f>MiZa!$B$1:$L$2</c:f>
              <c:strCache>
                <c:ptCount val="11"/>
                <c:pt idx="0">
                  <c:v>do 99</c:v>
                </c:pt>
                <c:pt idx="1">
                  <c:v>100-199</c:v>
                </c:pt>
                <c:pt idx="2">
                  <c:v>200-499</c:v>
                </c:pt>
                <c:pt idx="3">
                  <c:v>500-999</c:v>
                </c:pt>
                <c:pt idx="4">
                  <c:v>1000-1999</c:v>
                </c:pt>
                <c:pt idx="5">
                  <c:v>2000-4999</c:v>
                </c:pt>
                <c:pt idx="6">
                  <c:v>5000-9999</c:v>
                </c:pt>
                <c:pt idx="7">
                  <c:v>10 000-19 999</c:v>
                </c:pt>
                <c:pt idx="8">
                  <c:v>20 000-49 999</c:v>
                </c:pt>
                <c:pt idx="9">
                  <c:v>50 000-99 999</c:v>
                </c:pt>
                <c:pt idx="10">
                  <c:v>100 000 a více</c:v>
                </c:pt>
              </c:strCache>
            </c:strRef>
          </c:cat>
          <c:val>
            <c:numRef>
              <c:f>MiZa!$B$5:$L$5</c:f>
              <c:numCache>
                <c:formatCode>#,##0.00</c:formatCode>
                <c:ptCount val="11"/>
                <c:pt idx="0">
                  <c:v>0.51508771929824559</c:v>
                </c:pt>
                <c:pt idx="1">
                  <c:v>0.51678815992931304</c:v>
                </c:pt>
                <c:pt idx="2">
                  <c:v>0.55119009584664536</c:v>
                </c:pt>
                <c:pt idx="3">
                  <c:v>0.61477314672808281</c:v>
                </c:pt>
                <c:pt idx="4">
                  <c:v>0.64019474032278489</c:v>
                </c:pt>
                <c:pt idx="5">
                  <c:v>0.70297794008491432</c:v>
                </c:pt>
                <c:pt idx="6">
                  <c:v>0.86466607397043316</c:v>
                </c:pt>
                <c:pt idx="7">
                  <c:v>0.97884027079620817</c:v>
                </c:pt>
                <c:pt idx="8">
                  <c:v>1.0641740898468253</c:v>
                </c:pt>
                <c:pt idx="9">
                  <c:v>1.0822590520064908</c:v>
                </c:pt>
                <c:pt idx="10">
                  <c:v>1.1656615062235229</c:v>
                </c:pt>
              </c:numCache>
            </c:numRef>
          </c:val>
          <c:smooth val="0"/>
          <c:extLst>
            <c:ext xmlns:c16="http://schemas.microsoft.com/office/drawing/2014/chart" uri="{C3380CC4-5D6E-409C-BE32-E72D297353CC}">
              <c16:uniqueId val="{00000002-8833-43F0-AD0C-CECB3154AF95}"/>
            </c:ext>
          </c:extLst>
        </c:ser>
        <c:dLbls>
          <c:showLegendKey val="0"/>
          <c:showVal val="0"/>
          <c:showCatName val="0"/>
          <c:showSerName val="0"/>
          <c:showPercent val="0"/>
          <c:showBubbleSize val="0"/>
        </c:dLbls>
        <c:smooth val="0"/>
        <c:axId val="113292032"/>
        <c:axId val="113293568"/>
      </c:lineChart>
      <c:catAx>
        <c:axId val="11329203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113293568"/>
        <c:crosses val="autoZero"/>
        <c:auto val="1"/>
        <c:lblAlgn val="ctr"/>
        <c:lblOffset val="100"/>
        <c:noMultiLvlLbl val="0"/>
      </c:catAx>
      <c:valAx>
        <c:axId val="113293568"/>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11329203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cs-CZ"/>
    </a:p>
  </c:txPr>
  <c:externalData r:id="rId1">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2"/>
          <c:order val="2"/>
          <c:tx>
            <c:strRef>
              <c:f>zam.!$A$5</c:f>
              <c:strCache>
                <c:ptCount val="1"/>
                <c:pt idx="0">
                  <c:v>Podíl  pracovních míst na počtu zaměstnaných (%)</c:v>
                </c:pt>
              </c:strCache>
            </c:strRef>
          </c:tx>
          <c:spPr>
            <a:solidFill>
              <a:schemeClr val="bg1">
                <a:lumMod val="85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cs-CZ"/>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zam.!$B$2:$L$2</c:f>
              <c:strCache>
                <c:ptCount val="11"/>
                <c:pt idx="0">
                  <c:v>do 99</c:v>
                </c:pt>
                <c:pt idx="1">
                  <c:v>100-199</c:v>
                </c:pt>
                <c:pt idx="2">
                  <c:v>200-499</c:v>
                </c:pt>
                <c:pt idx="3">
                  <c:v>500-999</c:v>
                </c:pt>
                <c:pt idx="4">
                  <c:v>1000-1999</c:v>
                </c:pt>
                <c:pt idx="5">
                  <c:v>2000-4999</c:v>
                </c:pt>
                <c:pt idx="6">
                  <c:v>5000-9999</c:v>
                </c:pt>
                <c:pt idx="7">
                  <c:v>10 000-19 999</c:v>
                </c:pt>
                <c:pt idx="8">
                  <c:v>20 000-49 999</c:v>
                </c:pt>
                <c:pt idx="9">
                  <c:v>50 000-99 999</c:v>
                </c:pt>
                <c:pt idx="10">
                  <c:v>100 000 a více</c:v>
                </c:pt>
              </c:strCache>
            </c:strRef>
          </c:cat>
          <c:val>
            <c:numRef>
              <c:f>zam.!$B$5:$L$5</c:f>
              <c:numCache>
                <c:formatCode>0.0</c:formatCode>
                <c:ptCount val="11"/>
                <c:pt idx="0">
                  <c:v>65.912727272727267</c:v>
                </c:pt>
                <c:pt idx="1">
                  <c:v>65.613799981300829</c:v>
                </c:pt>
                <c:pt idx="2">
                  <c:v>69.826337326037773</c:v>
                </c:pt>
                <c:pt idx="3">
                  <c:v>74.702021998025501</c:v>
                </c:pt>
                <c:pt idx="4">
                  <c:v>77.148677781472898</c:v>
                </c:pt>
                <c:pt idx="5">
                  <c:v>84.567303577033186</c:v>
                </c:pt>
                <c:pt idx="6">
                  <c:v>97.882509878935835</c:v>
                </c:pt>
                <c:pt idx="7">
                  <c:v>109.19334814110708</c:v>
                </c:pt>
                <c:pt idx="8">
                  <c:v>114.24847989127254</c:v>
                </c:pt>
                <c:pt idx="9">
                  <c:v>112.48420446487127</c:v>
                </c:pt>
                <c:pt idx="10">
                  <c:v>122.4930100771987</c:v>
                </c:pt>
              </c:numCache>
            </c:numRef>
          </c:val>
          <c:extLst>
            <c:ext xmlns:c16="http://schemas.microsoft.com/office/drawing/2014/chart" uri="{C3380CC4-5D6E-409C-BE32-E72D297353CC}">
              <c16:uniqueId val="{00000000-A5A3-42A5-974B-18F60D92E927}"/>
            </c:ext>
          </c:extLst>
        </c:ser>
        <c:dLbls>
          <c:showLegendKey val="0"/>
          <c:showVal val="0"/>
          <c:showCatName val="0"/>
          <c:showSerName val="0"/>
          <c:showPercent val="0"/>
          <c:showBubbleSize val="0"/>
        </c:dLbls>
        <c:gapWidth val="219"/>
        <c:axId val="112589824"/>
        <c:axId val="112588288"/>
      </c:barChart>
      <c:lineChart>
        <c:grouping val="standard"/>
        <c:varyColors val="0"/>
        <c:ser>
          <c:idx val="0"/>
          <c:order val="0"/>
          <c:tx>
            <c:strRef>
              <c:f>zam.!$A$3</c:f>
              <c:strCache>
                <c:ptCount val="1"/>
                <c:pt idx="0">
                  <c:v>zaměstnaní obyvatelé obce</c:v>
                </c:pt>
              </c:strCache>
            </c:strRef>
          </c:tx>
          <c:spPr>
            <a:ln w="28575" cap="rnd">
              <a:solidFill>
                <a:schemeClr val="accent1"/>
              </a:solidFill>
              <a:round/>
            </a:ln>
            <a:effectLst/>
          </c:spPr>
          <c:marker>
            <c:symbol val="none"/>
          </c:marker>
          <c:cat>
            <c:strRef>
              <c:f>zam.!$B$2:$L$2</c:f>
              <c:strCache>
                <c:ptCount val="11"/>
                <c:pt idx="0">
                  <c:v>do 99</c:v>
                </c:pt>
                <c:pt idx="1">
                  <c:v>100-199</c:v>
                </c:pt>
                <c:pt idx="2">
                  <c:v>200-499</c:v>
                </c:pt>
                <c:pt idx="3">
                  <c:v>500-999</c:v>
                </c:pt>
                <c:pt idx="4">
                  <c:v>1000-1999</c:v>
                </c:pt>
                <c:pt idx="5">
                  <c:v>2000-4999</c:v>
                </c:pt>
                <c:pt idx="6">
                  <c:v>5000-9999</c:v>
                </c:pt>
                <c:pt idx="7">
                  <c:v>10 000-19 999</c:v>
                </c:pt>
                <c:pt idx="8">
                  <c:v>20 000-49 999</c:v>
                </c:pt>
                <c:pt idx="9">
                  <c:v>50 000-99 999</c:v>
                </c:pt>
                <c:pt idx="10">
                  <c:v>100 000 a více</c:v>
                </c:pt>
              </c:strCache>
            </c:strRef>
          </c:cat>
          <c:val>
            <c:numRef>
              <c:f>zam.!$B$3:$L$3</c:f>
              <c:numCache>
                <c:formatCode>#,##0</c:formatCode>
                <c:ptCount val="11"/>
                <c:pt idx="0">
                  <c:v>13750</c:v>
                </c:pt>
                <c:pt idx="1">
                  <c:v>64174</c:v>
                </c:pt>
                <c:pt idx="2">
                  <c:v>275419</c:v>
                </c:pt>
                <c:pt idx="3">
                  <c:v>402127</c:v>
                </c:pt>
                <c:pt idx="4">
                  <c:v>429997</c:v>
                </c:pt>
                <c:pt idx="5">
                  <c:v>525715</c:v>
                </c:pt>
                <c:pt idx="6">
                  <c:v>397310</c:v>
                </c:pt>
                <c:pt idx="7">
                  <c:v>412396</c:v>
                </c:pt>
                <c:pt idx="8">
                  <c:v>563611</c:v>
                </c:pt>
                <c:pt idx="9">
                  <c:v>375106</c:v>
                </c:pt>
                <c:pt idx="10">
                  <c:v>1041857</c:v>
                </c:pt>
              </c:numCache>
            </c:numRef>
          </c:val>
          <c:smooth val="0"/>
          <c:extLst>
            <c:ext xmlns:c16="http://schemas.microsoft.com/office/drawing/2014/chart" uri="{C3380CC4-5D6E-409C-BE32-E72D297353CC}">
              <c16:uniqueId val="{00000001-A5A3-42A5-974B-18F60D92E927}"/>
            </c:ext>
          </c:extLst>
        </c:ser>
        <c:ser>
          <c:idx val="1"/>
          <c:order val="1"/>
          <c:tx>
            <c:strRef>
              <c:f>zam.!$A$4</c:f>
              <c:strCache>
                <c:ptCount val="1"/>
                <c:pt idx="0">
                  <c:v>pracovní místa v obci</c:v>
                </c:pt>
              </c:strCache>
            </c:strRef>
          </c:tx>
          <c:spPr>
            <a:ln w="28575" cap="rnd">
              <a:solidFill>
                <a:schemeClr val="accent2"/>
              </a:solidFill>
              <a:round/>
            </a:ln>
            <a:effectLst/>
          </c:spPr>
          <c:marker>
            <c:symbol val="none"/>
          </c:marker>
          <c:cat>
            <c:strRef>
              <c:f>zam.!$B$2:$L$2</c:f>
              <c:strCache>
                <c:ptCount val="11"/>
                <c:pt idx="0">
                  <c:v>do 99</c:v>
                </c:pt>
                <c:pt idx="1">
                  <c:v>100-199</c:v>
                </c:pt>
                <c:pt idx="2">
                  <c:v>200-499</c:v>
                </c:pt>
                <c:pt idx="3">
                  <c:v>500-999</c:v>
                </c:pt>
                <c:pt idx="4">
                  <c:v>1000-1999</c:v>
                </c:pt>
                <c:pt idx="5">
                  <c:v>2000-4999</c:v>
                </c:pt>
                <c:pt idx="6">
                  <c:v>5000-9999</c:v>
                </c:pt>
                <c:pt idx="7">
                  <c:v>10 000-19 999</c:v>
                </c:pt>
                <c:pt idx="8">
                  <c:v>20 000-49 999</c:v>
                </c:pt>
                <c:pt idx="9">
                  <c:v>50 000-99 999</c:v>
                </c:pt>
                <c:pt idx="10">
                  <c:v>100 000 a více</c:v>
                </c:pt>
              </c:strCache>
            </c:strRef>
          </c:cat>
          <c:val>
            <c:numRef>
              <c:f>zam.!$B$4:$L$4</c:f>
              <c:numCache>
                <c:formatCode>#,##0</c:formatCode>
                <c:ptCount val="11"/>
                <c:pt idx="0">
                  <c:v>9063</c:v>
                </c:pt>
                <c:pt idx="1">
                  <c:v>42107</c:v>
                </c:pt>
                <c:pt idx="2">
                  <c:v>192315</c:v>
                </c:pt>
                <c:pt idx="3">
                  <c:v>300397</c:v>
                </c:pt>
                <c:pt idx="4">
                  <c:v>331737</c:v>
                </c:pt>
                <c:pt idx="5">
                  <c:v>444583</c:v>
                </c:pt>
                <c:pt idx="6">
                  <c:v>388897</c:v>
                </c:pt>
                <c:pt idx="7">
                  <c:v>450309</c:v>
                </c:pt>
                <c:pt idx="8">
                  <c:v>643917</c:v>
                </c:pt>
                <c:pt idx="9">
                  <c:v>421935</c:v>
                </c:pt>
                <c:pt idx="10">
                  <c:v>1276202</c:v>
                </c:pt>
              </c:numCache>
            </c:numRef>
          </c:val>
          <c:smooth val="0"/>
          <c:extLst>
            <c:ext xmlns:c16="http://schemas.microsoft.com/office/drawing/2014/chart" uri="{C3380CC4-5D6E-409C-BE32-E72D297353CC}">
              <c16:uniqueId val="{00000002-A5A3-42A5-974B-18F60D92E927}"/>
            </c:ext>
          </c:extLst>
        </c:ser>
        <c:dLbls>
          <c:showLegendKey val="0"/>
          <c:showVal val="0"/>
          <c:showCatName val="0"/>
          <c:showSerName val="0"/>
          <c:showPercent val="0"/>
          <c:showBubbleSize val="0"/>
        </c:dLbls>
        <c:marker val="1"/>
        <c:smooth val="0"/>
        <c:axId val="112572672"/>
        <c:axId val="112586752"/>
      </c:lineChart>
      <c:catAx>
        <c:axId val="11257267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112586752"/>
        <c:crosses val="autoZero"/>
        <c:auto val="1"/>
        <c:lblAlgn val="ctr"/>
        <c:lblOffset val="100"/>
        <c:noMultiLvlLbl val="0"/>
      </c:catAx>
      <c:valAx>
        <c:axId val="112586752"/>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112572672"/>
        <c:crosses val="autoZero"/>
        <c:crossBetween val="between"/>
      </c:valAx>
      <c:valAx>
        <c:axId val="112588288"/>
        <c:scaling>
          <c:orientation val="minMax"/>
        </c:scaling>
        <c:delete val="0"/>
        <c:axPos val="r"/>
        <c:numFmt formatCode="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112589824"/>
        <c:crosses val="max"/>
        <c:crossBetween val="between"/>
      </c:valAx>
      <c:catAx>
        <c:axId val="112589824"/>
        <c:scaling>
          <c:orientation val="minMax"/>
        </c:scaling>
        <c:delete val="1"/>
        <c:axPos val="b"/>
        <c:numFmt formatCode="General" sourceLinked="1"/>
        <c:majorTickMark val="out"/>
        <c:minorTickMark val="none"/>
        <c:tickLblPos val="nextTo"/>
        <c:crossAx val="112588288"/>
        <c:crosses val="autoZero"/>
        <c:auto val="1"/>
        <c:lblAlgn val="ctr"/>
        <c:lblOffset val="100"/>
        <c:noMultiLvlLbl val="0"/>
      </c:cat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cs-CZ"/>
    </a:p>
  </c:txPr>
  <c:externalData r:id="rId1">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5.2077824230695367E-2"/>
          <c:y val="7.4261603756587649E-2"/>
          <c:w val="0.92488088414235592"/>
          <c:h val="0.66841268457930514"/>
        </c:manualLayout>
      </c:layout>
      <c:lineChart>
        <c:grouping val="standard"/>
        <c:varyColors val="0"/>
        <c:ser>
          <c:idx val="0"/>
          <c:order val="0"/>
          <c:tx>
            <c:strRef>
              <c:f>'Grafy přehled'!$A$3</c:f>
              <c:strCache>
                <c:ptCount val="1"/>
                <c:pt idx="0">
                  <c:v>PNO město</c:v>
                </c:pt>
              </c:strCache>
            </c:strRef>
          </c:tx>
          <c:spPr>
            <a:ln w="28575" cap="rnd">
              <a:solidFill>
                <a:srgbClr val="FF0000"/>
              </a:solidFill>
              <a:round/>
            </a:ln>
            <a:effectLst/>
          </c:spPr>
          <c:marker>
            <c:symbol val="none"/>
          </c:marker>
          <c:dLbls>
            <c:spPr>
              <a:solidFill>
                <a:schemeClr val="bg1"/>
              </a:solidFill>
              <a:ln>
                <a:solidFill>
                  <a:schemeClr val="bg1"/>
                </a:solidFill>
              </a:ln>
              <a:effectLst/>
            </c:spPr>
            <c:txPr>
              <a:bodyPr rot="0" spcFirstLastPara="1" vertOverflow="ellipsis" vert="horz" wrap="square" lIns="38100" tIns="19050" rIns="38100" bIns="19050" anchor="ctr" anchorCtr="1">
                <a:spAutoFit/>
              </a:bodyPr>
              <a:lstStyle/>
              <a:p>
                <a:pPr>
                  <a:defRPr sz="900" b="0" i="0" u="none" strike="noStrike" kern="1200" baseline="0">
                    <a:solidFill>
                      <a:srgbClr val="FF0000"/>
                    </a:solidFill>
                    <a:latin typeface="+mn-lt"/>
                    <a:ea typeface="+mn-ea"/>
                    <a:cs typeface="+mn-cs"/>
                  </a:defRPr>
                </a:pPr>
                <a:endParaRPr lang="cs-CZ"/>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'Grafy přehled'!$B$2:$Q$2</c:f>
              <c:strCache>
                <c:ptCount val="16"/>
                <c:pt idx="0">
                  <c:v>III.15</c:v>
                </c:pt>
                <c:pt idx="1">
                  <c:v>VI.15</c:v>
                </c:pt>
                <c:pt idx="2">
                  <c:v>IX.15</c:v>
                </c:pt>
                <c:pt idx="3">
                  <c:v>XII.15</c:v>
                </c:pt>
                <c:pt idx="4">
                  <c:v>III.16</c:v>
                </c:pt>
                <c:pt idx="5">
                  <c:v>VI.16</c:v>
                </c:pt>
                <c:pt idx="6">
                  <c:v>IX.16</c:v>
                </c:pt>
                <c:pt idx="7">
                  <c:v>XII.16</c:v>
                </c:pt>
                <c:pt idx="8">
                  <c:v>III.17</c:v>
                </c:pt>
                <c:pt idx="9">
                  <c:v>VI.17</c:v>
                </c:pt>
                <c:pt idx="10">
                  <c:v>IX.17</c:v>
                </c:pt>
                <c:pt idx="11">
                  <c:v>XII.17</c:v>
                </c:pt>
                <c:pt idx="12">
                  <c:v>III.18</c:v>
                </c:pt>
                <c:pt idx="13">
                  <c:v>VI.18</c:v>
                </c:pt>
                <c:pt idx="14">
                  <c:v>IX.18</c:v>
                </c:pt>
                <c:pt idx="15">
                  <c:v>XII.18</c:v>
                </c:pt>
              </c:strCache>
            </c:strRef>
          </c:cat>
          <c:val>
            <c:numRef>
              <c:f>'Grafy přehled'!$B$3:$Q$3</c:f>
              <c:numCache>
                <c:formatCode>General</c:formatCode>
                <c:ptCount val="16"/>
                <c:pt idx="0">
                  <c:v>7.2</c:v>
                </c:pt>
                <c:pt idx="1">
                  <c:v>6.4</c:v>
                </c:pt>
                <c:pt idx="2">
                  <c:v>6.2</c:v>
                </c:pt>
                <c:pt idx="3">
                  <c:v>6.2</c:v>
                </c:pt>
                <c:pt idx="4">
                  <c:v>6.1</c:v>
                </c:pt>
                <c:pt idx="5">
                  <c:v>5.5</c:v>
                </c:pt>
                <c:pt idx="6">
                  <c:v>5.3</c:v>
                </c:pt>
                <c:pt idx="7">
                  <c:v>5.2</c:v>
                </c:pt>
                <c:pt idx="8">
                  <c:v>4.9000000000000004</c:v>
                </c:pt>
                <c:pt idx="9">
                  <c:v>4.2</c:v>
                </c:pt>
                <c:pt idx="10" formatCode="0.0">
                  <c:v>3.948178707890007</c:v>
                </c:pt>
                <c:pt idx="11" formatCode="0.0">
                  <c:v>3.772533093046281</c:v>
                </c:pt>
                <c:pt idx="12" formatCode="0.0">
                  <c:v>3.5245706011981</c:v>
                </c:pt>
                <c:pt idx="13" formatCode="0.0">
                  <c:v>3.0744079109619009</c:v>
                </c:pt>
                <c:pt idx="14" formatCode="0.0">
                  <c:v>3.072240033731374</c:v>
                </c:pt>
                <c:pt idx="15" formatCode="0.0">
                  <c:v>3.0728366971893175</c:v>
                </c:pt>
              </c:numCache>
            </c:numRef>
          </c:val>
          <c:smooth val="0"/>
          <c:extLst>
            <c:ext xmlns:c16="http://schemas.microsoft.com/office/drawing/2014/chart" uri="{C3380CC4-5D6E-409C-BE32-E72D297353CC}">
              <c16:uniqueId val="{00000000-D420-4A60-8CF2-F730FB51EF5E}"/>
            </c:ext>
          </c:extLst>
        </c:ser>
        <c:ser>
          <c:idx val="1"/>
          <c:order val="1"/>
          <c:tx>
            <c:strRef>
              <c:f>'Grafy přehled'!$A$4</c:f>
              <c:strCache>
                <c:ptCount val="1"/>
                <c:pt idx="0">
                  <c:v>PNO venkov </c:v>
                </c:pt>
              </c:strCache>
            </c:strRef>
          </c:tx>
          <c:spPr>
            <a:ln w="28575" cap="rnd">
              <a:solidFill>
                <a:srgbClr val="00B050"/>
              </a:solidFill>
              <a:round/>
            </a:ln>
            <a:effectLst/>
          </c:spPr>
          <c:marker>
            <c:symbol val="none"/>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rgbClr val="00B050"/>
                    </a:solidFill>
                    <a:latin typeface="+mn-lt"/>
                    <a:ea typeface="+mn-ea"/>
                    <a:cs typeface="+mn-cs"/>
                  </a:defRPr>
                </a:pPr>
                <a:endParaRPr lang="cs-CZ"/>
              </a:p>
            </c:txPr>
            <c:dLblPos val="b"/>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'Grafy přehled'!$B$2:$Q$2</c:f>
              <c:strCache>
                <c:ptCount val="16"/>
                <c:pt idx="0">
                  <c:v>III.15</c:v>
                </c:pt>
                <c:pt idx="1">
                  <c:v>VI.15</c:v>
                </c:pt>
                <c:pt idx="2">
                  <c:v>IX.15</c:v>
                </c:pt>
                <c:pt idx="3">
                  <c:v>XII.15</c:v>
                </c:pt>
                <c:pt idx="4">
                  <c:v>III.16</c:v>
                </c:pt>
                <c:pt idx="5">
                  <c:v>VI.16</c:v>
                </c:pt>
                <c:pt idx="6">
                  <c:v>IX.16</c:v>
                </c:pt>
                <c:pt idx="7">
                  <c:v>XII.16</c:v>
                </c:pt>
                <c:pt idx="8">
                  <c:v>III.17</c:v>
                </c:pt>
                <c:pt idx="9">
                  <c:v>VI.17</c:v>
                </c:pt>
                <c:pt idx="10">
                  <c:v>IX.17</c:v>
                </c:pt>
                <c:pt idx="11">
                  <c:v>XII.17</c:v>
                </c:pt>
                <c:pt idx="12">
                  <c:v>III.18</c:v>
                </c:pt>
                <c:pt idx="13">
                  <c:v>VI.18</c:v>
                </c:pt>
                <c:pt idx="14">
                  <c:v>IX.18</c:v>
                </c:pt>
                <c:pt idx="15">
                  <c:v>XII.18</c:v>
                </c:pt>
              </c:strCache>
            </c:strRef>
          </c:cat>
          <c:val>
            <c:numRef>
              <c:f>'Grafy přehled'!$B$4:$Q$4</c:f>
              <c:numCache>
                <c:formatCode>General</c:formatCode>
                <c:ptCount val="16"/>
                <c:pt idx="0">
                  <c:v>6.7</c:v>
                </c:pt>
                <c:pt idx="1">
                  <c:v>5.2</c:v>
                </c:pt>
                <c:pt idx="2">
                  <c:v>5.2</c:v>
                </c:pt>
                <c:pt idx="3">
                  <c:v>5.8</c:v>
                </c:pt>
                <c:pt idx="4">
                  <c:v>5.6</c:v>
                </c:pt>
                <c:pt idx="5">
                  <c:v>4.4000000000000004</c:v>
                </c:pt>
                <c:pt idx="6">
                  <c:v>4.3</c:v>
                </c:pt>
                <c:pt idx="7">
                  <c:v>4.8</c:v>
                </c:pt>
                <c:pt idx="8">
                  <c:v>4.4000000000000004</c:v>
                </c:pt>
                <c:pt idx="9">
                  <c:v>3.2</c:v>
                </c:pt>
                <c:pt idx="10" formatCode="0.0">
                  <c:v>3.1415723384394014</c:v>
                </c:pt>
                <c:pt idx="11" formatCode="0.0">
                  <c:v>3.4887934569427799</c:v>
                </c:pt>
                <c:pt idx="12" formatCode="0.0">
                  <c:v>3.2328382057838807</c:v>
                </c:pt>
                <c:pt idx="13" formatCode="0.0">
                  <c:v>2.3967059188183204</c:v>
                </c:pt>
                <c:pt idx="14" formatCode="0.0">
                  <c:v>2.4616362990217691</c:v>
                </c:pt>
                <c:pt idx="15" formatCode="0.0">
                  <c:v>2.8585933888581607</c:v>
                </c:pt>
              </c:numCache>
            </c:numRef>
          </c:val>
          <c:smooth val="0"/>
          <c:extLst>
            <c:ext xmlns:c16="http://schemas.microsoft.com/office/drawing/2014/chart" uri="{C3380CC4-5D6E-409C-BE32-E72D297353CC}">
              <c16:uniqueId val="{00000001-D420-4A60-8CF2-F730FB51EF5E}"/>
            </c:ext>
          </c:extLst>
        </c:ser>
        <c:ser>
          <c:idx val="2"/>
          <c:order val="2"/>
          <c:tx>
            <c:strRef>
              <c:f>'Grafy přehled'!$A$5</c:f>
              <c:strCache>
                <c:ptCount val="1"/>
                <c:pt idx="0">
                  <c:v>PNO ČR</c:v>
                </c:pt>
              </c:strCache>
            </c:strRef>
          </c:tx>
          <c:spPr>
            <a:ln w="28575" cap="rnd">
              <a:solidFill>
                <a:schemeClr val="accent3"/>
              </a:solidFill>
              <a:round/>
            </a:ln>
            <a:effectLst/>
          </c:spPr>
          <c:marker>
            <c:symbol val="none"/>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cs-CZ"/>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'Grafy přehled'!$B$2:$Q$2</c:f>
              <c:strCache>
                <c:ptCount val="16"/>
                <c:pt idx="0">
                  <c:v>III.15</c:v>
                </c:pt>
                <c:pt idx="1">
                  <c:v>VI.15</c:v>
                </c:pt>
                <c:pt idx="2">
                  <c:v>IX.15</c:v>
                </c:pt>
                <c:pt idx="3">
                  <c:v>XII.15</c:v>
                </c:pt>
                <c:pt idx="4">
                  <c:v>III.16</c:v>
                </c:pt>
                <c:pt idx="5">
                  <c:v>VI.16</c:v>
                </c:pt>
                <c:pt idx="6">
                  <c:v>IX.16</c:v>
                </c:pt>
                <c:pt idx="7">
                  <c:v>XII.16</c:v>
                </c:pt>
                <c:pt idx="8">
                  <c:v>III.17</c:v>
                </c:pt>
                <c:pt idx="9">
                  <c:v>VI.17</c:v>
                </c:pt>
                <c:pt idx="10">
                  <c:v>IX.17</c:v>
                </c:pt>
                <c:pt idx="11">
                  <c:v>XII.17</c:v>
                </c:pt>
                <c:pt idx="12">
                  <c:v>III.18</c:v>
                </c:pt>
                <c:pt idx="13">
                  <c:v>VI.18</c:v>
                </c:pt>
                <c:pt idx="14">
                  <c:v>IX.18</c:v>
                </c:pt>
                <c:pt idx="15">
                  <c:v>XII.18</c:v>
                </c:pt>
              </c:strCache>
            </c:strRef>
          </c:cat>
          <c:val>
            <c:numRef>
              <c:f>'Grafy přehled'!$B$5:$Q$5</c:f>
              <c:numCache>
                <c:formatCode>General</c:formatCode>
                <c:ptCount val="16"/>
                <c:pt idx="0">
                  <c:v>7.1</c:v>
                </c:pt>
                <c:pt idx="1">
                  <c:v>6.1</c:v>
                </c:pt>
                <c:pt idx="2">
                  <c:v>5.9</c:v>
                </c:pt>
                <c:pt idx="3">
                  <c:v>6.1</c:v>
                </c:pt>
                <c:pt idx="4">
                  <c:v>6</c:v>
                </c:pt>
                <c:pt idx="5">
                  <c:v>5.2</c:v>
                </c:pt>
                <c:pt idx="6">
                  <c:v>5.0999999999999996</c:v>
                </c:pt>
                <c:pt idx="7">
                  <c:v>5.0999999999999996</c:v>
                </c:pt>
                <c:pt idx="8">
                  <c:v>4.7</c:v>
                </c:pt>
                <c:pt idx="9">
                  <c:v>3.9</c:v>
                </c:pt>
                <c:pt idx="10" formatCode="0.0">
                  <c:v>3.7288788401732309</c:v>
                </c:pt>
                <c:pt idx="11" formatCode="0.0">
                  <c:v>3.6953900564671307</c:v>
                </c:pt>
                <c:pt idx="12" formatCode="0.0">
                  <c:v>3.4454454468963407</c:v>
                </c:pt>
                <c:pt idx="13" formatCode="0.0">
                  <c:v>2.8905981060109185</c:v>
                </c:pt>
                <c:pt idx="14" formatCode="0.0">
                  <c:v>2.9066289617846719</c:v>
                </c:pt>
                <c:pt idx="15" formatCode="0.0">
                  <c:v>3.0147285299226936</c:v>
                </c:pt>
              </c:numCache>
            </c:numRef>
          </c:val>
          <c:smooth val="0"/>
          <c:extLst>
            <c:ext xmlns:c16="http://schemas.microsoft.com/office/drawing/2014/chart" uri="{C3380CC4-5D6E-409C-BE32-E72D297353CC}">
              <c16:uniqueId val="{00000002-D420-4A60-8CF2-F730FB51EF5E}"/>
            </c:ext>
          </c:extLst>
        </c:ser>
        <c:dLbls>
          <c:showLegendKey val="0"/>
          <c:showVal val="0"/>
          <c:showCatName val="0"/>
          <c:showSerName val="0"/>
          <c:showPercent val="0"/>
          <c:showBubbleSize val="0"/>
        </c:dLbls>
        <c:smooth val="0"/>
        <c:axId val="114203264"/>
        <c:axId val="114209152"/>
      </c:lineChart>
      <c:catAx>
        <c:axId val="11420326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114209152"/>
        <c:crosses val="autoZero"/>
        <c:auto val="1"/>
        <c:lblAlgn val="ctr"/>
        <c:lblOffset val="100"/>
        <c:noMultiLvlLbl val="0"/>
      </c:catAx>
      <c:valAx>
        <c:axId val="114209152"/>
        <c:scaling>
          <c:orientation val="minMax"/>
          <c:min val="0"/>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11420326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cs-CZ"/>
    </a:p>
  </c:txPr>
  <c:externalData r:id="rId1">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5.9501643988201867E-2"/>
          <c:y val="2.6519330026808886E-2"/>
          <c:w val="0.92381454072511382"/>
          <c:h val="0.77259543395990793"/>
        </c:manualLayout>
      </c:layout>
      <c:lineChart>
        <c:grouping val="standard"/>
        <c:varyColors val="0"/>
        <c:ser>
          <c:idx val="0"/>
          <c:order val="0"/>
          <c:tx>
            <c:strRef>
              <c:f>MPSV!$A$127</c:f>
              <c:strCache>
                <c:ptCount val="1"/>
                <c:pt idx="0">
                  <c:v>Praha (M)</c:v>
                </c:pt>
              </c:strCache>
            </c:strRef>
          </c:tx>
          <c:spPr>
            <a:ln w="28575" cap="rnd">
              <a:solidFill>
                <a:srgbClr val="FF0000"/>
              </a:solidFill>
              <a:round/>
            </a:ln>
            <a:effectLst/>
          </c:spPr>
          <c:marker>
            <c:symbol val="none"/>
          </c:marker>
          <c:cat>
            <c:numRef>
              <c:f>MPSV!$B$126:$O$126</c:f>
              <c:numCache>
                <c:formatCode>0</c:formatCode>
                <c:ptCount val="14"/>
                <c:pt idx="0">
                  <c:v>2005</c:v>
                </c:pt>
                <c:pt idx="1">
                  <c:v>2006</c:v>
                </c:pt>
                <c:pt idx="2">
                  <c:v>2007</c:v>
                </c:pt>
                <c:pt idx="3">
                  <c:v>2008</c:v>
                </c:pt>
                <c:pt idx="4">
                  <c:v>2009</c:v>
                </c:pt>
                <c:pt idx="5">
                  <c:v>2010</c:v>
                </c:pt>
                <c:pt idx="6">
                  <c:v>2011</c:v>
                </c:pt>
                <c:pt idx="7">
                  <c:v>2012</c:v>
                </c:pt>
                <c:pt idx="8">
                  <c:v>2013</c:v>
                </c:pt>
                <c:pt idx="9">
                  <c:v>2014</c:v>
                </c:pt>
                <c:pt idx="10">
                  <c:v>2015</c:v>
                </c:pt>
                <c:pt idx="11">
                  <c:v>2016</c:v>
                </c:pt>
                <c:pt idx="12">
                  <c:v>2017</c:v>
                </c:pt>
                <c:pt idx="13">
                  <c:v>2018</c:v>
                </c:pt>
              </c:numCache>
            </c:numRef>
          </c:cat>
          <c:val>
            <c:numRef>
              <c:f>MPSV!$B$127:$O$127</c:f>
              <c:numCache>
                <c:formatCode>General</c:formatCode>
                <c:ptCount val="14"/>
                <c:pt idx="0">
                  <c:v>2.7878536075139668</c:v>
                </c:pt>
                <c:pt idx="1">
                  <c:v>2.4770865311570707</c:v>
                </c:pt>
                <c:pt idx="2">
                  <c:v>2.0522960144878595</c:v>
                </c:pt>
                <c:pt idx="3">
                  <c:v>1.7686737382084168</c:v>
                </c:pt>
                <c:pt idx="4">
                  <c:v>2.6038611756413284</c:v>
                </c:pt>
                <c:pt idx="5">
                  <c:v>3.503804797262728</c:v>
                </c:pt>
                <c:pt idx="6">
                  <c:v>3.6346125188965654</c:v>
                </c:pt>
                <c:pt idx="7">
                  <c:v>3.8529007159352089</c:v>
                </c:pt>
                <c:pt idx="8">
                  <c:v>4.7972423756711278</c:v>
                </c:pt>
                <c:pt idx="9">
                  <c:v>5.265404651564447</c:v>
                </c:pt>
                <c:pt idx="10">
                  <c:v>4.6435869024078951</c:v>
                </c:pt>
                <c:pt idx="11">
                  <c:v>3.878384136898362</c:v>
                </c:pt>
                <c:pt idx="12">
                  <c:v>2.9113417479053534</c:v>
                </c:pt>
                <c:pt idx="13">
                  <c:v>2.1</c:v>
                </c:pt>
              </c:numCache>
            </c:numRef>
          </c:val>
          <c:smooth val="0"/>
          <c:extLst>
            <c:ext xmlns:c16="http://schemas.microsoft.com/office/drawing/2014/chart" uri="{C3380CC4-5D6E-409C-BE32-E72D297353CC}">
              <c16:uniqueId val="{00000000-E9B8-4790-A330-F039642F6F43}"/>
            </c:ext>
          </c:extLst>
        </c:ser>
        <c:ser>
          <c:idx val="1"/>
          <c:order val="1"/>
          <c:tx>
            <c:strRef>
              <c:f>MPSV!$A$128</c:f>
              <c:strCache>
                <c:ptCount val="1"/>
                <c:pt idx="0">
                  <c:v>Plzeňský kraj (V)</c:v>
                </c:pt>
              </c:strCache>
            </c:strRef>
          </c:tx>
          <c:spPr>
            <a:ln w="38100" cap="rnd">
              <a:solidFill>
                <a:srgbClr val="00B050"/>
              </a:solidFill>
              <a:prstDash val="sysDot"/>
              <a:round/>
            </a:ln>
            <a:effectLst/>
          </c:spPr>
          <c:marker>
            <c:symbol val="none"/>
          </c:marker>
          <c:cat>
            <c:numRef>
              <c:f>MPSV!$B$126:$O$126</c:f>
              <c:numCache>
                <c:formatCode>0</c:formatCode>
                <c:ptCount val="14"/>
                <c:pt idx="0">
                  <c:v>2005</c:v>
                </c:pt>
                <c:pt idx="1">
                  <c:v>2006</c:v>
                </c:pt>
                <c:pt idx="2">
                  <c:v>2007</c:v>
                </c:pt>
                <c:pt idx="3">
                  <c:v>2008</c:v>
                </c:pt>
                <c:pt idx="4">
                  <c:v>2009</c:v>
                </c:pt>
                <c:pt idx="5">
                  <c:v>2010</c:v>
                </c:pt>
                <c:pt idx="6">
                  <c:v>2011</c:v>
                </c:pt>
                <c:pt idx="7">
                  <c:v>2012</c:v>
                </c:pt>
                <c:pt idx="8">
                  <c:v>2013</c:v>
                </c:pt>
                <c:pt idx="9">
                  <c:v>2014</c:v>
                </c:pt>
                <c:pt idx="10">
                  <c:v>2015</c:v>
                </c:pt>
                <c:pt idx="11">
                  <c:v>2016</c:v>
                </c:pt>
                <c:pt idx="12">
                  <c:v>2017</c:v>
                </c:pt>
                <c:pt idx="13">
                  <c:v>2018</c:v>
                </c:pt>
              </c:numCache>
            </c:numRef>
          </c:cat>
          <c:val>
            <c:numRef>
              <c:f>MPSV!$B$128:$O$128</c:f>
              <c:numCache>
                <c:formatCode>General</c:formatCode>
                <c:ptCount val="14"/>
                <c:pt idx="0">
                  <c:v>4.8417769407793614</c:v>
                </c:pt>
                <c:pt idx="1">
                  <c:v>4.5273818147059544</c:v>
                </c:pt>
                <c:pt idx="2">
                  <c:v>3.739292309685518</c:v>
                </c:pt>
                <c:pt idx="3">
                  <c:v>3.2827338210356563</c:v>
                </c:pt>
                <c:pt idx="4">
                  <c:v>5.5622248336824063</c:v>
                </c:pt>
                <c:pt idx="5">
                  <c:v>6.2806747970960082</c:v>
                </c:pt>
                <c:pt idx="6">
                  <c:v>5.7515042668390546</c:v>
                </c:pt>
                <c:pt idx="7">
                  <c:v>5.4411797489342062</c:v>
                </c:pt>
                <c:pt idx="8">
                  <c:v>6.2043564643614371</c:v>
                </c:pt>
                <c:pt idx="9">
                  <c:v>5.8675446416368313</c:v>
                </c:pt>
                <c:pt idx="10">
                  <c:v>4.8504558851744619</c:v>
                </c:pt>
                <c:pt idx="11">
                  <c:v>3.9417522389125557</c:v>
                </c:pt>
                <c:pt idx="12">
                  <c:v>2.7877287740345675</c:v>
                </c:pt>
                <c:pt idx="13">
                  <c:v>2.1</c:v>
                </c:pt>
              </c:numCache>
            </c:numRef>
          </c:val>
          <c:smooth val="0"/>
          <c:extLst>
            <c:ext xmlns:c16="http://schemas.microsoft.com/office/drawing/2014/chart" uri="{C3380CC4-5D6E-409C-BE32-E72D297353CC}">
              <c16:uniqueId val="{00000001-E9B8-4790-A330-F039642F6F43}"/>
            </c:ext>
          </c:extLst>
        </c:ser>
        <c:ser>
          <c:idx val="2"/>
          <c:order val="2"/>
          <c:tx>
            <c:strRef>
              <c:f>MPSV!$A$129</c:f>
              <c:strCache>
                <c:ptCount val="1"/>
                <c:pt idx="0">
                  <c:v>Jihočeský kraj (V)</c:v>
                </c:pt>
              </c:strCache>
            </c:strRef>
          </c:tx>
          <c:spPr>
            <a:ln w="28575" cap="rnd">
              <a:solidFill>
                <a:srgbClr val="00B050"/>
              </a:solidFill>
              <a:prstDash val="lgDash"/>
              <a:round/>
            </a:ln>
            <a:effectLst/>
          </c:spPr>
          <c:marker>
            <c:symbol val="none"/>
          </c:marker>
          <c:cat>
            <c:numRef>
              <c:f>MPSV!$B$126:$O$126</c:f>
              <c:numCache>
                <c:formatCode>0</c:formatCode>
                <c:ptCount val="14"/>
                <c:pt idx="0">
                  <c:v>2005</c:v>
                </c:pt>
                <c:pt idx="1">
                  <c:v>2006</c:v>
                </c:pt>
                <c:pt idx="2">
                  <c:v>2007</c:v>
                </c:pt>
                <c:pt idx="3">
                  <c:v>2008</c:v>
                </c:pt>
                <c:pt idx="4">
                  <c:v>2009</c:v>
                </c:pt>
                <c:pt idx="5">
                  <c:v>2010</c:v>
                </c:pt>
                <c:pt idx="6">
                  <c:v>2011</c:v>
                </c:pt>
                <c:pt idx="7">
                  <c:v>2012</c:v>
                </c:pt>
                <c:pt idx="8">
                  <c:v>2013</c:v>
                </c:pt>
                <c:pt idx="9">
                  <c:v>2014</c:v>
                </c:pt>
                <c:pt idx="10">
                  <c:v>2015</c:v>
                </c:pt>
                <c:pt idx="11">
                  <c:v>2016</c:v>
                </c:pt>
                <c:pt idx="12">
                  <c:v>2017</c:v>
                </c:pt>
                <c:pt idx="13">
                  <c:v>2018</c:v>
                </c:pt>
              </c:numCache>
            </c:numRef>
          </c:cat>
          <c:val>
            <c:numRef>
              <c:f>MPSV!$B$129:$O$129</c:f>
              <c:numCache>
                <c:formatCode>General</c:formatCode>
                <c:ptCount val="14"/>
                <c:pt idx="0">
                  <c:v>4.6348801102120154</c:v>
                </c:pt>
                <c:pt idx="1">
                  <c:v>4.4400950777406054</c:v>
                </c:pt>
                <c:pt idx="2">
                  <c:v>3.5445896520685869</c:v>
                </c:pt>
                <c:pt idx="3">
                  <c:v>3.0589994898917761</c:v>
                </c:pt>
                <c:pt idx="4">
                  <c:v>4.946600194954021</c:v>
                </c:pt>
                <c:pt idx="5">
                  <c:v>5.6166453016828219</c:v>
                </c:pt>
                <c:pt idx="6">
                  <c:v>5.5954801210753278</c:v>
                </c:pt>
                <c:pt idx="7">
                  <c:v>5.7002933252243366</c:v>
                </c:pt>
                <c:pt idx="8">
                  <c:v>6.4685077306325303</c:v>
                </c:pt>
                <c:pt idx="9">
                  <c:v>6.4314288794847796</c:v>
                </c:pt>
                <c:pt idx="10">
                  <c:v>5.159075958216933</c:v>
                </c:pt>
                <c:pt idx="11">
                  <c:v>4.3572783282573893</c:v>
                </c:pt>
                <c:pt idx="12">
                  <c:v>3.2540064346496909</c:v>
                </c:pt>
                <c:pt idx="13">
                  <c:v>2.4</c:v>
                </c:pt>
              </c:numCache>
            </c:numRef>
          </c:val>
          <c:smooth val="0"/>
          <c:extLst>
            <c:ext xmlns:c16="http://schemas.microsoft.com/office/drawing/2014/chart" uri="{C3380CC4-5D6E-409C-BE32-E72D297353CC}">
              <c16:uniqueId val="{00000002-E9B8-4790-A330-F039642F6F43}"/>
            </c:ext>
          </c:extLst>
        </c:ser>
        <c:ser>
          <c:idx val="3"/>
          <c:order val="3"/>
          <c:tx>
            <c:strRef>
              <c:f>MPSV!$A$130</c:f>
              <c:strCache>
                <c:ptCount val="1"/>
                <c:pt idx="0">
                  <c:v>Středočeský kraj (M)</c:v>
                </c:pt>
              </c:strCache>
            </c:strRef>
          </c:tx>
          <c:spPr>
            <a:ln w="38100" cap="rnd">
              <a:solidFill>
                <a:srgbClr val="FF0000"/>
              </a:solidFill>
              <a:prstDash val="sysDot"/>
              <a:round/>
            </a:ln>
            <a:effectLst/>
          </c:spPr>
          <c:marker>
            <c:symbol val="none"/>
          </c:marker>
          <c:cat>
            <c:numRef>
              <c:f>MPSV!$B$126:$O$126</c:f>
              <c:numCache>
                <c:formatCode>0</c:formatCode>
                <c:ptCount val="14"/>
                <c:pt idx="0">
                  <c:v>2005</c:v>
                </c:pt>
                <c:pt idx="1">
                  <c:v>2006</c:v>
                </c:pt>
                <c:pt idx="2">
                  <c:v>2007</c:v>
                </c:pt>
                <c:pt idx="3">
                  <c:v>2008</c:v>
                </c:pt>
                <c:pt idx="4">
                  <c:v>2009</c:v>
                </c:pt>
                <c:pt idx="5">
                  <c:v>2010</c:v>
                </c:pt>
                <c:pt idx="6">
                  <c:v>2011</c:v>
                </c:pt>
                <c:pt idx="7">
                  <c:v>2012</c:v>
                </c:pt>
                <c:pt idx="8">
                  <c:v>2013</c:v>
                </c:pt>
                <c:pt idx="9">
                  <c:v>2014</c:v>
                </c:pt>
                <c:pt idx="10">
                  <c:v>2015</c:v>
                </c:pt>
                <c:pt idx="11">
                  <c:v>2016</c:v>
                </c:pt>
                <c:pt idx="12">
                  <c:v>2017</c:v>
                </c:pt>
                <c:pt idx="13">
                  <c:v>2018</c:v>
                </c:pt>
              </c:numCache>
            </c:numRef>
          </c:cat>
          <c:val>
            <c:numRef>
              <c:f>MPSV!$B$130:$O$130</c:f>
              <c:numCache>
                <c:formatCode>General</c:formatCode>
                <c:ptCount val="14"/>
                <c:pt idx="0">
                  <c:v>4.7705751601126005</c:v>
                </c:pt>
                <c:pt idx="1">
                  <c:v>4.2889048712861397</c:v>
                </c:pt>
                <c:pt idx="2">
                  <c:v>3.5248170957760228</c:v>
                </c:pt>
                <c:pt idx="3">
                  <c:v>3.0436827189461479</c:v>
                </c:pt>
                <c:pt idx="4">
                  <c:v>4.5730130922140715</c:v>
                </c:pt>
                <c:pt idx="5">
                  <c:v>5.627311206080944</c:v>
                </c:pt>
                <c:pt idx="6">
                  <c:v>5.6202669513503594</c:v>
                </c:pt>
                <c:pt idx="7">
                  <c:v>5.6864100795653867</c:v>
                </c:pt>
                <c:pt idx="8">
                  <c:v>6.4785194059475932</c:v>
                </c:pt>
                <c:pt idx="9">
                  <c:v>6.6127135620637212</c:v>
                </c:pt>
                <c:pt idx="10">
                  <c:v>5.7172124190429736</c:v>
                </c:pt>
                <c:pt idx="11">
                  <c:v>4.7455743620402355</c:v>
                </c:pt>
                <c:pt idx="12">
                  <c:v>3.5811708179711967</c:v>
                </c:pt>
                <c:pt idx="13">
                  <c:v>2.8</c:v>
                </c:pt>
              </c:numCache>
            </c:numRef>
          </c:val>
          <c:smooth val="0"/>
          <c:extLst>
            <c:ext xmlns:c16="http://schemas.microsoft.com/office/drawing/2014/chart" uri="{C3380CC4-5D6E-409C-BE32-E72D297353CC}">
              <c16:uniqueId val="{00000003-E9B8-4790-A330-F039642F6F43}"/>
            </c:ext>
          </c:extLst>
        </c:ser>
        <c:ser>
          <c:idx val="4"/>
          <c:order val="4"/>
          <c:tx>
            <c:strRef>
              <c:f>MPSV!$A$131</c:f>
              <c:strCache>
                <c:ptCount val="1"/>
                <c:pt idx="0">
                  <c:v>Královéhradecký kraj</c:v>
                </c:pt>
              </c:strCache>
            </c:strRef>
          </c:tx>
          <c:spPr>
            <a:ln w="38100" cap="rnd">
              <a:solidFill>
                <a:schemeClr val="bg1">
                  <a:lumMod val="50000"/>
                </a:schemeClr>
              </a:solidFill>
              <a:prstDash val="dash"/>
              <a:round/>
            </a:ln>
            <a:effectLst/>
          </c:spPr>
          <c:marker>
            <c:symbol val="none"/>
          </c:marker>
          <c:cat>
            <c:numRef>
              <c:f>MPSV!$B$126:$O$126</c:f>
              <c:numCache>
                <c:formatCode>0</c:formatCode>
                <c:ptCount val="14"/>
                <c:pt idx="0">
                  <c:v>2005</c:v>
                </c:pt>
                <c:pt idx="1">
                  <c:v>2006</c:v>
                </c:pt>
                <c:pt idx="2">
                  <c:v>2007</c:v>
                </c:pt>
                <c:pt idx="3">
                  <c:v>2008</c:v>
                </c:pt>
                <c:pt idx="4">
                  <c:v>2009</c:v>
                </c:pt>
                <c:pt idx="5">
                  <c:v>2010</c:v>
                </c:pt>
                <c:pt idx="6">
                  <c:v>2011</c:v>
                </c:pt>
                <c:pt idx="7">
                  <c:v>2012</c:v>
                </c:pt>
                <c:pt idx="8">
                  <c:v>2013</c:v>
                </c:pt>
                <c:pt idx="9">
                  <c:v>2014</c:v>
                </c:pt>
                <c:pt idx="10">
                  <c:v>2015</c:v>
                </c:pt>
                <c:pt idx="11">
                  <c:v>2016</c:v>
                </c:pt>
                <c:pt idx="12">
                  <c:v>2017</c:v>
                </c:pt>
                <c:pt idx="13">
                  <c:v>2018</c:v>
                </c:pt>
              </c:numCache>
            </c:numRef>
          </c:cat>
          <c:val>
            <c:numRef>
              <c:f>MPSV!$B$131:$O$131</c:f>
              <c:numCache>
                <c:formatCode>General</c:formatCode>
                <c:ptCount val="14"/>
                <c:pt idx="0">
                  <c:v>5.3541394925737711</c:v>
                </c:pt>
                <c:pt idx="1">
                  <c:v>4.9399869958210374</c:v>
                </c:pt>
                <c:pt idx="2">
                  <c:v>3.8865566389732633</c:v>
                </c:pt>
                <c:pt idx="3">
                  <c:v>3.1511937527635787</c:v>
                </c:pt>
                <c:pt idx="4">
                  <c:v>5.1158312147025429</c:v>
                </c:pt>
                <c:pt idx="5">
                  <c:v>5.739943254562168</c:v>
                </c:pt>
                <c:pt idx="6">
                  <c:v>5.4814715582504672</c:v>
                </c:pt>
                <c:pt idx="7">
                  <c:v>5.7025499890278724</c:v>
                </c:pt>
                <c:pt idx="8">
                  <c:v>6.8200430397394856</c:v>
                </c:pt>
                <c:pt idx="9">
                  <c:v>6.6621564297225362</c:v>
                </c:pt>
                <c:pt idx="10">
                  <c:v>5.2725939618984263</c:v>
                </c:pt>
                <c:pt idx="11">
                  <c:v>4.1258726941900878</c:v>
                </c:pt>
                <c:pt idx="12">
                  <c:v>3.0265006754861745</c:v>
                </c:pt>
                <c:pt idx="13">
                  <c:v>2.2999999999999998</c:v>
                </c:pt>
              </c:numCache>
            </c:numRef>
          </c:val>
          <c:smooth val="0"/>
          <c:extLst>
            <c:ext xmlns:c16="http://schemas.microsoft.com/office/drawing/2014/chart" uri="{C3380CC4-5D6E-409C-BE32-E72D297353CC}">
              <c16:uniqueId val="{00000004-E9B8-4790-A330-F039642F6F43}"/>
            </c:ext>
          </c:extLst>
        </c:ser>
        <c:ser>
          <c:idx val="5"/>
          <c:order val="5"/>
          <c:tx>
            <c:strRef>
              <c:f>MPSV!$A$132</c:f>
              <c:strCache>
                <c:ptCount val="1"/>
                <c:pt idx="0">
                  <c:v>Pardubický kraj (V)</c:v>
                </c:pt>
              </c:strCache>
            </c:strRef>
          </c:tx>
          <c:spPr>
            <a:ln w="28575" cap="rnd">
              <a:solidFill>
                <a:srgbClr val="00B050"/>
              </a:solidFill>
              <a:round/>
            </a:ln>
            <a:effectLst/>
          </c:spPr>
          <c:marker>
            <c:symbol val="none"/>
          </c:marker>
          <c:cat>
            <c:numRef>
              <c:f>MPSV!$B$126:$O$126</c:f>
              <c:numCache>
                <c:formatCode>0</c:formatCode>
                <c:ptCount val="14"/>
                <c:pt idx="0">
                  <c:v>2005</c:v>
                </c:pt>
                <c:pt idx="1">
                  <c:v>2006</c:v>
                </c:pt>
                <c:pt idx="2">
                  <c:v>2007</c:v>
                </c:pt>
                <c:pt idx="3">
                  <c:v>2008</c:v>
                </c:pt>
                <c:pt idx="4">
                  <c:v>2009</c:v>
                </c:pt>
                <c:pt idx="5">
                  <c:v>2010</c:v>
                </c:pt>
                <c:pt idx="6">
                  <c:v>2011</c:v>
                </c:pt>
                <c:pt idx="7">
                  <c:v>2012</c:v>
                </c:pt>
                <c:pt idx="8">
                  <c:v>2013</c:v>
                </c:pt>
                <c:pt idx="9">
                  <c:v>2014</c:v>
                </c:pt>
                <c:pt idx="10">
                  <c:v>2015</c:v>
                </c:pt>
                <c:pt idx="11">
                  <c:v>2016</c:v>
                </c:pt>
                <c:pt idx="12">
                  <c:v>2017</c:v>
                </c:pt>
                <c:pt idx="13">
                  <c:v>2018</c:v>
                </c:pt>
              </c:numCache>
            </c:numRef>
          </c:cat>
          <c:val>
            <c:numRef>
              <c:f>MPSV!$B$132:$O$132</c:f>
              <c:numCache>
                <c:formatCode>General</c:formatCode>
                <c:ptCount val="14"/>
                <c:pt idx="0">
                  <c:v>6.0351188598337231</c:v>
                </c:pt>
                <c:pt idx="1">
                  <c:v>5.4144071685923976</c:v>
                </c:pt>
                <c:pt idx="2">
                  <c:v>4.2745307235850643</c:v>
                </c:pt>
                <c:pt idx="3">
                  <c:v>3.7499026212475548</c:v>
                </c:pt>
                <c:pt idx="4">
                  <c:v>6.1142760468676434</c:v>
                </c:pt>
                <c:pt idx="5">
                  <c:v>6.9029264868700286</c:v>
                </c:pt>
                <c:pt idx="6">
                  <c:v>6.333794748991826</c:v>
                </c:pt>
                <c:pt idx="7">
                  <c:v>6.2196336725607777</c:v>
                </c:pt>
                <c:pt idx="8">
                  <c:v>7.016324098897825</c:v>
                </c:pt>
                <c:pt idx="9">
                  <c:v>6.6259290669332254</c:v>
                </c:pt>
                <c:pt idx="10">
                  <c:v>5.2331131008721625</c:v>
                </c:pt>
                <c:pt idx="11">
                  <c:v>4.3171219366850879</c:v>
                </c:pt>
                <c:pt idx="12">
                  <c:v>3.0580936846772664</c:v>
                </c:pt>
                <c:pt idx="13">
                  <c:v>2.2000000000000002</c:v>
                </c:pt>
              </c:numCache>
            </c:numRef>
          </c:val>
          <c:smooth val="0"/>
          <c:extLst>
            <c:ext xmlns:c16="http://schemas.microsoft.com/office/drawing/2014/chart" uri="{C3380CC4-5D6E-409C-BE32-E72D297353CC}">
              <c16:uniqueId val="{00000005-E9B8-4790-A330-F039642F6F43}"/>
            </c:ext>
          </c:extLst>
        </c:ser>
        <c:ser>
          <c:idx val="6"/>
          <c:order val="6"/>
          <c:tx>
            <c:strRef>
              <c:f>MPSV!$A$133</c:f>
              <c:strCache>
                <c:ptCount val="1"/>
                <c:pt idx="0">
                  <c:v>Kraj Vysočina (V)</c:v>
                </c:pt>
              </c:strCache>
            </c:strRef>
          </c:tx>
          <c:spPr>
            <a:ln w="28575" cap="rnd">
              <a:solidFill>
                <a:srgbClr val="00B050"/>
              </a:solidFill>
              <a:prstDash val="sysDot"/>
              <a:round/>
            </a:ln>
            <a:effectLst/>
          </c:spPr>
          <c:marker>
            <c:symbol val="none"/>
          </c:marker>
          <c:cat>
            <c:numRef>
              <c:f>MPSV!$B$126:$O$126</c:f>
              <c:numCache>
                <c:formatCode>0</c:formatCode>
                <c:ptCount val="14"/>
                <c:pt idx="0">
                  <c:v>2005</c:v>
                </c:pt>
                <c:pt idx="1">
                  <c:v>2006</c:v>
                </c:pt>
                <c:pt idx="2">
                  <c:v>2007</c:v>
                </c:pt>
                <c:pt idx="3">
                  <c:v>2008</c:v>
                </c:pt>
                <c:pt idx="4">
                  <c:v>2009</c:v>
                </c:pt>
                <c:pt idx="5">
                  <c:v>2010</c:v>
                </c:pt>
                <c:pt idx="6">
                  <c:v>2011</c:v>
                </c:pt>
                <c:pt idx="7">
                  <c:v>2012</c:v>
                </c:pt>
                <c:pt idx="8">
                  <c:v>2013</c:v>
                </c:pt>
                <c:pt idx="9">
                  <c:v>2014</c:v>
                </c:pt>
                <c:pt idx="10">
                  <c:v>2015</c:v>
                </c:pt>
                <c:pt idx="11">
                  <c:v>2016</c:v>
                </c:pt>
                <c:pt idx="12">
                  <c:v>2017</c:v>
                </c:pt>
                <c:pt idx="13">
                  <c:v>2018</c:v>
                </c:pt>
              </c:numCache>
            </c:numRef>
          </c:cat>
          <c:val>
            <c:numRef>
              <c:f>MPSV!$B$133:$O$133</c:f>
              <c:numCache>
                <c:formatCode>General</c:formatCode>
                <c:ptCount val="14"/>
                <c:pt idx="0">
                  <c:v>5.9584928353757434</c:v>
                </c:pt>
                <c:pt idx="1">
                  <c:v>5.4430657233731541</c:v>
                </c:pt>
                <c:pt idx="2">
                  <c:v>4.5259943344713927</c:v>
                </c:pt>
                <c:pt idx="3">
                  <c:v>3.9284170854603624</c:v>
                </c:pt>
                <c:pt idx="4">
                  <c:v>6.510098905721085</c:v>
                </c:pt>
                <c:pt idx="5">
                  <c:v>7.2171020742030354</c:v>
                </c:pt>
                <c:pt idx="6">
                  <c:v>6.898040846388696</c:v>
                </c:pt>
                <c:pt idx="7">
                  <c:v>6.7185078755098377</c:v>
                </c:pt>
                <c:pt idx="8">
                  <c:v>7.4074514754149199</c:v>
                </c:pt>
                <c:pt idx="9">
                  <c:v>7.1860912840919351</c:v>
                </c:pt>
                <c:pt idx="10">
                  <c:v>6.212313859837403</c:v>
                </c:pt>
                <c:pt idx="11">
                  <c:v>5.2844228762197938</c:v>
                </c:pt>
                <c:pt idx="12">
                  <c:v>3.9493415968460885</c:v>
                </c:pt>
                <c:pt idx="13">
                  <c:v>3</c:v>
                </c:pt>
              </c:numCache>
            </c:numRef>
          </c:val>
          <c:smooth val="0"/>
          <c:extLst>
            <c:ext xmlns:c16="http://schemas.microsoft.com/office/drawing/2014/chart" uri="{C3380CC4-5D6E-409C-BE32-E72D297353CC}">
              <c16:uniqueId val="{00000006-E9B8-4790-A330-F039642F6F43}"/>
            </c:ext>
          </c:extLst>
        </c:ser>
        <c:ser>
          <c:idx val="7"/>
          <c:order val="7"/>
          <c:tx>
            <c:strRef>
              <c:f>MPSV!$A$141</c:f>
              <c:strCache>
                <c:ptCount val="1"/>
                <c:pt idx="0">
                  <c:v>ČR</c:v>
                </c:pt>
              </c:strCache>
            </c:strRef>
          </c:tx>
          <c:spPr>
            <a:ln w="28575" cap="rnd">
              <a:solidFill>
                <a:srgbClr val="0070C0"/>
              </a:solidFill>
              <a:round/>
            </a:ln>
            <a:effectLst/>
          </c:spPr>
          <c:marker>
            <c:symbol val="none"/>
          </c:marker>
          <c:cat>
            <c:numRef>
              <c:f>MPSV!$B$126:$O$126</c:f>
              <c:numCache>
                <c:formatCode>0</c:formatCode>
                <c:ptCount val="14"/>
                <c:pt idx="0">
                  <c:v>2005</c:v>
                </c:pt>
                <c:pt idx="1">
                  <c:v>2006</c:v>
                </c:pt>
                <c:pt idx="2">
                  <c:v>2007</c:v>
                </c:pt>
                <c:pt idx="3">
                  <c:v>2008</c:v>
                </c:pt>
                <c:pt idx="4">
                  <c:v>2009</c:v>
                </c:pt>
                <c:pt idx="5">
                  <c:v>2010</c:v>
                </c:pt>
                <c:pt idx="6">
                  <c:v>2011</c:v>
                </c:pt>
                <c:pt idx="7">
                  <c:v>2012</c:v>
                </c:pt>
                <c:pt idx="8">
                  <c:v>2013</c:v>
                </c:pt>
                <c:pt idx="9">
                  <c:v>2014</c:v>
                </c:pt>
                <c:pt idx="10">
                  <c:v>2015</c:v>
                </c:pt>
                <c:pt idx="11">
                  <c:v>2016</c:v>
                </c:pt>
                <c:pt idx="12">
                  <c:v>2017</c:v>
                </c:pt>
                <c:pt idx="13">
                  <c:v>2018</c:v>
                </c:pt>
              </c:numCache>
            </c:numRef>
          </c:cat>
          <c:val>
            <c:numRef>
              <c:f>MPSV!$B$141:$O$141</c:f>
              <c:numCache>
                <c:formatCode>General</c:formatCode>
                <c:ptCount val="14"/>
                <c:pt idx="0">
                  <c:v>6.6425562641294897</c:v>
                </c:pt>
                <c:pt idx="1">
                  <c:v>6.0850214788725872</c:v>
                </c:pt>
                <c:pt idx="2">
                  <c:v>4.9676903252471485</c:v>
                </c:pt>
                <c:pt idx="3">
                  <c:v>4.111993694699545</c:v>
                </c:pt>
                <c:pt idx="4">
                  <c:v>6.1040834185360433</c:v>
                </c:pt>
                <c:pt idx="5">
                  <c:v>6.9642397040377837</c:v>
                </c:pt>
                <c:pt idx="6">
                  <c:v>6.7016091652492964</c:v>
                </c:pt>
                <c:pt idx="7">
                  <c:v>6.7566274363454815</c:v>
                </c:pt>
                <c:pt idx="8">
                  <c:v>7.6841711528729855</c:v>
                </c:pt>
                <c:pt idx="9">
                  <c:v>7.7038815929198297</c:v>
                </c:pt>
                <c:pt idx="10">
                  <c:v>6.5692368418673235</c:v>
                </c:pt>
                <c:pt idx="11">
                  <c:v>5.5526153260126154</c:v>
                </c:pt>
                <c:pt idx="12">
                  <c:v>4.263154615214364</c:v>
                </c:pt>
                <c:pt idx="13">
                  <c:v>3.2</c:v>
                </c:pt>
              </c:numCache>
            </c:numRef>
          </c:val>
          <c:smooth val="0"/>
          <c:extLst>
            <c:ext xmlns:c16="http://schemas.microsoft.com/office/drawing/2014/chart" uri="{C3380CC4-5D6E-409C-BE32-E72D297353CC}">
              <c16:uniqueId val="{00000007-E9B8-4790-A330-F039642F6F43}"/>
            </c:ext>
          </c:extLst>
        </c:ser>
        <c:ser>
          <c:idx val="8"/>
          <c:order val="8"/>
          <c:tx>
            <c:strRef>
              <c:f>MPSV!$A$134</c:f>
              <c:strCache>
                <c:ptCount val="1"/>
                <c:pt idx="0">
                  <c:v>Zlínsky kraj (V)</c:v>
                </c:pt>
              </c:strCache>
            </c:strRef>
          </c:tx>
          <c:spPr>
            <a:ln w="28575" cap="rnd">
              <a:solidFill>
                <a:srgbClr val="00B050"/>
              </a:solidFill>
              <a:prstDash val="sysDash"/>
              <a:round/>
            </a:ln>
            <a:effectLst/>
          </c:spPr>
          <c:marker>
            <c:symbol val="none"/>
          </c:marker>
          <c:cat>
            <c:numRef>
              <c:f>MPSV!$B$126:$O$126</c:f>
              <c:numCache>
                <c:formatCode>0</c:formatCode>
                <c:ptCount val="14"/>
                <c:pt idx="0">
                  <c:v>2005</c:v>
                </c:pt>
                <c:pt idx="1">
                  <c:v>2006</c:v>
                </c:pt>
                <c:pt idx="2">
                  <c:v>2007</c:v>
                </c:pt>
                <c:pt idx="3">
                  <c:v>2008</c:v>
                </c:pt>
                <c:pt idx="4">
                  <c:v>2009</c:v>
                </c:pt>
                <c:pt idx="5">
                  <c:v>2010</c:v>
                </c:pt>
                <c:pt idx="6">
                  <c:v>2011</c:v>
                </c:pt>
                <c:pt idx="7">
                  <c:v>2012</c:v>
                </c:pt>
                <c:pt idx="8">
                  <c:v>2013</c:v>
                </c:pt>
                <c:pt idx="9">
                  <c:v>2014</c:v>
                </c:pt>
                <c:pt idx="10">
                  <c:v>2015</c:v>
                </c:pt>
                <c:pt idx="11">
                  <c:v>2016</c:v>
                </c:pt>
                <c:pt idx="12">
                  <c:v>2017</c:v>
                </c:pt>
                <c:pt idx="13">
                  <c:v>2018</c:v>
                </c:pt>
              </c:numCache>
            </c:numRef>
          </c:cat>
          <c:val>
            <c:numRef>
              <c:f>MPSV!$B$134:$O$134</c:f>
              <c:numCache>
                <c:formatCode>General</c:formatCode>
                <c:ptCount val="14"/>
                <c:pt idx="0">
                  <c:v>6.6030523052869912</c:v>
                </c:pt>
                <c:pt idx="1">
                  <c:v>6.0197771440052739</c:v>
                </c:pt>
                <c:pt idx="2">
                  <c:v>4.8302604580131403</c:v>
                </c:pt>
                <c:pt idx="3">
                  <c:v>4.089154163673701</c:v>
                </c:pt>
                <c:pt idx="4">
                  <c:v>6.6900022068940608</c:v>
                </c:pt>
                <c:pt idx="5">
                  <c:v>7.6505789466737069</c:v>
                </c:pt>
                <c:pt idx="6">
                  <c:v>6.9731577276282515</c:v>
                </c:pt>
                <c:pt idx="7">
                  <c:v>6.9483860251276885</c:v>
                </c:pt>
                <c:pt idx="8">
                  <c:v>7.9355468121026211</c:v>
                </c:pt>
                <c:pt idx="9">
                  <c:v>7.546336785803744</c:v>
                </c:pt>
                <c:pt idx="10">
                  <c:v>6.3100516001103806</c:v>
                </c:pt>
                <c:pt idx="11">
                  <c:v>5.1653334819151482</c:v>
                </c:pt>
                <c:pt idx="12">
                  <c:v>3.8928757427620329</c:v>
                </c:pt>
                <c:pt idx="13">
                  <c:v>2.8</c:v>
                </c:pt>
              </c:numCache>
            </c:numRef>
          </c:val>
          <c:smooth val="0"/>
          <c:extLst>
            <c:ext xmlns:c16="http://schemas.microsoft.com/office/drawing/2014/chart" uri="{C3380CC4-5D6E-409C-BE32-E72D297353CC}">
              <c16:uniqueId val="{00000008-E9B8-4790-A330-F039642F6F43}"/>
            </c:ext>
          </c:extLst>
        </c:ser>
        <c:ser>
          <c:idx val="9"/>
          <c:order val="9"/>
          <c:tx>
            <c:strRef>
              <c:f>MPSV!$A$135</c:f>
              <c:strCache>
                <c:ptCount val="1"/>
                <c:pt idx="0">
                  <c:v>Liberecký kraj</c:v>
                </c:pt>
              </c:strCache>
            </c:strRef>
          </c:tx>
          <c:spPr>
            <a:ln w="28575" cap="rnd">
              <a:solidFill>
                <a:schemeClr val="bg1">
                  <a:lumMod val="50000"/>
                </a:schemeClr>
              </a:solidFill>
              <a:prstDash val="sysDash"/>
              <a:round/>
            </a:ln>
            <a:effectLst/>
          </c:spPr>
          <c:marker>
            <c:symbol val="none"/>
          </c:marker>
          <c:cat>
            <c:numRef>
              <c:f>MPSV!$B$126:$O$126</c:f>
              <c:numCache>
                <c:formatCode>0</c:formatCode>
                <c:ptCount val="14"/>
                <c:pt idx="0">
                  <c:v>2005</c:v>
                </c:pt>
                <c:pt idx="1">
                  <c:v>2006</c:v>
                </c:pt>
                <c:pt idx="2">
                  <c:v>2007</c:v>
                </c:pt>
                <c:pt idx="3">
                  <c:v>2008</c:v>
                </c:pt>
                <c:pt idx="4">
                  <c:v>2009</c:v>
                </c:pt>
                <c:pt idx="5">
                  <c:v>2010</c:v>
                </c:pt>
                <c:pt idx="6">
                  <c:v>2011</c:v>
                </c:pt>
                <c:pt idx="7">
                  <c:v>2012</c:v>
                </c:pt>
                <c:pt idx="8">
                  <c:v>2013</c:v>
                </c:pt>
                <c:pt idx="9">
                  <c:v>2014</c:v>
                </c:pt>
                <c:pt idx="10">
                  <c:v>2015</c:v>
                </c:pt>
                <c:pt idx="11">
                  <c:v>2016</c:v>
                </c:pt>
                <c:pt idx="12">
                  <c:v>2017</c:v>
                </c:pt>
                <c:pt idx="13">
                  <c:v>2018</c:v>
                </c:pt>
              </c:numCache>
            </c:numRef>
          </c:cat>
          <c:val>
            <c:numRef>
              <c:f>MPSV!$B$135:$O$135</c:f>
              <c:numCache>
                <c:formatCode>General</c:formatCode>
                <c:ptCount val="14"/>
                <c:pt idx="0">
                  <c:v>5.872979540668279</c:v>
                </c:pt>
                <c:pt idx="1">
                  <c:v>5.4346775255757613</c:v>
                </c:pt>
                <c:pt idx="2">
                  <c:v>4.694649437890547</c:v>
                </c:pt>
                <c:pt idx="3">
                  <c:v>4.3593793662632541</c:v>
                </c:pt>
                <c:pt idx="4">
                  <c:v>7.2902708532921396</c:v>
                </c:pt>
                <c:pt idx="5">
                  <c:v>8.0241480123993476</c:v>
                </c:pt>
                <c:pt idx="6">
                  <c:v>7.468715427787699</c:v>
                </c:pt>
                <c:pt idx="7">
                  <c:v>7.3541089153103592</c:v>
                </c:pt>
                <c:pt idx="8">
                  <c:v>8.1536370152776421</c:v>
                </c:pt>
                <c:pt idx="9">
                  <c:v>8.1177869985542888</c:v>
                </c:pt>
                <c:pt idx="10">
                  <c:v>6.8141828129063553</c:v>
                </c:pt>
                <c:pt idx="11">
                  <c:v>5.6337977335513854</c:v>
                </c:pt>
                <c:pt idx="12">
                  <c:v>4.3509976387404015</c:v>
                </c:pt>
                <c:pt idx="13">
                  <c:v>3.3</c:v>
                </c:pt>
              </c:numCache>
            </c:numRef>
          </c:val>
          <c:smooth val="0"/>
          <c:extLst>
            <c:ext xmlns:c16="http://schemas.microsoft.com/office/drawing/2014/chart" uri="{C3380CC4-5D6E-409C-BE32-E72D297353CC}">
              <c16:uniqueId val="{00000009-E9B8-4790-A330-F039642F6F43}"/>
            </c:ext>
          </c:extLst>
        </c:ser>
        <c:ser>
          <c:idx val="10"/>
          <c:order val="10"/>
          <c:tx>
            <c:strRef>
              <c:f>MPSV!$A$136</c:f>
              <c:strCache>
                <c:ptCount val="1"/>
                <c:pt idx="0">
                  <c:v>Jihomoravský kraj</c:v>
                </c:pt>
              </c:strCache>
            </c:strRef>
          </c:tx>
          <c:spPr>
            <a:ln w="28575" cap="rnd">
              <a:solidFill>
                <a:schemeClr val="bg1">
                  <a:lumMod val="50000"/>
                </a:schemeClr>
              </a:solidFill>
              <a:prstDash val="dashDot"/>
              <a:round/>
            </a:ln>
            <a:effectLst/>
          </c:spPr>
          <c:marker>
            <c:symbol val="none"/>
          </c:marker>
          <c:cat>
            <c:numRef>
              <c:f>MPSV!$B$126:$O$126</c:f>
              <c:numCache>
                <c:formatCode>0</c:formatCode>
                <c:ptCount val="14"/>
                <c:pt idx="0">
                  <c:v>2005</c:v>
                </c:pt>
                <c:pt idx="1">
                  <c:v>2006</c:v>
                </c:pt>
                <c:pt idx="2">
                  <c:v>2007</c:v>
                </c:pt>
                <c:pt idx="3">
                  <c:v>2008</c:v>
                </c:pt>
                <c:pt idx="4">
                  <c:v>2009</c:v>
                </c:pt>
                <c:pt idx="5">
                  <c:v>2010</c:v>
                </c:pt>
                <c:pt idx="6">
                  <c:v>2011</c:v>
                </c:pt>
                <c:pt idx="7">
                  <c:v>2012</c:v>
                </c:pt>
                <c:pt idx="8">
                  <c:v>2013</c:v>
                </c:pt>
                <c:pt idx="9">
                  <c:v>2014</c:v>
                </c:pt>
                <c:pt idx="10">
                  <c:v>2015</c:v>
                </c:pt>
                <c:pt idx="11">
                  <c:v>2016</c:v>
                </c:pt>
                <c:pt idx="12">
                  <c:v>2017</c:v>
                </c:pt>
                <c:pt idx="13">
                  <c:v>2018</c:v>
                </c:pt>
              </c:numCache>
            </c:numRef>
          </c:cat>
          <c:val>
            <c:numRef>
              <c:f>MPSV!$B$136:$O$136</c:f>
              <c:numCache>
                <c:formatCode>General</c:formatCode>
                <c:ptCount val="14"/>
                <c:pt idx="0">
                  <c:v>7.4638648121046023</c:v>
                </c:pt>
                <c:pt idx="1">
                  <c:v>6.8064321949413555</c:v>
                </c:pt>
                <c:pt idx="2">
                  <c:v>5.6089810636895869</c:v>
                </c:pt>
                <c:pt idx="3">
                  <c:v>4.653481540581347</c:v>
                </c:pt>
                <c:pt idx="4">
                  <c:v>6.6813544004714913</c:v>
                </c:pt>
                <c:pt idx="5">
                  <c:v>7.8268216083289852</c:v>
                </c:pt>
                <c:pt idx="6">
                  <c:v>7.46682460524503</c:v>
                </c:pt>
                <c:pt idx="7">
                  <c:v>7.4775564522642943</c:v>
                </c:pt>
                <c:pt idx="8">
                  <c:v>8.2417276258717038</c:v>
                </c:pt>
                <c:pt idx="9">
                  <c:v>8.3707876985053087</c:v>
                </c:pt>
                <c:pt idx="10">
                  <c:v>7.2384935383934463</c:v>
                </c:pt>
                <c:pt idx="11">
                  <c:v>6.311325602362583</c:v>
                </c:pt>
                <c:pt idx="12">
                  <c:v>5.0450312210257167</c:v>
                </c:pt>
                <c:pt idx="13">
                  <c:v>4</c:v>
                </c:pt>
              </c:numCache>
            </c:numRef>
          </c:val>
          <c:smooth val="0"/>
          <c:extLst>
            <c:ext xmlns:c16="http://schemas.microsoft.com/office/drawing/2014/chart" uri="{C3380CC4-5D6E-409C-BE32-E72D297353CC}">
              <c16:uniqueId val="{0000000A-E9B8-4790-A330-F039642F6F43}"/>
            </c:ext>
          </c:extLst>
        </c:ser>
        <c:ser>
          <c:idx val="11"/>
          <c:order val="11"/>
          <c:tx>
            <c:strRef>
              <c:f>MPSV!$A$137</c:f>
              <c:strCache>
                <c:ptCount val="1"/>
                <c:pt idx="0">
                  <c:v>Olomoucký kraj (V)</c:v>
                </c:pt>
              </c:strCache>
            </c:strRef>
          </c:tx>
          <c:spPr>
            <a:ln w="28575" cap="rnd">
              <a:solidFill>
                <a:srgbClr val="00B050"/>
              </a:solidFill>
              <a:prstDash val="dashDot"/>
              <a:round/>
            </a:ln>
            <a:effectLst/>
          </c:spPr>
          <c:marker>
            <c:symbol val="none"/>
          </c:marker>
          <c:cat>
            <c:numRef>
              <c:f>MPSV!$B$126:$O$126</c:f>
              <c:numCache>
                <c:formatCode>0</c:formatCode>
                <c:ptCount val="14"/>
                <c:pt idx="0">
                  <c:v>2005</c:v>
                </c:pt>
                <c:pt idx="1">
                  <c:v>2006</c:v>
                </c:pt>
                <c:pt idx="2">
                  <c:v>2007</c:v>
                </c:pt>
                <c:pt idx="3">
                  <c:v>2008</c:v>
                </c:pt>
                <c:pt idx="4">
                  <c:v>2009</c:v>
                </c:pt>
                <c:pt idx="5">
                  <c:v>2010</c:v>
                </c:pt>
                <c:pt idx="6">
                  <c:v>2011</c:v>
                </c:pt>
                <c:pt idx="7">
                  <c:v>2012</c:v>
                </c:pt>
                <c:pt idx="8">
                  <c:v>2013</c:v>
                </c:pt>
                <c:pt idx="9">
                  <c:v>2014</c:v>
                </c:pt>
                <c:pt idx="10">
                  <c:v>2015</c:v>
                </c:pt>
                <c:pt idx="11">
                  <c:v>2016</c:v>
                </c:pt>
                <c:pt idx="12">
                  <c:v>2017</c:v>
                </c:pt>
                <c:pt idx="13">
                  <c:v>2018</c:v>
                </c:pt>
              </c:numCache>
            </c:numRef>
          </c:cat>
          <c:val>
            <c:numRef>
              <c:f>MPSV!$B$137:$O$137</c:f>
              <c:numCache>
                <c:formatCode>General</c:formatCode>
                <c:ptCount val="14"/>
                <c:pt idx="0">
                  <c:v>7.7379179363188708</c:v>
                </c:pt>
                <c:pt idx="1">
                  <c:v>6.8541109597249097</c:v>
                </c:pt>
                <c:pt idx="2">
                  <c:v>5.351452688749359</c:v>
                </c:pt>
                <c:pt idx="3">
                  <c:v>4.3915588379395967</c:v>
                </c:pt>
                <c:pt idx="4">
                  <c:v>7.3148859029214277</c:v>
                </c:pt>
                <c:pt idx="5">
                  <c:v>8.4007881693581741</c:v>
                </c:pt>
                <c:pt idx="6">
                  <c:v>8.0386410429244055</c:v>
                </c:pt>
                <c:pt idx="7">
                  <c:v>8.0829586349956237</c:v>
                </c:pt>
                <c:pt idx="8">
                  <c:v>9.1215239518737246</c:v>
                </c:pt>
                <c:pt idx="9">
                  <c:v>9.0582875391527935</c:v>
                </c:pt>
                <c:pt idx="10">
                  <c:v>7.4498691557697132</c:v>
                </c:pt>
                <c:pt idx="11">
                  <c:v>6.1084617133076442</c:v>
                </c:pt>
                <c:pt idx="12">
                  <c:v>4.7748556203247299</c:v>
                </c:pt>
                <c:pt idx="13">
                  <c:v>3.5</c:v>
                </c:pt>
              </c:numCache>
            </c:numRef>
          </c:val>
          <c:smooth val="0"/>
          <c:extLst>
            <c:ext xmlns:c16="http://schemas.microsoft.com/office/drawing/2014/chart" uri="{C3380CC4-5D6E-409C-BE32-E72D297353CC}">
              <c16:uniqueId val="{0000000B-E9B8-4790-A330-F039642F6F43}"/>
            </c:ext>
          </c:extLst>
        </c:ser>
        <c:ser>
          <c:idx val="12"/>
          <c:order val="12"/>
          <c:tx>
            <c:strRef>
              <c:f>MPSV!$A$138</c:f>
              <c:strCache>
                <c:ptCount val="1"/>
                <c:pt idx="0">
                  <c:v>Karlovarský kraj</c:v>
                </c:pt>
              </c:strCache>
            </c:strRef>
          </c:tx>
          <c:spPr>
            <a:ln w="38100" cap="rnd">
              <a:solidFill>
                <a:schemeClr val="bg1">
                  <a:lumMod val="50000"/>
                </a:schemeClr>
              </a:solidFill>
              <a:prstDash val="sysDot"/>
              <a:round/>
            </a:ln>
            <a:effectLst/>
          </c:spPr>
          <c:marker>
            <c:symbol val="none"/>
          </c:marker>
          <c:cat>
            <c:numRef>
              <c:f>MPSV!$B$126:$O$126</c:f>
              <c:numCache>
                <c:formatCode>0</c:formatCode>
                <c:ptCount val="14"/>
                <c:pt idx="0">
                  <c:v>2005</c:v>
                </c:pt>
                <c:pt idx="1">
                  <c:v>2006</c:v>
                </c:pt>
                <c:pt idx="2">
                  <c:v>2007</c:v>
                </c:pt>
                <c:pt idx="3">
                  <c:v>2008</c:v>
                </c:pt>
                <c:pt idx="4">
                  <c:v>2009</c:v>
                </c:pt>
                <c:pt idx="5">
                  <c:v>2010</c:v>
                </c:pt>
                <c:pt idx="6">
                  <c:v>2011</c:v>
                </c:pt>
                <c:pt idx="7">
                  <c:v>2012</c:v>
                </c:pt>
                <c:pt idx="8">
                  <c:v>2013</c:v>
                </c:pt>
                <c:pt idx="9">
                  <c:v>2014</c:v>
                </c:pt>
                <c:pt idx="10">
                  <c:v>2015</c:v>
                </c:pt>
                <c:pt idx="11">
                  <c:v>2016</c:v>
                </c:pt>
                <c:pt idx="12">
                  <c:v>2017</c:v>
                </c:pt>
                <c:pt idx="13">
                  <c:v>2018</c:v>
                </c:pt>
              </c:numCache>
            </c:numRef>
          </c:cat>
          <c:val>
            <c:numRef>
              <c:f>MPSV!$B$138:$O$138</c:f>
              <c:numCache>
                <c:formatCode>General</c:formatCode>
                <c:ptCount val="14"/>
                <c:pt idx="0">
                  <c:v>7.832620085831123</c:v>
                </c:pt>
                <c:pt idx="1">
                  <c:v>7.3213415596681637</c:v>
                </c:pt>
                <c:pt idx="2">
                  <c:v>6.1121636017247791</c:v>
                </c:pt>
                <c:pt idx="3">
                  <c:v>5.2399666231876125</c:v>
                </c:pt>
                <c:pt idx="4">
                  <c:v>7.721179684417061</c:v>
                </c:pt>
                <c:pt idx="5">
                  <c:v>8.480351181879179</c:v>
                </c:pt>
                <c:pt idx="6">
                  <c:v>8.2180559196066003</c:v>
                </c:pt>
                <c:pt idx="7">
                  <c:v>8.0041000157212583</c:v>
                </c:pt>
                <c:pt idx="8">
                  <c:v>8.9636391931122379</c:v>
                </c:pt>
                <c:pt idx="9">
                  <c:v>8.5252084525088403</c:v>
                </c:pt>
                <c:pt idx="10">
                  <c:v>7.3286953817729668</c:v>
                </c:pt>
                <c:pt idx="11">
                  <c:v>6.1039547965753655</c:v>
                </c:pt>
                <c:pt idx="12">
                  <c:v>4.2507761992789517</c:v>
                </c:pt>
                <c:pt idx="13">
                  <c:v>3</c:v>
                </c:pt>
              </c:numCache>
            </c:numRef>
          </c:val>
          <c:smooth val="0"/>
          <c:extLst>
            <c:ext xmlns:c16="http://schemas.microsoft.com/office/drawing/2014/chart" uri="{C3380CC4-5D6E-409C-BE32-E72D297353CC}">
              <c16:uniqueId val="{0000000C-E9B8-4790-A330-F039642F6F43}"/>
            </c:ext>
          </c:extLst>
        </c:ser>
        <c:ser>
          <c:idx val="13"/>
          <c:order val="13"/>
          <c:tx>
            <c:strRef>
              <c:f>MPSV!$A$139</c:f>
              <c:strCache>
                <c:ptCount val="1"/>
                <c:pt idx="0">
                  <c:v>Moravskoslezský kraj</c:v>
                </c:pt>
              </c:strCache>
            </c:strRef>
          </c:tx>
          <c:spPr>
            <a:ln w="28575" cap="rnd">
              <a:solidFill>
                <a:schemeClr val="bg1">
                  <a:lumMod val="50000"/>
                </a:schemeClr>
              </a:solidFill>
              <a:round/>
            </a:ln>
            <a:effectLst/>
          </c:spPr>
          <c:marker>
            <c:symbol val="none"/>
          </c:marker>
          <c:cat>
            <c:numRef>
              <c:f>MPSV!$B$126:$O$126</c:f>
              <c:numCache>
                <c:formatCode>0</c:formatCode>
                <c:ptCount val="14"/>
                <c:pt idx="0">
                  <c:v>2005</c:v>
                </c:pt>
                <c:pt idx="1">
                  <c:v>2006</c:v>
                </c:pt>
                <c:pt idx="2">
                  <c:v>2007</c:v>
                </c:pt>
                <c:pt idx="3">
                  <c:v>2008</c:v>
                </c:pt>
                <c:pt idx="4">
                  <c:v>2009</c:v>
                </c:pt>
                <c:pt idx="5">
                  <c:v>2010</c:v>
                </c:pt>
                <c:pt idx="6">
                  <c:v>2011</c:v>
                </c:pt>
                <c:pt idx="7">
                  <c:v>2012</c:v>
                </c:pt>
                <c:pt idx="8">
                  <c:v>2013</c:v>
                </c:pt>
                <c:pt idx="9">
                  <c:v>2014</c:v>
                </c:pt>
                <c:pt idx="10">
                  <c:v>2015</c:v>
                </c:pt>
                <c:pt idx="11">
                  <c:v>2016</c:v>
                </c:pt>
                <c:pt idx="12">
                  <c:v>2017</c:v>
                </c:pt>
                <c:pt idx="13">
                  <c:v>2018</c:v>
                </c:pt>
              </c:numCache>
            </c:numRef>
          </c:cat>
          <c:val>
            <c:numRef>
              <c:f>MPSV!$B$139:$O$139</c:f>
              <c:numCache>
                <c:formatCode>General</c:formatCode>
                <c:ptCount val="14"/>
                <c:pt idx="0">
                  <c:v>10.437096514136126</c:v>
                </c:pt>
                <c:pt idx="1">
                  <c:v>9.5976772651453199</c:v>
                </c:pt>
                <c:pt idx="2">
                  <c:v>7.8440350014503766</c:v>
                </c:pt>
                <c:pt idx="3">
                  <c:v>6.0275498315753078</c:v>
                </c:pt>
                <c:pt idx="4">
                  <c:v>8.0851168602879095</c:v>
                </c:pt>
                <c:pt idx="5">
                  <c:v>8.7297671732552757</c:v>
                </c:pt>
                <c:pt idx="6">
                  <c:v>8.3302147898735619</c:v>
                </c:pt>
                <c:pt idx="7">
                  <c:v>8.4684870065851428</c:v>
                </c:pt>
                <c:pt idx="8">
                  <c:v>9.7726438902469539</c:v>
                </c:pt>
                <c:pt idx="9">
                  <c:v>10.102068735828837</c:v>
                </c:pt>
                <c:pt idx="10">
                  <c:v>8.9322165454982514</c:v>
                </c:pt>
                <c:pt idx="11">
                  <c:v>7.8518206134008945</c:v>
                </c:pt>
                <c:pt idx="12">
                  <c:v>6.4226259759389022</c:v>
                </c:pt>
                <c:pt idx="13">
                  <c:v>5</c:v>
                </c:pt>
              </c:numCache>
            </c:numRef>
          </c:val>
          <c:smooth val="0"/>
          <c:extLst>
            <c:ext xmlns:c16="http://schemas.microsoft.com/office/drawing/2014/chart" uri="{C3380CC4-5D6E-409C-BE32-E72D297353CC}">
              <c16:uniqueId val="{0000000D-E9B8-4790-A330-F039642F6F43}"/>
            </c:ext>
          </c:extLst>
        </c:ser>
        <c:ser>
          <c:idx val="14"/>
          <c:order val="14"/>
          <c:tx>
            <c:strRef>
              <c:f>MPSV!$A$140</c:f>
              <c:strCache>
                <c:ptCount val="1"/>
                <c:pt idx="0">
                  <c:v>Ústecký kraj</c:v>
                </c:pt>
              </c:strCache>
            </c:strRef>
          </c:tx>
          <c:spPr>
            <a:ln w="28575" cap="rnd">
              <a:solidFill>
                <a:schemeClr val="bg1">
                  <a:lumMod val="50000"/>
                </a:schemeClr>
              </a:solidFill>
              <a:prstDash val="sysDot"/>
              <a:round/>
            </a:ln>
            <a:effectLst/>
          </c:spPr>
          <c:marker>
            <c:symbol val="none"/>
          </c:marker>
          <c:cat>
            <c:numRef>
              <c:f>MPSV!$B$126:$O$126</c:f>
              <c:numCache>
                <c:formatCode>0</c:formatCode>
                <c:ptCount val="14"/>
                <c:pt idx="0">
                  <c:v>2005</c:v>
                </c:pt>
                <c:pt idx="1">
                  <c:v>2006</c:v>
                </c:pt>
                <c:pt idx="2">
                  <c:v>2007</c:v>
                </c:pt>
                <c:pt idx="3">
                  <c:v>2008</c:v>
                </c:pt>
                <c:pt idx="4">
                  <c:v>2009</c:v>
                </c:pt>
                <c:pt idx="5">
                  <c:v>2010</c:v>
                </c:pt>
                <c:pt idx="6">
                  <c:v>2011</c:v>
                </c:pt>
                <c:pt idx="7">
                  <c:v>2012</c:v>
                </c:pt>
                <c:pt idx="8">
                  <c:v>2013</c:v>
                </c:pt>
                <c:pt idx="9">
                  <c:v>2014</c:v>
                </c:pt>
                <c:pt idx="10">
                  <c:v>2015</c:v>
                </c:pt>
                <c:pt idx="11">
                  <c:v>2016</c:v>
                </c:pt>
                <c:pt idx="12">
                  <c:v>2017</c:v>
                </c:pt>
                <c:pt idx="13">
                  <c:v>2018</c:v>
                </c:pt>
              </c:numCache>
            </c:numRef>
          </c:cat>
          <c:val>
            <c:numRef>
              <c:f>MPSV!$B$140:$O$140</c:f>
              <c:numCache>
                <c:formatCode>General</c:formatCode>
                <c:ptCount val="14"/>
                <c:pt idx="0">
                  <c:v>11.345625796069159</c:v>
                </c:pt>
                <c:pt idx="1">
                  <c:v>10.682940713374936</c:v>
                </c:pt>
                <c:pt idx="2">
                  <c:v>8.8900716446954728</c:v>
                </c:pt>
                <c:pt idx="3">
                  <c:v>7.0671547208888272</c:v>
                </c:pt>
                <c:pt idx="4">
                  <c:v>8.9293434718254261</c:v>
                </c:pt>
                <c:pt idx="5">
                  <c:v>9.8320390362529686</c:v>
                </c:pt>
                <c:pt idx="6">
                  <c:v>9.6608383731817327</c:v>
                </c:pt>
                <c:pt idx="7">
                  <c:v>10.004921516128746</c:v>
                </c:pt>
                <c:pt idx="8">
                  <c:v>11.108952416400864</c:v>
                </c:pt>
                <c:pt idx="9">
                  <c:v>11.063356400704089</c:v>
                </c:pt>
                <c:pt idx="10">
                  <c:v>9.6817847975544087</c:v>
                </c:pt>
                <c:pt idx="11">
                  <c:v>8.4573824909633117</c:v>
                </c:pt>
                <c:pt idx="12">
                  <c:v>6.561624476618694</c:v>
                </c:pt>
                <c:pt idx="13">
                  <c:v>4.8</c:v>
                </c:pt>
              </c:numCache>
            </c:numRef>
          </c:val>
          <c:smooth val="0"/>
          <c:extLst>
            <c:ext xmlns:c16="http://schemas.microsoft.com/office/drawing/2014/chart" uri="{C3380CC4-5D6E-409C-BE32-E72D297353CC}">
              <c16:uniqueId val="{0000000E-E9B8-4790-A330-F039642F6F43}"/>
            </c:ext>
          </c:extLst>
        </c:ser>
        <c:dLbls>
          <c:showLegendKey val="0"/>
          <c:showVal val="0"/>
          <c:showCatName val="0"/>
          <c:showSerName val="0"/>
          <c:showPercent val="0"/>
          <c:showBubbleSize val="0"/>
        </c:dLbls>
        <c:smooth val="0"/>
        <c:axId val="113853568"/>
        <c:axId val="113855104"/>
      </c:lineChart>
      <c:catAx>
        <c:axId val="113853568"/>
        <c:scaling>
          <c:orientation val="minMax"/>
        </c:scaling>
        <c:delete val="0"/>
        <c:axPos val="b"/>
        <c:numFmt formatCode="0"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113855104"/>
        <c:crosses val="autoZero"/>
        <c:auto val="1"/>
        <c:lblAlgn val="ctr"/>
        <c:lblOffset val="100"/>
        <c:noMultiLvlLbl val="0"/>
      </c:catAx>
      <c:valAx>
        <c:axId val="113855104"/>
        <c:scaling>
          <c:orientation val="minMax"/>
          <c:max val="11.5"/>
          <c:min val="1"/>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113853568"/>
        <c:crosses val="autoZero"/>
        <c:crossBetween val="between"/>
      </c:valAx>
      <c:spPr>
        <a:noFill/>
        <a:ln>
          <a:noFill/>
        </a:ln>
        <a:effectLst/>
      </c:spPr>
    </c:plotArea>
    <c:legend>
      <c:legendPos val="b"/>
      <c:layout>
        <c:manualLayout>
          <c:xMode val="edge"/>
          <c:yMode val="edge"/>
          <c:x val="4.1937720064592711E-2"/>
          <c:y val="0.8594153712167496"/>
          <c:w val="0.93560220213080103"/>
          <c:h val="0.12719549019775889"/>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cs-CZ"/>
    </a:p>
  </c:txPr>
  <c:externalData r:id="rId1">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4"/>
          <c:order val="4"/>
          <c:tx>
            <c:strRef>
              <c:f>'Grafy přehled'!$A$104</c:f>
              <c:strCache>
                <c:ptCount val="1"/>
                <c:pt idx="0">
                  <c:v>DU ČR celkem </c:v>
                </c:pt>
              </c:strCache>
            </c:strRef>
          </c:tx>
          <c:spPr>
            <a:solidFill>
              <a:schemeClr val="bg1">
                <a:lumMod val="85000"/>
              </a:schemeClr>
            </a:solidFill>
            <a:ln>
              <a:noFill/>
            </a:ln>
            <a:effectLst/>
          </c:spPr>
          <c:invertIfNegative val="0"/>
          <c:cat>
            <c:strRef>
              <c:f>'Grafy přehled'!$B$99:$Q$99</c:f>
              <c:strCache>
                <c:ptCount val="16"/>
                <c:pt idx="0">
                  <c:v>III.15</c:v>
                </c:pt>
                <c:pt idx="1">
                  <c:v>VI.15</c:v>
                </c:pt>
                <c:pt idx="2">
                  <c:v>IX.15</c:v>
                </c:pt>
                <c:pt idx="3">
                  <c:v>XII.15</c:v>
                </c:pt>
                <c:pt idx="4">
                  <c:v>III.16</c:v>
                </c:pt>
                <c:pt idx="5">
                  <c:v>VI.16</c:v>
                </c:pt>
                <c:pt idx="6">
                  <c:v>IX.16</c:v>
                </c:pt>
                <c:pt idx="7">
                  <c:v>XII.16</c:v>
                </c:pt>
                <c:pt idx="8">
                  <c:v>III.17</c:v>
                </c:pt>
                <c:pt idx="9">
                  <c:v>VI.17</c:v>
                </c:pt>
                <c:pt idx="10">
                  <c:v>IX.17</c:v>
                </c:pt>
                <c:pt idx="11">
                  <c:v>XII.17</c:v>
                </c:pt>
                <c:pt idx="12">
                  <c:v>III.18</c:v>
                </c:pt>
                <c:pt idx="13">
                  <c:v>VI.18</c:v>
                </c:pt>
                <c:pt idx="14">
                  <c:v>IX.18</c:v>
                </c:pt>
                <c:pt idx="15">
                  <c:v>XII.18</c:v>
                </c:pt>
              </c:strCache>
            </c:strRef>
          </c:cat>
          <c:val>
            <c:numRef>
              <c:f>'Grafy přehled'!$B$104:$Q$104</c:f>
              <c:numCache>
                <c:formatCode>General</c:formatCode>
                <c:ptCount val="16"/>
                <c:pt idx="0">
                  <c:v>501268</c:v>
                </c:pt>
                <c:pt idx="1">
                  <c:v>429520</c:v>
                </c:pt>
                <c:pt idx="2">
                  <c:v>419037</c:v>
                </c:pt>
                <c:pt idx="3">
                  <c:v>431433</c:v>
                </c:pt>
                <c:pt idx="4">
                  <c:v>419605</c:v>
                </c:pt>
                <c:pt idx="5">
                  <c:v>360954</c:v>
                </c:pt>
                <c:pt idx="6">
                  <c:v>354532</c:v>
                </c:pt>
                <c:pt idx="7">
                  <c:v>355773</c:v>
                </c:pt>
                <c:pt idx="8">
                  <c:v>328026</c:v>
                </c:pt>
                <c:pt idx="9">
                  <c:v>270789</c:v>
                </c:pt>
                <c:pt idx="10">
                  <c:v>258882</c:v>
                </c:pt>
                <c:pt idx="11">
                  <c:v>256557</c:v>
                </c:pt>
                <c:pt idx="12">
                  <c:v>237708</c:v>
                </c:pt>
                <c:pt idx="13">
                  <c:v>199428</c:v>
                </c:pt>
                <c:pt idx="14">
                  <c:v>200534</c:v>
                </c:pt>
                <c:pt idx="15">
                  <c:v>207992</c:v>
                </c:pt>
              </c:numCache>
            </c:numRef>
          </c:val>
          <c:extLst>
            <c:ext xmlns:c16="http://schemas.microsoft.com/office/drawing/2014/chart" uri="{C3380CC4-5D6E-409C-BE32-E72D297353CC}">
              <c16:uniqueId val="{00000000-2CFE-4CE8-8987-3A9158C213CB}"/>
            </c:ext>
          </c:extLst>
        </c:ser>
        <c:ser>
          <c:idx val="5"/>
          <c:order val="5"/>
          <c:tx>
            <c:strRef>
              <c:f>'Grafy přehled'!$A$105</c:f>
              <c:strCache>
                <c:ptCount val="1"/>
                <c:pt idx="0">
                  <c:v>VPM ČR celkem</c:v>
                </c:pt>
              </c:strCache>
            </c:strRef>
          </c:tx>
          <c:spPr>
            <a:solidFill>
              <a:schemeClr val="accent4">
                <a:lumMod val="40000"/>
                <a:lumOff val="60000"/>
              </a:schemeClr>
            </a:solidFill>
            <a:ln>
              <a:noFill/>
            </a:ln>
            <a:effectLst/>
          </c:spPr>
          <c:invertIfNegative val="0"/>
          <c:cat>
            <c:strRef>
              <c:f>'Grafy přehled'!$B$99:$Q$99</c:f>
              <c:strCache>
                <c:ptCount val="16"/>
                <c:pt idx="0">
                  <c:v>III.15</c:v>
                </c:pt>
                <c:pt idx="1">
                  <c:v>VI.15</c:v>
                </c:pt>
                <c:pt idx="2">
                  <c:v>IX.15</c:v>
                </c:pt>
                <c:pt idx="3">
                  <c:v>XII.15</c:v>
                </c:pt>
                <c:pt idx="4">
                  <c:v>III.16</c:v>
                </c:pt>
                <c:pt idx="5">
                  <c:v>VI.16</c:v>
                </c:pt>
                <c:pt idx="6">
                  <c:v>IX.16</c:v>
                </c:pt>
                <c:pt idx="7">
                  <c:v>XII.16</c:v>
                </c:pt>
                <c:pt idx="8">
                  <c:v>III.17</c:v>
                </c:pt>
                <c:pt idx="9">
                  <c:v>VI.17</c:v>
                </c:pt>
                <c:pt idx="10">
                  <c:v>IX.17</c:v>
                </c:pt>
                <c:pt idx="11">
                  <c:v>XII.17</c:v>
                </c:pt>
                <c:pt idx="12">
                  <c:v>III.18</c:v>
                </c:pt>
                <c:pt idx="13">
                  <c:v>VI.18</c:v>
                </c:pt>
                <c:pt idx="14">
                  <c:v>IX.18</c:v>
                </c:pt>
                <c:pt idx="15">
                  <c:v>XII.18</c:v>
                </c:pt>
              </c:strCache>
            </c:strRef>
          </c:cat>
          <c:val>
            <c:numRef>
              <c:f>'Grafy přehled'!$B$105:$Q$105</c:f>
              <c:numCache>
                <c:formatCode>General</c:formatCode>
                <c:ptCount val="16"/>
                <c:pt idx="0">
                  <c:v>75838</c:v>
                </c:pt>
                <c:pt idx="1">
                  <c:v>96459</c:v>
                </c:pt>
                <c:pt idx="2">
                  <c:v>108019</c:v>
                </c:pt>
                <c:pt idx="3">
                  <c:v>102095</c:v>
                </c:pt>
                <c:pt idx="4">
                  <c:v>113371</c:v>
                </c:pt>
                <c:pt idx="5">
                  <c:v>126050</c:v>
                </c:pt>
                <c:pt idx="6">
                  <c:v>131375</c:v>
                </c:pt>
                <c:pt idx="7">
                  <c:v>120775</c:v>
                </c:pt>
                <c:pt idx="8">
                  <c:v>135131</c:v>
                </c:pt>
                <c:pt idx="9">
                  <c:v>158712</c:v>
                </c:pt>
                <c:pt idx="10">
                  <c:v>177226</c:v>
                </c:pt>
                <c:pt idx="11">
                  <c:v>182253</c:v>
                </c:pt>
                <c:pt idx="12">
                  <c:v>207185</c:v>
                </c:pt>
                <c:pt idx="13">
                  <c:v>240672</c:v>
                </c:pt>
                <c:pt idx="14">
                  <c:v>249289</c:v>
                </c:pt>
                <c:pt idx="15">
                  <c:v>249423</c:v>
                </c:pt>
              </c:numCache>
            </c:numRef>
          </c:val>
          <c:extLst>
            <c:ext xmlns:c16="http://schemas.microsoft.com/office/drawing/2014/chart" uri="{C3380CC4-5D6E-409C-BE32-E72D297353CC}">
              <c16:uniqueId val="{00000001-2CFE-4CE8-8987-3A9158C213CB}"/>
            </c:ext>
          </c:extLst>
        </c:ser>
        <c:dLbls>
          <c:showLegendKey val="0"/>
          <c:showVal val="0"/>
          <c:showCatName val="0"/>
          <c:showSerName val="0"/>
          <c:showPercent val="0"/>
          <c:showBubbleSize val="0"/>
        </c:dLbls>
        <c:gapWidth val="150"/>
        <c:axId val="113902720"/>
        <c:axId val="113904256"/>
      </c:barChart>
      <c:lineChart>
        <c:grouping val="standard"/>
        <c:varyColors val="0"/>
        <c:ser>
          <c:idx val="0"/>
          <c:order val="0"/>
          <c:tx>
            <c:strRef>
              <c:f>'Grafy přehled'!$A$100</c:f>
              <c:strCache>
                <c:ptCount val="1"/>
                <c:pt idx="0">
                  <c:v>DU město</c:v>
                </c:pt>
              </c:strCache>
            </c:strRef>
          </c:tx>
          <c:spPr>
            <a:ln w="28575" cap="rnd">
              <a:solidFill>
                <a:srgbClr val="FF0000"/>
              </a:solidFill>
              <a:round/>
            </a:ln>
            <a:effectLst/>
          </c:spPr>
          <c:marker>
            <c:symbol val="none"/>
          </c:marker>
          <c:cat>
            <c:strRef>
              <c:f>'Grafy přehled'!$B$99:$Q$99</c:f>
              <c:strCache>
                <c:ptCount val="16"/>
                <c:pt idx="0">
                  <c:v>III.15</c:v>
                </c:pt>
                <c:pt idx="1">
                  <c:v>VI.15</c:v>
                </c:pt>
                <c:pt idx="2">
                  <c:v>IX.15</c:v>
                </c:pt>
                <c:pt idx="3">
                  <c:v>XII.15</c:v>
                </c:pt>
                <c:pt idx="4">
                  <c:v>III.16</c:v>
                </c:pt>
                <c:pt idx="5">
                  <c:v>VI.16</c:v>
                </c:pt>
                <c:pt idx="6">
                  <c:v>IX.16</c:v>
                </c:pt>
                <c:pt idx="7">
                  <c:v>XII.16</c:v>
                </c:pt>
                <c:pt idx="8">
                  <c:v>III.17</c:v>
                </c:pt>
                <c:pt idx="9">
                  <c:v>VI.17</c:v>
                </c:pt>
                <c:pt idx="10">
                  <c:v>IX.17</c:v>
                </c:pt>
                <c:pt idx="11">
                  <c:v>XII.17</c:v>
                </c:pt>
                <c:pt idx="12">
                  <c:v>III.18</c:v>
                </c:pt>
                <c:pt idx="13">
                  <c:v>VI.18</c:v>
                </c:pt>
                <c:pt idx="14">
                  <c:v>IX.18</c:v>
                </c:pt>
                <c:pt idx="15">
                  <c:v>XII.18</c:v>
                </c:pt>
              </c:strCache>
            </c:strRef>
          </c:cat>
          <c:val>
            <c:numRef>
              <c:f>'Grafy přehled'!$B$100:$Q$100</c:f>
              <c:numCache>
                <c:formatCode>General</c:formatCode>
                <c:ptCount val="16"/>
                <c:pt idx="0">
                  <c:v>371856</c:v>
                </c:pt>
                <c:pt idx="1">
                  <c:v>329280</c:v>
                </c:pt>
                <c:pt idx="2">
                  <c:v>320216</c:v>
                </c:pt>
                <c:pt idx="3">
                  <c:v>320682</c:v>
                </c:pt>
                <c:pt idx="4">
                  <c:v>312828</c:v>
                </c:pt>
                <c:pt idx="5">
                  <c:v>277921</c:v>
                </c:pt>
                <c:pt idx="6">
                  <c:v>272342</c:v>
                </c:pt>
                <c:pt idx="7">
                  <c:v>264921</c:v>
                </c:pt>
                <c:pt idx="8">
                  <c:v>245762</c:v>
                </c:pt>
                <c:pt idx="9">
                  <c:v>210182</c:v>
                </c:pt>
                <c:pt idx="10">
                  <c:v>199583</c:v>
                </c:pt>
                <c:pt idx="11">
                  <c:v>190704</c:v>
                </c:pt>
                <c:pt idx="12">
                  <c:v>177214</c:v>
                </c:pt>
                <c:pt idx="13">
                  <c:v>154580</c:v>
                </c:pt>
                <c:pt idx="14">
                  <c:v>154471</c:v>
                </c:pt>
                <c:pt idx="15">
                  <c:v>154501</c:v>
                </c:pt>
              </c:numCache>
            </c:numRef>
          </c:val>
          <c:smooth val="0"/>
          <c:extLst>
            <c:ext xmlns:c16="http://schemas.microsoft.com/office/drawing/2014/chart" uri="{C3380CC4-5D6E-409C-BE32-E72D297353CC}">
              <c16:uniqueId val="{00000002-2CFE-4CE8-8987-3A9158C213CB}"/>
            </c:ext>
          </c:extLst>
        </c:ser>
        <c:ser>
          <c:idx val="1"/>
          <c:order val="1"/>
          <c:tx>
            <c:strRef>
              <c:f>'Grafy přehled'!$A$101</c:f>
              <c:strCache>
                <c:ptCount val="1"/>
                <c:pt idx="0">
                  <c:v>DU venkov</c:v>
                </c:pt>
              </c:strCache>
            </c:strRef>
          </c:tx>
          <c:spPr>
            <a:ln w="28575" cap="rnd">
              <a:solidFill>
                <a:srgbClr val="00B050"/>
              </a:solidFill>
              <a:round/>
            </a:ln>
            <a:effectLst/>
          </c:spPr>
          <c:marker>
            <c:symbol val="none"/>
          </c:marker>
          <c:cat>
            <c:strRef>
              <c:f>'Grafy přehled'!$B$99:$Q$99</c:f>
              <c:strCache>
                <c:ptCount val="16"/>
                <c:pt idx="0">
                  <c:v>III.15</c:v>
                </c:pt>
                <c:pt idx="1">
                  <c:v>VI.15</c:v>
                </c:pt>
                <c:pt idx="2">
                  <c:v>IX.15</c:v>
                </c:pt>
                <c:pt idx="3">
                  <c:v>XII.15</c:v>
                </c:pt>
                <c:pt idx="4">
                  <c:v>III.16</c:v>
                </c:pt>
                <c:pt idx="5">
                  <c:v>VI.16</c:v>
                </c:pt>
                <c:pt idx="6">
                  <c:v>IX.16</c:v>
                </c:pt>
                <c:pt idx="7">
                  <c:v>XII.16</c:v>
                </c:pt>
                <c:pt idx="8">
                  <c:v>III.17</c:v>
                </c:pt>
                <c:pt idx="9">
                  <c:v>VI.17</c:v>
                </c:pt>
                <c:pt idx="10">
                  <c:v>IX.17</c:v>
                </c:pt>
                <c:pt idx="11">
                  <c:v>XII.17</c:v>
                </c:pt>
                <c:pt idx="12">
                  <c:v>III.18</c:v>
                </c:pt>
                <c:pt idx="13">
                  <c:v>VI.18</c:v>
                </c:pt>
                <c:pt idx="14">
                  <c:v>IX.18</c:v>
                </c:pt>
                <c:pt idx="15">
                  <c:v>XII.18</c:v>
                </c:pt>
              </c:strCache>
            </c:strRef>
          </c:cat>
          <c:val>
            <c:numRef>
              <c:f>'Grafy přehled'!$B$101:$Q$101</c:f>
              <c:numCache>
                <c:formatCode>General</c:formatCode>
                <c:ptCount val="16"/>
                <c:pt idx="0">
                  <c:v>129412</c:v>
                </c:pt>
                <c:pt idx="1">
                  <c:v>100240</c:v>
                </c:pt>
                <c:pt idx="2">
                  <c:v>98821</c:v>
                </c:pt>
                <c:pt idx="3">
                  <c:v>110751</c:v>
                </c:pt>
                <c:pt idx="4">
                  <c:v>106777</c:v>
                </c:pt>
                <c:pt idx="5">
                  <c:v>83033</c:v>
                </c:pt>
                <c:pt idx="6">
                  <c:v>82190</c:v>
                </c:pt>
                <c:pt idx="7">
                  <c:v>90852</c:v>
                </c:pt>
                <c:pt idx="8">
                  <c:v>82264</c:v>
                </c:pt>
                <c:pt idx="9">
                  <c:v>60607</c:v>
                </c:pt>
                <c:pt idx="10">
                  <c:v>59299</c:v>
                </c:pt>
                <c:pt idx="11">
                  <c:v>65853</c:v>
                </c:pt>
                <c:pt idx="12">
                  <c:v>60494</c:v>
                </c:pt>
                <c:pt idx="13">
                  <c:v>44848</c:v>
                </c:pt>
                <c:pt idx="14">
                  <c:v>46063</c:v>
                </c:pt>
                <c:pt idx="15">
                  <c:v>53491</c:v>
                </c:pt>
              </c:numCache>
            </c:numRef>
          </c:val>
          <c:smooth val="0"/>
          <c:extLst>
            <c:ext xmlns:c16="http://schemas.microsoft.com/office/drawing/2014/chart" uri="{C3380CC4-5D6E-409C-BE32-E72D297353CC}">
              <c16:uniqueId val="{00000003-2CFE-4CE8-8987-3A9158C213CB}"/>
            </c:ext>
          </c:extLst>
        </c:ser>
        <c:ser>
          <c:idx val="2"/>
          <c:order val="2"/>
          <c:tx>
            <c:strRef>
              <c:f>'Grafy přehled'!$A$102</c:f>
              <c:strCache>
                <c:ptCount val="1"/>
                <c:pt idx="0">
                  <c:v>VPM město</c:v>
                </c:pt>
              </c:strCache>
            </c:strRef>
          </c:tx>
          <c:spPr>
            <a:ln w="28575" cap="rnd">
              <a:solidFill>
                <a:srgbClr val="FF0000"/>
              </a:solidFill>
              <a:prstDash val="sysDash"/>
              <a:round/>
            </a:ln>
            <a:effectLst/>
          </c:spPr>
          <c:marker>
            <c:symbol val="none"/>
          </c:marker>
          <c:cat>
            <c:strRef>
              <c:f>'Grafy přehled'!$B$99:$Q$99</c:f>
              <c:strCache>
                <c:ptCount val="16"/>
                <c:pt idx="0">
                  <c:v>III.15</c:v>
                </c:pt>
                <c:pt idx="1">
                  <c:v>VI.15</c:v>
                </c:pt>
                <c:pt idx="2">
                  <c:v>IX.15</c:v>
                </c:pt>
                <c:pt idx="3">
                  <c:v>XII.15</c:v>
                </c:pt>
                <c:pt idx="4">
                  <c:v>III.16</c:v>
                </c:pt>
                <c:pt idx="5">
                  <c:v>VI.16</c:v>
                </c:pt>
                <c:pt idx="6">
                  <c:v>IX.16</c:v>
                </c:pt>
                <c:pt idx="7">
                  <c:v>XII.16</c:v>
                </c:pt>
                <c:pt idx="8">
                  <c:v>III.17</c:v>
                </c:pt>
                <c:pt idx="9">
                  <c:v>VI.17</c:v>
                </c:pt>
                <c:pt idx="10">
                  <c:v>IX.17</c:v>
                </c:pt>
                <c:pt idx="11">
                  <c:v>XII.17</c:v>
                </c:pt>
                <c:pt idx="12">
                  <c:v>III.18</c:v>
                </c:pt>
                <c:pt idx="13">
                  <c:v>VI.18</c:v>
                </c:pt>
                <c:pt idx="14">
                  <c:v>IX.18</c:v>
                </c:pt>
                <c:pt idx="15">
                  <c:v>XII.18</c:v>
                </c:pt>
              </c:strCache>
            </c:strRef>
          </c:cat>
          <c:val>
            <c:numRef>
              <c:f>'Grafy přehled'!$B$102:$Q$102</c:f>
              <c:numCache>
                <c:formatCode>General</c:formatCode>
                <c:ptCount val="16"/>
                <c:pt idx="0">
                  <c:v>61334</c:v>
                </c:pt>
                <c:pt idx="1">
                  <c:v>78404</c:v>
                </c:pt>
                <c:pt idx="2">
                  <c:v>88831</c:v>
                </c:pt>
                <c:pt idx="3">
                  <c:v>84609</c:v>
                </c:pt>
                <c:pt idx="4">
                  <c:v>93228</c:v>
                </c:pt>
                <c:pt idx="5">
                  <c:v>103418</c:v>
                </c:pt>
                <c:pt idx="6">
                  <c:v>108472</c:v>
                </c:pt>
                <c:pt idx="7">
                  <c:v>97985</c:v>
                </c:pt>
                <c:pt idx="8">
                  <c:v>109247</c:v>
                </c:pt>
                <c:pt idx="9">
                  <c:v>128406</c:v>
                </c:pt>
                <c:pt idx="10">
                  <c:v>144231</c:v>
                </c:pt>
                <c:pt idx="11">
                  <c:v>147344</c:v>
                </c:pt>
                <c:pt idx="12">
                  <c:v>165503</c:v>
                </c:pt>
                <c:pt idx="13">
                  <c:v>193495</c:v>
                </c:pt>
                <c:pt idx="14">
                  <c:v>202775</c:v>
                </c:pt>
                <c:pt idx="15">
                  <c:v>201045</c:v>
                </c:pt>
              </c:numCache>
            </c:numRef>
          </c:val>
          <c:smooth val="0"/>
          <c:extLst>
            <c:ext xmlns:c16="http://schemas.microsoft.com/office/drawing/2014/chart" uri="{C3380CC4-5D6E-409C-BE32-E72D297353CC}">
              <c16:uniqueId val="{00000004-2CFE-4CE8-8987-3A9158C213CB}"/>
            </c:ext>
          </c:extLst>
        </c:ser>
        <c:ser>
          <c:idx val="3"/>
          <c:order val="3"/>
          <c:tx>
            <c:strRef>
              <c:f>'Grafy přehled'!$A$103</c:f>
              <c:strCache>
                <c:ptCount val="1"/>
                <c:pt idx="0">
                  <c:v>VPM venkov</c:v>
                </c:pt>
              </c:strCache>
            </c:strRef>
          </c:tx>
          <c:spPr>
            <a:ln w="28575" cap="rnd">
              <a:solidFill>
                <a:srgbClr val="00B050"/>
              </a:solidFill>
              <a:prstDash val="sysDash"/>
              <a:round/>
            </a:ln>
            <a:effectLst/>
          </c:spPr>
          <c:marker>
            <c:symbol val="none"/>
          </c:marker>
          <c:cat>
            <c:strRef>
              <c:f>'Grafy přehled'!$B$99:$Q$99</c:f>
              <c:strCache>
                <c:ptCount val="16"/>
                <c:pt idx="0">
                  <c:v>III.15</c:v>
                </c:pt>
                <c:pt idx="1">
                  <c:v>VI.15</c:v>
                </c:pt>
                <c:pt idx="2">
                  <c:v>IX.15</c:v>
                </c:pt>
                <c:pt idx="3">
                  <c:v>XII.15</c:v>
                </c:pt>
                <c:pt idx="4">
                  <c:v>III.16</c:v>
                </c:pt>
                <c:pt idx="5">
                  <c:v>VI.16</c:v>
                </c:pt>
                <c:pt idx="6">
                  <c:v>IX.16</c:v>
                </c:pt>
                <c:pt idx="7">
                  <c:v>XII.16</c:v>
                </c:pt>
                <c:pt idx="8">
                  <c:v>III.17</c:v>
                </c:pt>
                <c:pt idx="9">
                  <c:v>VI.17</c:v>
                </c:pt>
                <c:pt idx="10">
                  <c:v>IX.17</c:v>
                </c:pt>
                <c:pt idx="11">
                  <c:v>XII.17</c:v>
                </c:pt>
                <c:pt idx="12">
                  <c:v>III.18</c:v>
                </c:pt>
                <c:pt idx="13">
                  <c:v>VI.18</c:v>
                </c:pt>
                <c:pt idx="14">
                  <c:v>IX.18</c:v>
                </c:pt>
                <c:pt idx="15">
                  <c:v>XII.18</c:v>
                </c:pt>
              </c:strCache>
            </c:strRef>
          </c:cat>
          <c:val>
            <c:numRef>
              <c:f>'Grafy přehled'!$B$103:$Q$103</c:f>
              <c:numCache>
                <c:formatCode>General</c:formatCode>
                <c:ptCount val="16"/>
                <c:pt idx="0">
                  <c:v>14504</c:v>
                </c:pt>
                <c:pt idx="1">
                  <c:v>18055</c:v>
                </c:pt>
                <c:pt idx="2">
                  <c:v>19188</c:v>
                </c:pt>
                <c:pt idx="3">
                  <c:v>17486</c:v>
                </c:pt>
                <c:pt idx="4">
                  <c:v>20143</c:v>
                </c:pt>
                <c:pt idx="5">
                  <c:v>22632</c:v>
                </c:pt>
                <c:pt idx="6">
                  <c:v>22903</c:v>
                </c:pt>
                <c:pt idx="7">
                  <c:v>22790</c:v>
                </c:pt>
                <c:pt idx="8">
                  <c:v>25884</c:v>
                </c:pt>
                <c:pt idx="9">
                  <c:v>30306</c:v>
                </c:pt>
                <c:pt idx="10">
                  <c:v>32995</c:v>
                </c:pt>
                <c:pt idx="11">
                  <c:v>34909</c:v>
                </c:pt>
                <c:pt idx="12">
                  <c:v>41682</c:v>
                </c:pt>
                <c:pt idx="13">
                  <c:v>47177</c:v>
                </c:pt>
                <c:pt idx="14">
                  <c:v>46514</c:v>
                </c:pt>
                <c:pt idx="15">
                  <c:v>48378</c:v>
                </c:pt>
              </c:numCache>
            </c:numRef>
          </c:val>
          <c:smooth val="0"/>
          <c:extLst>
            <c:ext xmlns:c16="http://schemas.microsoft.com/office/drawing/2014/chart" uri="{C3380CC4-5D6E-409C-BE32-E72D297353CC}">
              <c16:uniqueId val="{00000005-2CFE-4CE8-8987-3A9158C213CB}"/>
            </c:ext>
          </c:extLst>
        </c:ser>
        <c:dLbls>
          <c:showLegendKey val="0"/>
          <c:showVal val="0"/>
          <c:showCatName val="0"/>
          <c:showSerName val="0"/>
          <c:showPercent val="0"/>
          <c:showBubbleSize val="0"/>
        </c:dLbls>
        <c:marker val="1"/>
        <c:smooth val="0"/>
        <c:axId val="113902720"/>
        <c:axId val="113904256"/>
      </c:lineChart>
      <c:catAx>
        <c:axId val="11390272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113904256"/>
        <c:crosses val="autoZero"/>
        <c:auto val="1"/>
        <c:lblAlgn val="ctr"/>
        <c:lblOffset val="100"/>
        <c:noMultiLvlLbl val="0"/>
      </c:catAx>
      <c:valAx>
        <c:axId val="113904256"/>
        <c:scaling>
          <c:orientation val="minMax"/>
          <c:max val="550000"/>
          <c:min val="0"/>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113902720"/>
        <c:crosses val="autoZero"/>
        <c:crossBetween val="between"/>
      </c:valAx>
      <c:spPr>
        <a:noFill/>
        <a:ln>
          <a:noFill/>
        </a:ln>
        <a:effectLst/>
      </c:spPr>
    </c:plotArea>
    <c:legend>
      <c:legendPos val="b"/>
      <c:layout>
        <c:manualLayout>
          <c:xMode val="edge"/>
          <c:yMode val="edge"/>
          <c:x val="0"/>
          <c:y val="0.84933444244085532"/>
          <c:w val="0.98033523395782429"/>
          <c:h val="0.12703189056309538"/>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cs-CZ"/>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0637634393774334"/>
          <c:y val="7.3755345565777966E-2"/>
          <c:w val="0.8509499125109361"/>
          <c:h val="0.60336942257217852"/>
        </c:manualLayout>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cs-CZ"/>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'grafy prehled'!$A$40:$A$54</c:f>
              <c:strCache>
                <c:ptCount val="15"/>
                <c:pt idx="0">
                  <c:v>Kraj Vysočina (V)</c:v>
                </c:pt>
                <c:pt idx="1">
                  <c:v>Jihočeský kraj (V)</c:v>
                </c:pt>
                <c:pt idx="2">
                  <c:v>Pardubický kraj (V)</c:v>
                </c:pt>
                <c:pt idx="3">
                  <c:v>Plzeňský kraj (V)</c:v>
                </c:pt>
                <c:pt idx="4">
                  <c:v>Olomoucký kraj (V)</c:v>
                </c:pt>
                <c:pt idx="5">
                  <c:v>Královéhradecký kraj</c:v>
                </c:pt>
                <c:pt idx="6">
                  <c:v>Zlínský kraj (V)</c:v>
                </c:pt>
                <c:pt idx="7">
                  <c:v>Středočeský kraj (M)</c:v>
                </c:pt>
                <c:pt idx="8">
                  <c:v>Karlovarský kraj</c:v>
                </c:pt>
                <c:pt idx="9">
                  <c:v>Jihomoravský kraj</c:v>
                </c:pt>
                <c:pt idx="10">
                  <c:v>Liberecký kraj</c:v>
                </c:pt>
                <c:pt idx="11">
                  <c:v>Ústecký kraj</c:v>
                </c:pt>
                <c:pt idx="12">
                  <c:v>Moravskoslezský kraj</c:v>
                </c:pt>
                <c:pt idx="14">
                  <c:v>ČR</c:v>
                </c:pt>
              </c:strCache>
            </c:strRef>
          </c:cat>
          <c:val>
            <c:numRef>
              <c:f>'grafy prehled'!$B$40:$B$54</c:f>
              <c:numCache>
                <c:formatCode>0.0</c:formatCode>
                <c:ptCount val="15"/>
                <c:pt idx="0">
                  <c:v>53.950750222040575</c:v>
                </c:pt>
                <c:pt idx="1">
                  <c:v>48.311454617023536</c:v>
                </c:pt>
                <c:pt idx="2">
                  <c:v>39.865570082783982</c:v>
                </c:pt>
                <c:pt idx="3">
                  <c:v>38.262203520564171</c:v>
                </c:pt>
                <c:pt idx="4">
                  <c:v>36.431145744166727</c:v>
                </c:pt>
                <c:pt idx="5">
                  <c:v>35.879866954339498</c:v>
                </c:pt>
                <c:pt idx="6">
                  <c:v>35.76894843719986</c:v>
                </c:pt>
                <c:pt idx="7">
                  <c:v>35.264988412878523</c:v>
                </c:pt>
                <c:pt idx="8">
                  <c:v>32.7773381221972</c:v>
                </c:pt>
                <c:pt idx="9">
                  <c:v>31.785477942574715</c:v>
                </c:pt>
                <c:pt idx="10">
                  <c:v>29.791298436437796</c:v>
                </c:pt>
                <c:pt idx="11">
                  <c:v>24.553149510400935</c:v>
                </c:pt>
                <c:pt idx="12">
                  <c:v>17.812380274752339</c:v>
                </c:pt>
                <c:pt idx="14">
                  <c:v>29.666349514682061</c:v>
                </c:pt>
              </c:numCache>
            </c:numRef>
          </c:val>
          <c:extLst>
            <c:ext xmlns:c16="http://schemas.microsoft.com/office/drawing/2014/chart" uri="{C3380CC4-5D6E-409C-BE32-E72D297353CC}">
              <c16:uniqueId val="{00000000-E541-45CB-9A47-C7231D01D637}"/>
            </c:ext>
          </c:extLst>
        </c:ser>
        <c:dLbls>
          <c:showLegendKey val="0"/>
          <c:showVal val="0"/>
          <c:showCatName val="0"/>
          <c:showSerName val="0"/>
          <c:showPercent val="0"/>
          <c:showBubbleSize val="0"/>
        </c:dLbls>
        <c:gapWidth val="219"/>
        <c:overlap val="-27"/>
        <c:axId val="93940736"/>
        <c:axId val="93946624"/>
      </c:barChart>
      <c:catAx>
        <c:axId val="9394073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93946624"/>
        <c:crosses val="autoZero"/>
        <c:auto val="1"/>
        <c:lblAlgn val="ctr"/>
        <c:lblOffset val="100"/>
        <c:noMultiLvlLbl val="0"/>
      </c:catAx>
      <c:valAx>
        <c:axId val="93946624"/>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93940736"/>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cs-CZ"/>
    </a:p>
  </c:txPr>
  <c:externalData r:id="rId1">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7.0140565762613002E-2"/>
          <c:y val="6.6076683886988799E-2"/>
          <c:w val="0.90478820916616187"/>
          <c:h val="0.73062713759744735"/>
        </c:manualLayout>
      </c:layout>
      <c:lineChart>
        <c:grouping val="standard"/>
        <c:varyColors val="0"/>
        <c:ser>
          <c:idx val="0"/>
          <c:order val="0"/>
          <c:tx>
            <c:strRef>
              <c:f>'Grafy přehled'!$A$120</c:f>
              <c:strCache>
                <c:ptCount val="1"/>
                <c:pt idx="0">
                  <c:v>DU/VPM ČR</c:v>
                </c:pt>
              </c:strCache>
            </c:strRef>
          </c:tx>
          <c:spPr>
            <a:ln w="28575" cap="rnd">
              <a:solidFill>
                <a:schemeClr val="bg1">
                  <a:lumMod val="50000"/>
                </a:schemeClr>
              </a:solidFill>
              <a:round/>
            </a:ln>
            <a:effectLst/>
          </c:spPr>
          <c:marker>
            <c:symbol val="none"/>
          </c:marker>
          <c:dLbls>
            <c:dLbl>
              <c:idx val="5"/>
              <c:layout>
                <c:manualLayout>
                  <c:x val="-3.2324831190972923E-2"/>
                  <c:y val="-4.480244446566892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88E0-4151-967C-EE534013BB1F}"/>
                </c:ext>
              </c:extLst>
            </c:dLbl>
            <c:dLbl>
              <c:idx val="7"/>
              <c:layout>
                <c:manualLayout>
                  <c:x val="-3.2324831190972923E-2"/>
                  <c:y val="-4.952220760045383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88E0-4151-967C-EE534013BB1F}"/>
                </c:ext>
              </c:extLst>
            </c:dLbl>
            <c:dLbl>
              <c:idx val="8"/>
              <c:layout>
                <c:manualLayout>
                  <c:x val="-3.2324831190972923E-2"/>
                  <c:y val="-4.0082681330884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88E0-4151-967C-EE534013BB1F}"/>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cs-CZ"/>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'Grafy přehled'!$B$119:$Q$119</c:f>
              <c:strCache>
                <c:ptCount val="16"/>
                <c:pt idx="0">
                  <c:v>III.15</c:v>
                </c:pt>
                <c:pt idx="1">
                  <c:v>VI.15</c:v>
                </c:pt>
                <c:pt idx="2">
                  <c:v>IX.15</c:v>
                </c:pt>
                <c:pt idx="3">
                  <c:v>XII.15</c:v>
                </c:pt>
                <c:pt idx="4">
                  <c:v>III.16</c:v>
                </c:pt>
                <c:pt idx="5">
                  <c:v>VI.16</c:v>
                </c:pt>
                <c:pt idx="6">
                  <c:v>IX.16</c:v>
                </c:pt>
                <c:pt idx="7">
                  <c:v>XII.16</c:v>
                </c:pt>
                <c:pt idx="8">
                  <c:v>III.17</c:v>
                </c:pt>
                <c:pt idx="9">
                  <c:v>VI.17</c:v>
                </c:pt>
                <c:pt idx="10">
                  <c:v>IX.17</c:v>
                </c:pt>
                <c:pt idx="11">
                  <c:v>XII.17</c:v>
                </c:pt>
                <c:pt idx="12">
                  <c:v>III.18</c:v>
                </c:pt>
                <c:pt idx="13">
                  <c:v>VI.18</c:v>
                </c:pt>
                <c:pt idx="14">
                  <c:v>IX.18</c:v>
                </c:pt>
                <c:pt idx="15">
                  <c:v>XII.18</c:v>
                </c:pt>
              </c:strCache>
            </c:strRef>
          </c:cat>
          <c:val>
            <c:numRef>
              <c:f>'Grafy přehled'!$B$120:$Q$120</c:f>
              <c:numCache>
                <c:formatCode>0.0</c:formatCode>
                <c:ptCount val="16"/>
                <c:pt idx="0">
                  <c:v>6.6097207204831347</c:v>
                </c:pt>
                <c:pt idx="1">
                  <c:v>4.452876351610529</c:v>
                </c:pt>
                <c:pt idx="2">
                  <c:v>3.8792897545802125</c:v>
                </c:pt>
                <c:pt idx="3">
                  <c:v>4.2257995004652527</c:v>
                </c:pt>
                <c:pt idx="4">
                  <c:v>3.7011669650968941</c:v>
                </c:pt>
                <c:pt idx="5">
                  <c:v>2.8635779452598173</c:v>
                </c:pt>
                <c:pt idx="6">
                  <c:v>2.698626070409134</c:v>
                </c:pt>
                <c:pt idx="7">
                  <c:v>2.9457503622438419</c:v>
                </c:pt>
                <c:pt idx="8">
                  <c:v>2.4274666804804226</c:v>
                </c:pt>
                <c:pt idx="9">
                  <c:v>1.7061658853772872</c:v>
                </c:pt>
                <c:pt idx="10">
                  <c:v>1.4607450374098609</c:v>
                </c:pt>
                <c:pt idx="11">
                  <c:v>1.4076969926420964</c:v>
                </c:pt>
                <c:pt idx="12">
                  <c:v>1.1473224412964258</c:v>
                </c:pt>
                <c:pt idx="13">
                  <c:v>0.82862983645791788</c:v>
                </c:pt>
                <c:pt idx="14">
                  <c:v>0.80442378123382896</c:v>
                </c:pt>
                <c:pt idx="15">
                  <c:v>0.8338926241765996</c:v>
                </c:pt>
              </c:numCache>
            </c:numRef>
          </c:val>
          <c:smooth val="0"/>
          <c:extLst>
            <c:ext xmlns:c16="http://schemas.microsoft.com/office/drawing/2014/chart" uri="{C3380CC4-5D6E-409C-BE32-E72D297353CC}">
              <c16:uniqueId val="{00000003-88E0-4151-967C-EE534013BB1F}"/>
            </c:ext>
          </c:extLst>
        </c:ser>
        <c:ser>
          <c:idx val="1"/>
          <c:order val="1"/>
          <c:tx>
            <c:strRef>
              <c:f>'Grafy přehled'!$A$121</c:f>
              <c:strCache>
                <c:ptCount val="1"/>
                <c:pt idx="0">
                  <c:v>DU/VPM město</c:v>
                </c:pt>
              </c:strCache>
            </c:strRef>
          </c:tx>
          <c:spPr>
            <a:ln w="28575" cap="rnd">
              <a:solidFill>
                <a:srgbClr val="FF0000"/>
              </a:solidFill>
              <a:round/>
            </a:ln>
            <a:effectLst/>
          </c:spPr>
          <c:marker>
            <c:symbol val="none"/>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rgbClr val="FF0000"/>
                    </a:solidFill>
                    <a:latin typeface="+mn-lt"/>
                    <a:ea typeface="+mn-ea"/>
                    <a:cs typeface="+mn-cs"/>
                  </a:defRPr>
                </a:pPr>
                <a:endParaRPr lang="cs-CZ"/>
              </a:p>
            </c:txPr>
            <c:dLblPos val="b"/>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'Grafy přehled'!$B$119:$Q$119</c:f>
              <c:strCache>
                <c:ptCount val="16"/>
                <c:pt idx="0">
                  <c:v>III.15</c:v>
                </c:pt>
                <c:pt idx="1">
                  <c:v>VI.15</c:v>
                </c:pt>
                <c:pt idx="2">
                  <c:v>IX.15</c:v>
                </c:pt>
                <c:pt idx="3">
                  <c:v>XII.15</c:v>
                </c:pt>
                <c:pt idx="4">
                  <c:v>III.16</c:v>
                </c:pt>
                <c:pt idx="5">
                  <c:v>VI.16</c:v>
                </c:pt>
                <c:pt idx="6">
                  <c:v>IX.16</c:v>
                </c:pt>
                <c:pt idx="7">
                  <c:v>XII.16</c:v>
                </c:pt>
                <c:pt idx="8">
                  <c:v>III.17</c:v>
                </c:pt>
                <c:pt idx="9">
                  <c:v>VI.17</c:v>
                </c:pt>
                <c:pt idx="10">
                  <c:v>IX.17</c:v>
                </c:pt>
                <c:pt idx="11">
                  <c:v>XII.17</c:v>
                </c:pt>
                <c:pt idx="12">
                  <c:v>III.18</c:v>
                </c:pt>
                <c:pt idx="13">
                  <c:v>VI.18</c:v>
                </c:pt>
                <c:pt idx="14">
                  <c:v>IX.18</c:v>
                </c:pt>
                <c:pt idx="15">
                  <c:v>XII.18</c:v>
                </c:pt>
              </c:strCache>
            </c:strRef>
          </c:cat>
          <c:val>
            <c:numRef>
              <c:f>'Grafy přehled'!$B$121:$Q$121</c:f>
              <c:numCache>
                <c:formatCode>0.0</c:formatCode>
                <c:ptCount val="16"/>
                <c:pt idx="0">
                  <c:v>6.0628036651775528</c:v>
                </c:pt>
                <c:pt idx="1">
                  <c:v>4.199785725218101</c:v>
                </c:pt>
                <c:pt idx="2">
                  <c:v>3.6047776114194368</c:v>
                </c:pt>
                <c:pt idx="3">
                  <c:v>3.7901641669325956</c:v>
                </c:pt>
                <c:pt idx="4">
                  <c:v>3.3555155103616938</c:v>
                </c:pt>
                <c:pt idx="5">
                  <c:v>2.6873561662379855</c:v>
                </c:pt>
                <c:pt idx="6">
                  <c:v>2.5107124419204956</c:v>
                </c:pt>
                <c:pt idx="7">
                  <c:v>2.7036893402051336</c:v>
                </c:pt>
                <c:pt idx="8">
                  <c:v>2.2495995313372448</c:v>
                </c:pt>
                <c:pt idx="9">
                  <c:v>1.6368549756241919</c:v>
                </c:pt>
                <c:pt idx="10">
                  <c:v>1.3837732526294624</c:v>
                </c:pt>
                <c:pt idx="11">
                  <c:v>1.2942773373873384</c:v>
                </c:pt>
                <c:pt idx="12">
                  <c:v>1.0707600466456801</c:v>
                </c:pt>
                <c:pt idx="13">
                  <c:v>0.79888369208506682</c:v>
                </c:pt>
                <c:pt idx="14">
                  <c:v>0.76178522993465669</c:v>
                </c:pt>
                <c:pt idx="15">
                  <c:v>0.76848964162252231</c:v>
                </c:pt>
              </c:numCache>
            </c:numRef>
          </c:val>
          <c:smooth val="0"/>
          <c:extLst>
            <c:ext xmlns:c16="http://schemas.microsoft.com/office/drawing/2014/chart" uri="{C3380CC4-5D6E-409C-BE32-E72D297353CC}">
              <c16:uniqueId val="{00000004-88E0-4151-967C-EE534013BB1F}"/>
            </c:ext>
          </c:extLst>
        </c:ser>
        <c:ser>
          <c:idx val="2"/>
          <c:order val="2"/>
          <c:tx>
            <c:strRef>
              <c:f>'Grafy přehled'!$A$122</c:f>
              <c:strCache>
                <c:ptCount val="1"/>
                <c:pt idx="0">
                  <c:v>DU/VPM venkov</c:v>
                </c:pt>
              </c:strCache>
            </c:strRef>
          </c:tx>
          <c:spPr>
            <a:ln w="28575" cap="rnd">
              <a:solidFill>
                <a:srgbClr val="00B050"/>
              </a:solidFill>
              <a:round/>
            </a:ln>
            <a:effectLst/>
          </c:spPr>
          <c:marker>
            <c:symbol val="none"/>
          </c:marker>
          <c:dLbls>
            <c:dLbl>
              <c:idx val="1"/>
              <c:layout>
                <c:manualLayout>
                  <c:x val="-2.3208022074163805E-2"/>
                  <c:y val="-6.840126013959349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88E0-4151-967C-EE534013BB1F}"/>
                </c:ext>
              </c:extLst>
            </c:dLbl>
            <c:dLbl>
              <c:idx val="9"/>
              <c:layout>
                <c:manualLayout>
                  <c:x val="-3.2324831190972923E-2"/>
                  <c:y val="-8.728031267873315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88E0-4151-967C-EE534013BB1F}"/>
                </c:ext>
              </c:extLst>
            </c:dLbl>
            <c:dLbl>
              <c:idx val="10"/>
              <c:layout>
                <c:manualLayout>
                  <c:x val="-3.2324831190973007E-2"/>
                  <c:y val="-8.728031267873315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88E0-4151-967C-EE534013BB1F}"/>
                </c:ext>
              </c:extLst>
            </c:dLbl>
            <c:dLbl>
              <c:idx val="11"/>
              <c:layout>
                <c:manualLayout>
                  <c:x val="-3.2324831190973007E-2"/>
                  <c:y val="-7.312102327437841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88E0-4151-967C-EE534013BB1F}"/>
                </c:ext>
              </c:extLst>
            </c:dLbl>
            <c:dLbl>
              <c:idx val="12"/>
              <c:layout>
                <c:manualLayout>
                  <c:x val="-3.2324831190972923E-2"/>
                  <c:y val="-8.256054954394824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88E0-4151-967C-EE534013BB1F}"/>
                </c:ext>
              </c:extLst>
            </c:dLbl>
            <c:dLbl>
              <c:idx val="13"/>
              <c:layout>
                <c:manualLayout>
                  <c:x val="-3.2324831190972923E-2"/>
                  <c:y val="-0.1014396020830879"/>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88E0-4151-967C-EE534013BB1F}"/>
                </c:ext>
              </c:extLst>
            </c:dLbl>
            <c:dLbl>
              <c:idx val="14"/>
              <c:layout>
                <c:manualLayout>
                  <c:x val="-3.2324831190972923E-2"/>
                  <c:y val="-9.200007581351807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88E0-4151-967C-EE534013BB1F}"/>
                </c:ext>
              </c:extLst>
            </c:dLbl>
            <c:dLbl>
              <c:idx val="15"/>
              <c:layout>
                <c:manualLayout>
                  <c:x val="-3.232483119097309E-2"/>
                  <c:y val="-0.10615936521787281"/>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88E0-4151-967C-EE534013BB1F}"/>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rgbClr val="33CC33"/>
                    </a:solidFill>
                    <a:latin typeface="+mn-lt"/>
                    <a:ea typeface="+mn-ea"/>
                    <a:cs typeface="+mn-cs"/>
                  </a:defRPr>
                </a:pPr>
                <a:endParaRPr lang="cs-CZ"/>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'Grafy přehled'!$B$119:$Q$119</c:f>
              <c:strCache>
                <c:ptCount val="16"/>
                <c:pt idx="0">
                  <c:v>III.15</c:v>
                </c:pt>
                <c:pt idx="1">
                  <c:v>VI.15</c:v>
                </c:pt>
                <c:pt idx="2">
                  <c:v>IX.15</c:v>
                </c:pt>
                <c:pt idx="3">
                  <c:v>XII.15</c:v>
                </c:pt>
                <c:pt idx="4">
                  <c:v>III.16</c:v>
                </c:pt>
                <c:pt idx="5">
                  <c:v>VI.16</c:v>
                </c:pt>
                <c:pt idx="6">
                  <c:v>IX.16</c:v>
                </c:pt>
                <c:pt idx="7">
                  <c:v>XII.16</c:v>
                </c:pt>
                <c:pt idx="8">
                  <c:v>III.17</c:v>
                </c:pt>
                <c:pt idx="9">
                  <c:v>VI.17</c:v>
                </c:pt>
                <c:pt idx="10">
                  <c:v>IX.17</c:v>
                </c:pt>
                <c:pt idx="11">
                  <c:v>XII.17</c:v>
                </c:pt>
                <c:pt idx="12">
                  <c:v>III.18</c:v>
                </c:pt>
                <c:pt idx="13">
                  <c:v>VI.18</c:v>
                </c:pt>
                <c:pt idx="14">
                  <c:v>IX.18</c:v>
                </c:pt>
                <c:pt idx="15">
                  <c:v>XII.18</c:v>
                </c:pt>
              </c:strCache>
            </c:strRef>
          </c:cat>
          <c:val>
            <c:numRef>
              <c:f>'Grafy přehled'!$B$122:$Q$122</c:f>
              <c:numCache>
                <c:formatCode>0.0</c:formatCode>
                <c:ptCount val="16"/>
                <c:pt idx="0">
                  <c:v>8.9225041367898505</c:v>
                </c:pt>
                <c:pt idx="1">
                  <c:v>5.5519246746053721</c:v>
                </c:pt>
                <c:pt idx="2">
                  <c:v>5.1501459245361687</c:v>
                </c:pt>
                <c:pt idx="3">
                  <c:v>6.3336955278508524</c:v>
                </c:pt>
                <c:pt idx="4">
                  <c:v>5.3009482202253881</c:v>
                </c:pt>
                <c:pt idx="5">
                  <c:v>3.6688317426652528</c:v>
                </c:pt>
                <c:pt idx="6">
                  <c:v>3.588612845478758</c:v>
                </c:pt>
                <c:pt idx="7">
                  <c:v>3.9864853005704255</c:v>
                </c:pt>
                <c:pt idx="8">
                  <c:v>3.178179570390975</c:v>
                </c:pt>
                <c:pt idx="9">
                  <c:v>1.9998350161684155</c:v>
                </c:pt>
                <c:pt idx="10">
                  <c:v>1.7972116987422337</c:v>
                </c:pt>
                <c:pt idx="11">
                  <c:v>1.8864189750494142</c:v>
                </c:pt>
                <c:pt idx="12">
                  <c:v>1.4513219135358189</c:v>
                </c:pt>
                <c:pt idx="13">
                  <c:v>0.9506327235729275</c:v>
                </c:pt>
                <c:pt idx="14">
                  <c:v>0.9903039944962807</c:v>
                </c:pt>
                <c:pt idx="15">
                  <c:v>1.1056885361114557</c:v>
                </c:pt>
              </c:numCache>
            </c:numRef>
          </c:val>
          <c:smooth val="0"/>
          <c:extLst>
            <c:ext xmlns:c16="http://schemas.microsoft.com/office/drawing/2014/chart" uri="{C3380CC4-5D6E-409C-BE32-E72D297353CC}">
              <c16:uniqueId val="{0000000D-88E0-4151-967C-EE534013BB1F}"/>
            </c:ext>
          </c:extLst>
        </c:ser>
        <c:dLbls>
          <c:showLegendKey val="0"/>
          <c:showVal val="0"/>
          <c:showCatName val="0"/>
          <c:showSerName val="0"/>
          <c:showPercent val="0"/>
          <c:showBubbleSize val="0"/>
        </c:dLbls>
        <c:smooth val="0"/>
        <c:axId val="113944832"/>
        <c:axId val="113971200"/>
      </c:lineChart>
      <c:catAx>
        <c:axId val="11394483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113971200"/>
        <c:crosses val="autoZero"/>
        <c:auto val="1"/>
        <c:lblAlgn val="ctr"/>
        <c:lblOffset val="100"/>
        <c:noMultiLvlLbl val="0"/>
      </c:catAx>
      <c:valAx>
        <c:axId val="113971200"/>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11394483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cs-CZ"/>
    </a:p>
  </c:txPr>
  <c:externalData r:id="rId1">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DUVPM!$R$2</c:f>
              <c:strCache>
                <c:ptCount val="1"/>
                <c:pt idx="0">
                  <c:v>počet DU</c:v>
                </c:pt>
              </c:strCache>
            </c:strRef>
          </c:tx>
          <c:spPr>
            <a:solidFill>
              <a:schemeClr val="accent1"/>
            </a:solidFill>
            <a:ln>
              <a:noFill/>
            </a:ln>
            <a:effectLst/>
          </c:spPr>
          <c:invertIfNegative val="0"/>
          <c:cat>
            <c:strRef>
              <c:f>DUVPM!$Q$3:$Q$8</c:f>
              <c:strCache>
                <c:ptCount val="6"/>
                <c:pt idx="0">
                  <c:v> do 99</c:v>
                </c:pt>
                <c:pt idx="1">
                  <c:v>100-199</c:v>
                </c:pt>
                <c:pt idx="2">
                  <c:v>200-499</c:v>
                </c:pt>
                <c:pt idx="3">
                  <c:v>500-999</c:v>
                </c:pt>
                <c:pt idx="4">
                  <c:v>1000-1999</c:v>
                </c:pt>
                <c:pt idx="5">
                  <c:v>2000 a více </c:v>
                </c:pt>
              </c:strCache>
            </c:strRef>
          </c:cat>
          <c:val>
            <c:numRef>
              <c:f>DUVPM!$R$3:$R$8</c:f>
              <c:numCache>
                <c:formatCode>General</c:formatCode>
                <c:ptCount val="6"/>
                <c:pt idx="0">
                  <c:v>612.5</c:v>
                </c:pt>
                <c:pt idx="1">
                  <c:v>2876.5</c:v>
                </c:pt>
                <c:pt idx="2">
                  <c:v>12317.25</c:v>
                </c:pt>
                <c:pt idx="3">
                  <c:v>17276</c:v>
                </c:pt>
                <c:pt idx="4">
                  <c:v>18141.75</c:v>
                </c:pt>
                <c:pt idx="5">
                  <c:v>160191.5</c:v>
                </c:pt>
              </c:numCache>
            </c:numRef>
          </c:val>
          <c:extLst>
            <c:ext xmlns:c16="http://schemas.microsoft.com/office/drawing/2014/chart" uri="{C3380CC4-5D6E-409C-BE32-E72D297353CC}">
              <c16:uniqueId val="{00000000-6949-492E-8DBF-0F30D6E02844}"/>
            </c:ext>
          </c:extLst>
        </c:ser>
        <c:ser>
          <c:idx val="1"/>
          <c:order val="1"/>
          <c:tx>
            <c:strRef>
              <c:f>DUVPM!$S$2</c:f>
              <c:strCache>
                <c:ptCount val="1"/>
                <c:pt idx="0">
                  <c:v>počet VPM</c:v>
                </c:pt>
              </c:strCache>
            </c:strRef>
          </c:tx>
          <c:spPr>
            <a:solidFill>
              <a:schemeClr val="accent2"/>
            </a:solidFill>
            <a:ln>
              <a:noFill/>
            </a:ln>
            <a:effectLst/>
          </c:spPr>
          <c:invertIfNegative val="0"/>
          <c:cat>
            <c:strRef>
              <c:f>DUVPM!$Q$3:$Q$8</c:f>
              <c:strCache>
                <c:ptCount val="6"/>
                <c:pt idx="0">
                  <c:v> do 99</c:v>
                </c:pt>
                <c:pt idx="1">
                  <c:v>100-199</c:v>
                </c:pt>
                <c:pt idx="2">
                  <c:v>200-499</c:v>
                </c:pt>
                <c:pt idx="3">
                  <c:v>500-999</c:v>
                </c:pt>
                <c:pt idx="4">
                  <c:v>1000-1999</c:v>
                </c:pt>
                <c:pt idx="5">
                  <c:v>2000 a více </c:v>
                </c:pt>
              </c:strCache>
            </c:strRef>
          </c:cat>
          <c:val>
            <c:numRef>
              <c:f>DUVPM!$S$3:$S$8</c:f>
              <c:numCache>
                <c:formatCode>General</c:formatCode>
                <c:ptCount val="6"/>
                <c:pt idx="0">
                  <c:v>208</c:v>
                </c:pt>
                <c:pt idx="1">
                  <c:v>1095.5</c:v>
                </c:pt>
                <c:pt idx="2">
                  <c:v>10466.25</c:v>
                </c:pt>
                <c:pt idx="3">
                  <c:v>16636.75</c:v>
                </c:pt>
                <c:pt idx="4">
                  <c:v>17531.25</c:v>
                </c:pt>
                <c:pt idx="5">
                  <c:v>190704.5</c:v>
                </c:pt>
              </c:numCache>
            </c:numRef>
          </c:val>
          <c:extLst>
            <c:ext xmlns:c16="http://schemas.microsoft.com/office/drawing/2014/chart" uri="{C3380CC4-5D6E-409C-BE32-E72D297353CC}">
              <c16:uniqueId val="{00000001-6949-492E-8DBF-0F30D6E02844}"/>
            </c:ext>
          </c:extLst>
        </c:ser>
        <c:dLbls>
          <c:showLegendKey val="0"/>
          <c:showVal val="0"/>
          <c:showCatName val="0"/>
          <c:showSerName val="0"/>
          <c:showPercent val="0"/>
          <c:showBubbleSize val="0"/>
        </c:dLbls>
        <c:gapWidth val="219"/>
        <c:overlap val="-27"/>
        <c:axId val="114008448"/>
        <c:axId val="114009984"/>
      </c:barChart>
      <c:lineChart>
        <c:grouping val="standard"/>
        <c:varyColors val="0"/>
        <c:ser>
          <c:idx val="2"/>
          <c:order val="2"/>
          <c:tx>
            <c:strRef>
              <c:f>DUVPM!$T$2</c:f>
              <c:strCache>
                <c:ptCount val="1"/>
                <c:pt idx="0">
                  <c:v>DU/VPM</c:v>
                </c:pt>
              </c:strCache>
            </c:strRef>
          </c:tx>
          <c:spPr>
            <a:ln w="28575" cap="rnd">
              <a:solidFill>
                <a:schemeClr val="accent3"/>
              </a:solidFill>
              <a:round/>
            </a:ln>
            <a:effectLst/>
          </c:spPr>
          <c:marker>
            <c:symbol val="none"/>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cs-CZ"/>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DUVPM!$Q$3:$Q$8</c:f>
              <c:strCache>
                <c:ptCount val="6"/>
                <c:pt idx="0">
                  <c:v> do 99</c:v>
                </c:pt>
                <c:pt idx="1">
                  <c:v>100-199</c:v>
                </c:pt>
                <c:pt idx="2">
                  <c:v>200-499</c:v>
                </c:pt>
                <c:pt idx="3">
                  <c:v>500-999</c:v>
                </c:pt>
                <c:pt idx="4">
                  <c:v>1000-1999</c:v>
                </c:pt>
                <c:pt idx="5">
                  <c:v>2000 a více </c:v>
                </c:pt>
              </c:strCache>
            </c:strRef>
          </c:cat>
          <c:val>
            <c:numRef>
              <c:f>DUVPM!$T$3:$T$8</c:f>
              <c:numCache>
                <c:formatCode>0.0</c:formatCode>
                <c:ptCount val="6"/>
                <c:pt idx="0">
                  <c:v>2.9447115384615383</c:v>
                </c:pt>
                <c:pt idx="1">
                  <c:v>2.6257416704701049</c:v>
                </c:pt>
                <c:pt idx="2">
                  <c:v>1.1768541741311358</c:v>
                </c:pt>
                <c:pt idx="3">
                  <c:v>1.0384239710279952</c:v>
                </c:pt>
                <c:pt idx="4">
                  <c:v>1.0348235294117647</c:v>
                </c:pt>
                <c:pt idx="5">
                  <c:v>0.83999853175986927</c:v>
                </c:pt>
              </c:numCache>
            </c:numRef>
          </c:val>
          <c:smooth val="0"/>
          <c:extLst>
            <c:ext xmlns:c16="http://schemas.microsoft.com/office/drawing/2014/chart" uri="{C3380CC4-5D6E-409C-BE32-E72D297353CC}">
              <c16:uniqueId val="{00000002-6949-492E-8DBF-0F30D6E02844}"/>
            </c:ext>
          </c:extLst>
        </c:ser>
        <c:dLbls>
          <c:showLegendKey val="0"/>
          <c:showVal val="0"/>
          <c:showCatName val="0"/>
          <c:showSerName val="0"/>
          <c:showPercent val="0"/>
          <c:showBubbleSize val="0"/>
        </c:dLbls>
        <c:marker val="1"/>
        <c:smooth val="0"/>
        <c:axId val="114017408"/>
        <c:axId val="114011520"/>
      </c:lineChart>
      <c:catAx>
        <c:axId val="11400844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114009984"/>
        <c:crosses val="autoZero"/>
        <c:auto val="1"/>
        <c:lblAlgn val="ctr"/>
        <c:lblOffset val="100"/>
        <c:noMultiLvlLbl val="0"/>
      </c:catAx>
      <c:valAx>
        <c:axId val="114009984"/>
        <c:scaling>
          <c:orientation val="minMax"/>
          <c:max val="200000"/>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114008448"/>
        <c:crosses val="autoZero"/>
        <c:crossBetween val="between"/>
      </c:valAx>
      <c:valAx>
        <c:axId val="114011520"/>
        <c:scaling>
          <c:orientation val="minMax"/>
          <c:max val="3"/>
        </c:scaling>
        <c:delete val="0"/>
        <c:axPos val="r"/>
        <c:numFmt formatCode="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cs-CZ"/>
          </a:p>
        </c:txPr>
        <c:crossAx val="114017408"/>
        <c:crosses val="max"/>
        <c:crossBetween val="between"/>
      </c:valAx>
      <c:catAx>
        <c:axId val="114017408"/>
        <c:scaling>
          <c:orientation val="minMax"/>
        </c:scaling>
        <c:delete val="1"/>
        <c:axPos val="b"/>
        <c:numFmt formatCode="General" sourceLinked="1"/>
        <c:majorTickMark val="out"/>
        <c:minorTickMark val="none"/>
        <c:tickLblPos val="nextTo"/>
        <c:crossAx val="114011520"/>
        <c:crosses val="autoZero"/>
        <c:auto val="1"/>
        <c:lblAlgn val="ctr"/>
        <c:lblOffset val="100"/>
        <c:noMultiLvlLbl val="0"/>
      </c:cat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cs-CZ"/>
    </a:p>
  </c:txPr>
  <c:externalData r:id="rId1">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fin!$A$3</c:f>
              <c:strCache>
                <c:ptCount val="1"/>
                <c:pt idx="0">
                  <c:v>Převážně městské</c:v>
                </c:pt>
              </c:strCache>
            </c:strRef>
          </c:tx>
          <c:spPr>
            <a:ln w="28575" cap="rnd">
              <a:solidFill>
                <a:schemeClr val="accent1"/>
              </a:solidFill>
              <a:round/>
            </a:ln>
            <a:effectLst/>
          </c:spPr>
          <c:marker>
            <c:symbol val="none"/>
          </c:marker>
          <c:cat>
            <c:numRef>
              <c:f>fin!$B$2:$I$2</c:f>
              <c:numCache>
                <c:formatCode>General</c:formatCode>
                <c:ptCount val="8"/>
                <c:pt idx="0">
                  <c:v>2011</c:v>
                </c:pt>
                <c:pt idx="1">
                  <c:v>2012</c:v>
                </c:pt>
                <c:pt idx="2">
                  <c:v>2013</c:v>
                </c:pt>
                <c:pt idx="3">
                  <c:v>2014</c:v>
                </c:pt>
                <c:pt idx="4">
                  <c:v>2015</c:v>
                </c:pt>
                <c:pt idx="5">
                  <c:v>2016</c:v>
                </c:pt>
                <c:pt idx="6">
                  <c:v>2017</c:v>
                </c:pt>
                <c:pt idx="7">
                  <c:v>2018</c:v>
                </c:pt>
              </c:numCache>
            </c:numRef>
          </c:cat>
          <c:val>
            <c:numRef>
              <c:f>fin!$B$3:$I$3</c:f>
              <c:numCache>
                <c:formatCode>0</c:formatCode>
                <c:ptCount val="8"/>
                <c:pt idx="0">
                  <c:v>29934.58214285714</c:v>
                </c:pt>
                <c:pt idx="1">
                  <c:v>30436.325168236875</c:v>
                </c:pt>
                <c:pt idx="2">
                  <c:v>30153.335615204469</c:v>
                </c:pt>
                <c:pt idx="3">
                  <c:v>30903.38611135778</c:v>
                </c:pt>
                <c:pt idx="4">
                  <c:v>31835.357553580765</c:v>
                </c:pt>
                <c:pt idx="5">
                  <c:v>32913.671922173766</c:v>
                </c:pt>
                <c:pt idx="6">
                  <c:v>34649.092789358423</c:v>
                </c:pt>
                <c:pt idx="7">
                  <c:v>37535.504543626856</c:v>
                </c:pt>
              </c:numCache>
            </c:numRef>
          </c:val>
          <c:smooth val="0"/>
          <c:extLst>
            <c:ext xmlns:c16="http://schemas.microsoft.com/office/drawing/2014/chart" uri="{C3380CC4-5D6E-409C-BE32-E72D297353CC}">
              <c16:uniqueId val="{00000000-7A89-4C7C-B14C-E7C5DB0267FD}"/>
            </c:ext>
          </c:extLst>
        </c:ser>
        <c:ser>
          <c:idx val="1"/>
          <c:order val="1"/>
          <c:tx>
            <c:strRef>
              <c:f>fin!$A$4</c:f>
              <c:strCache>
                <c:ptCount val="1"/>
                <c:pt idx="0">
                  <c:v>Převážně venkovské</c:v>
                </c:pt>
              </c:strCache>
            </c:strRef>
          </c:tx>
          <c:spPr>
            <a:ln w="28575" cap="rnd">
              <a:solidFill>
                <a:srgbClr val="00B050"/>
              </a:solidFill>
              <a:round/>
            </a:ln>
            <a:effectLst/>
          </c:spPr>
          <c:marker>
            <c:symbol val="none"/>
          </c:marker>
          <c:cat>
            <c:numRef>
              <c:f>fin!$B$2:$I$2</c:f>
              <c:numCache>
                <c:formatCode>General</c:formatCode>
                <c:ptCount val="8"/>
                <c:pt idx="0">
                  <c:v>2011</c:v>
                </c:pt>
                <c:pt idx="1">
                  <c:v>2012</c:v>
                </c:pt>
                <c:pt idx="2">
                  <c:v>2013</c:v>
                </c:pt>
                <c:pt idx="3">
                  <c:v>2014</c:v>
                </c:pt>
                <c:pt idx="4">
                  <c:v>2015</c:v>
                </c:pt>
                <c:pt idx="5">
                  <c:v>2016</c:v>
                </c:pt>
                <c:pt idx="6">
                  <c:v>2017</c:v>
                </c:pt>
                <c:pt idx="7">
                  <c:v>2018</c:v>
                </c:pt>
              </c:numCache>
            </c:numRef>
          </c:cat>
          <c:val>
            <c:numRef>
              <c:f>fin!$B$4:$I$4</c:f>
              <c:numCache>
                <c:formatCode>0</c:formatCode>
                <c:ptCount val="8"/>
                <c:pt idx="0">
                  <c:v>21869.772856527357</c:v>
                </c:pt>
                <c:pt idx="1">
                  <c:v>22437.934082073425</c:v>
                </c:pt>
                <c:pt idx="2">
                  <c:v>22461.605817801777</c:v>
                </c:pt>
                <c:pt idx="3">
                  <c:v>23252.343313201032</c:v>
                </c:pt>
                <c:pt idx="4">
                  <c:v>24032.897453196158</c:v>
                </c:pt>
                <c:pt idx="5">
                  <c:v>25162.908212966075</c:v>
                </c:pt>
                <c:pt idx="6">
                  <c:v>26862.283280704669</c:v>
                </c:pt>
                <c:pt idx="7">
                  <c:v>29102.307184750734</c:v>
                </c:pt>
              </c:numCache>
            </c:numRef>
          </c:val>
          <c:smooth val="0"/>
          <c:extLst>
            <c:ext xmlns:c16="http://schemas.microsoft.com/office/drawing/2014/chart" uri="{C3380CC4-5D6E-409C-BE32-E72D297353CC}">
              <c16:uniqueId val="{00000001-7A89-4C7C-B14C-E7C5DB0267FD}"/>
            </c:ext>
          </c:extLst>
        </c:ser>
        <c:ser>
          <c:idx val="2"/>
          <c:order val="2"/>
          <c:tx>
            <c:strRef>
              <c:f>fin!$A$5</c:f>
              <c:strCache>
                <c:ptCount val="1"/>
                <c:pt idx="0">
                  <c:v>Přechodné</c:v>
                </c:pt>
              </c:strCache>
            </c:strRef>
          </c:tx>
          <c:spPr>
            <a:ln w="28575" cap="rnd">
              <a:solidFill>
                <a:srgbClr val="C00000"/>
              </a:solidFill>
              <a:round/>
            </a:ln>
            <a:effectLst/>
          </c:spPr>
          <c:marker>
            <c:symbol val="none"/>
          </c:marker>
          <c:cat>
            <c:numRef>
              <c:f>fin!$B$2:$I$2</c:f>
              <c:numCache>
                <c:formatCode>General</c:formatCode>
                <c:ptCount val="8"/>
                <c:pt idx="0">
                  <c:v>2011</c:v>
                </c:pt>
                <c:pt idx="1">
                  <c:v>2012</c:v>
                </c:pt>
                <c:pt idx="2">
                  <c:v>2013</c:v>
                </c:pt>
                <c:pt idx="3">
                  <c:v>2014</c:v>
                </c:pt>
                <c:pt idx="4">
                  <c:v>2015</c:v>
                </c:pt>
                <c:pt idx="5">
                  <c:v>2016</c:v>
                </c:pt>
                <c:pt idx="6">
                  <c:v>2017</c:v>
                </c:pt>
                <c:pt idx="7">
                  <c:v>2018</c:v>
                </c:pt>
              </c:numCache>
            </c:numRef>
          </c:cat>
          <c:val>
            <c:numRef>
              <c:f>fin!$B$5:$I$5</c:f>
              <c:numCache>
                <c:formatCode>0</c:formatCode>
                <c:ptCount val="8"/>
                <c:pt idx="0">
                  <c:v>22468.281048333993</c:v>
                </c:pt>
                <c:pt idx="1">
                  <c:v>23073.828807792383</c:v>
                </c:pt>
                <c:pt idx="2">
                  <c:v>23163.894683372841</c:v>
                </c:pt>
                <c:pt idx="3">
                  <c:v>23809.979739702132</c:v>
                </c:pt>
                <c:pt idx="4">
                  <c:v>24592.054517953442</c:v>
                </c:pt>
                <c:pt idx="5">
                  <c:v>25749.712300298735</c:v>
                </c:pt>
                <c:pt idx="6">
                  <c:v>27422.743340785695</c:v>
                </c:pt>
                <c:pt idx="7">
                  <c:v>29593.357030710296</c:v>
                </c:pt>
              </c:numCache>
            </c:numRef>
          </c:val>
          <c:smooth val="0"/>
          <c:extLst>
            <c:ext xmlns:c16="http://schemas.microsoft.com/office/drawing/2014/chart" uri="{C3380CC4-5D6E-409C-BE32-E72D297353CC}">
              <c16:uniqueId val="{00000002-7A89-4C7C-B14C-E7C5DB0267FD}"/>
            </c:ext>
          </c:extLst>
        </c:ser>
        <c:dLbls>
          <c:showLegendKey val="0"/>
          <c:showVal val="0"/>
          <c:showCatName val="0"/>
          <c:showSerName val="0"/>
          <c:showPercent val="0"/>
          <c:showBubbleSize val="0"/>
        </c:dLbls>
        <c:smooth val="0"/>
        <c:axId val="114909184"/>
        <c:axId val="114910720"/>
      </c:lineChart>
      <c:catAx>
        <c:axId val="11490918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114910720"/>
        <c:crosses val="autoZero"/>
        <c:auto val="1"/>
        <c:lblAlgn val="ctr"/>
        <c:lblOffset val="100"/>
        <c:noMultiLvlLbl val="0"/>
      </c:catAx>
      <c:valAx>
        <c:axId val="114910720"/>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114909184"/>
        <c:crosses val="autoZero"/>
        <c:crossBetween val="between"/>
      </c:valAx>
      <c:spPr>
        <a:noFill/>
        <a:ln>
          <a:solidFill>
            <a:srgbClr val="00B050"/>
          </a:solid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cs-CZ"/>
    </a:p>
  </c:txPr>
  <c:externalData r:id="rId1">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1588670166229222"/>
          <c:y val="8.3333333333333329E-2"/>
          <c:w val="0.85355774278215224"/>
          <c:h val="0.63218285214348202"/>
        </c:manualLayout>
      </c:layout>
      <c:lineChart>
        <c:grouping val="standard"/>
        <c:varyColors val="0"/>
        <c:ser>
          <c:idx val="0"/>
          <c:order val="0"/>
          <c:tx>
            <c:strRef>
              <c:f>č.ř.!$A$20</c:f>
              <c:strCache>
                <c:ptCount val="1"/>
                <c:pt idx="0">
                  <c:v>PHA-Zeměděl.</c:v>
                </c:pt>
              </c:strCache>
            </c:strRef>
          </c:tx>
          <c:spPr>
            <a:ln w="28575" cap="rnd">
              <a:solidFill>
                <a:srgbClr val="00B050"/>
              </a:solidFill>
              <a:round/>
            </a:ln>
            <a:effectLst/>
          </c:spPr>
          <c:marker>
            <c:symbol val="none"/>
          </c:marker>
          <c:cat>
            <c:numRef>
              <c:f>č.ř.!$B$19:$G$19</c:f>
              <c:numCache>
                <c:formatCode>#,##0_ ;\-#,##0\ </c:formatCode>
                <c:ptCount val="6"/>
                <c:pt idx="0">
                  <c:v>2011</c:v>
                </c:pt>
                <c:pt idx="1">
                  <c:v>2012</c:v>
                </c:pt>
                <c:pt idx="2">
                  <c:v>2013</c:v>
                </c:pt>
                <c:pt idx="3">
                  <c:v>2014</c:v>
                </c:pt>
                <c:pt idx="4">
                  <c:v>2015</c:v>
                </c:pt>
                <c:pt idx="5">
                  <c:v>2016</c:v>
                </c:pt>
              </c:numCache>
            </c:numRef>
          </c:cat>
          <c:val>
            <c:numRef>
              <c:f>č.ř.!$B$20:$G$20</c:f>
              <c:numCache>
                <c:formatCode>#,##0_ ;\-#,##0\ </c:formatCode>
                <c:ptCount val="6"/>
                <c:pt idx="0">
                  <c:v>16201</c:v>
                </c:pt>
                <c:pt idx="1">
                  <c:v>15214</c:v>
                </c:pt>
                <c:pt idx="2">
                  <c:v>14887</c:v>
                </c:pt>
                <c:pt idx="3">
                  <c:v>14779</c:v>
                </c:pt>
                <c:pt idx="4">
                  <c:v>16705</c:v>
                </c:pt>
                <c:pt idx="5">
                  <c:v>17373</c:v>
                </c:pt>
              </c:numCache>
            </c:numRef>
          </c:val>
          <c:smooth val="0"/>
          <c:extLst>
            <c:ext xmlns:c16="http://schemas.microsoft.com/office/drawing/2014/chart" uri="{C3380CC4-5D6E-409C-BE32-E72D297353CC}">
              <c16:uniqueId val="{00000000-C922-446B-93FB-5B1807712E9F}"/>
            </c:ext>
          </c:extLst>
        </c:ser>
        <c:ser>
          <c:idx val="1"/>
          <c:order val="1"/>
          <c:tx>
            <c:strRef>
              <c:f>č.ř.!$A$21</c:f>
              <c:strCache>
                <c:ptCount val="1"/>
                <c:pt idx="0">
                  <c:v>PHA-Průmysl</c:v>
                </c:pt>
              </c:strCache>
            </c:strRef>
          </c:tx>
          <c:spPr>
            <a:ln w="28575" cap="rnd">
              <a:solidFill>
                <a:srgbClr val="FF0000"/>
              </a:solidFill>
              <a:round/>
            </a:ln>
            <a:effectLst/>
          </c:spPr>
          <c:marker>
            <c:symbol val="none"/>
          </c:marker>
          <c:cat>
            <c:numRef>
              <c:f>č.ř.!$B$19:$G$19</c:f>
              <c:numCache>
                <c:formatCode>#,##0_ ;\-#,##0\ </c:formatCode>
                <c:ptCount val="6"/>
                <c:pt idx="0">
                  <c:v>2011</c:v>
                </c:pt>
                <c:pt idx="1">
                  <c:v>2012</c:v>
                </c:pt>
                <c:pt idx="2">
                  <c:v>2013</c:v>
                </c:pt>
                <c:pt idx="3">
                  <c:v>2014</c:v>
                </c:pt>
                <c:pt idx="4">
                  <c:v>2015</c:v>
                </c:pt>
                <c:pt idx="5">
                  <c:v>2016</c:v>
                </c:pt>
              </c:numCache>
            </c:numRef>
          </c:cat>
          <c:val>
            <c:numRef>
              <c:f>č.ř.!$B$21:$G$21</c:f>
              <c:numCache>
                <c:formatCode>#,##0_ ;\-#,##0\ </c:formatCode>
                <c:ptCount val="6"/>
                <c:pt idx="0">
                  <c:v>32005</c:v>
                </c:pt>
                <c:pt idx="1">
                  <c:v>32757</c:v>
                </c:pt>
                <c:pt idx="2">
                  <c:v>31845</c:v>
                </c:pt>
                <c:pt idx="3">
                  <c:v>33013</c:v>
                </c:pt>
                <c:pt idx="4">
                  <c:v>33190</c:v>
                </c:pt>
                <c:pt idx="5">
                  <c:v>34630</c:v>
                </c:pt>
              </c:numCache>
            </c:numRef>
          </c:val>
          <c:smooth val="0"/>
          <c:extLst>
            <c:ext xmlns:c16="http://schemas.microsoft.com/office/drawing/2014/chart" uri="{C3380CC4-5D6E-409C-BE32-E72D297353CC}">
              <c16:uniqueId val="{00000001-C922-446B-93FB-5B1807712E9F}"/>
            </c:ext>
          </c:extLst>
        </c:ser>
        <c:ser>
          <c:idx val="2"/>
          <c:order val="2"/>
          <c:tx>
            <c:strRef>
              <c:f>č.ř.!$A$22</c:f>
              <c:strCache>
                <c:ptCount val="1"/>
                <c:pt idx="0">
                  <c:v>PHA-NH</c:v>
                </c:pt>
              </c:strCache>
            </c:strRef>
          </c:tx>
          <c:spPr>
            <a:ln w="28575" cap="rnd">
              <a:solidFill>
                <a:srgbClr val="0070C0"/>
              </a:solidFill>
              <a:round/>
            </a:ln>
            <a:effectLst/>
          </c:spPr>
          <c:marker>
            <c:symbol val="none"/>
          </c:marker>
          <c:cat>
            <c:numRef>
              <c:f>č.ř.!$B$19:$G$19</c:f>
              <c:numCache>
                <c:formatCode>#,##0_ ;\-#,##0\ </c:formatCode>
                <c:ptCount val="6"/>
                <c:pt idx="0">
                  <c:v>2011</c:v>
                </c:pt>
                <c:pt idx="1">
                  <c:v>2012</c:v>
                </c:pt>
                <c:pt idx="2">
                  <c:v>2013</c:v>
                </c:pt>
                <c:pt idx="3">
                  <c:v>2014</c:v>
                </c:pt>
                <c:pt idx="4">
                  <c:v>2015</c:v>
                </c:pt>
                <c:pt idx="5">
                  <c:v>2016</c:v>
                </c:pt>
              </c:numCache>
            </c:numRef>
          </c:cat>
          <c:val>
            <c:numRef>
              <c:f>č.ř.!$B$22:$G$22</c:f>
              <c:numCache>
                <c:formatCode>#,##0_ ;\-#,##0\ </c:formatCode>
                <c:ptCount val="6"/>
                <c:pt idx="0">
                  <c:v>31252</c:v>
                </c:pt>
                <c:pt idx="1">
                  <c:v>31834</c:v>
                </c:pt>
                <c:pt idx="2">
                  <c:v>30847</c:v>
                </c:pt>
                <c:pt idx="3">
                  <c:v>31811</c:v>
                </c:pt>
                <c:pt idx="4">
                  <c:v>32752</c:v>
                </c:pt>
                <c:pt idx="5">
                  <c:v>34064</c:v>
                </c:pt>
              </c:numCache>
            </c:numRef>
          </c:val>
          <c:smooth val="0"/>
          <c:extLst>
            <c:ext xmlns:c16="http://schemas.microsoft.com/office/drawing/2014/chart" uri="{C3380CC4-5D6E-409C-BE32-E72D297353CC}">
              <c16:uniqueId val="{00000002-C922-446B-93FB-5B1807712E9F}"/>
            </c:ext>
          </c:extLst>
        </c:ser>
        <c:ser>
          <c:idx val="3"/>
          <c:order val="3"/>
          <c:tx>
            <c:strRef>
              <c:f>č.ř.!$A$23</c:f>
              <c:strCache>
                <c:ptCount val="1"/>
                <c:pt idx="0">
                  <c:v>STC-Zeměděl.</c:v>
                </c:pt>
              </c:strCache>
            </c:strRef>
          </c:tx>
          <c:spPr>
            <a:ln w="28575" cap="rnd">
              <a:solidFill>
                <a:srgbClr val="00B050"/>
              </a:solidFill>
              <a:prstDash val="dash"/>
              <a:round/>
            </a:ln>
            <a:effectLst/>
          </c:spPr>
          <c:marker>
            <c:symbol val="none"/>
          </c:marker>
          <c:cat>
            <c:numRef>
              <c:f>č.ř.!$B$19:$G$19</c:f>
              <c:numCache>
                <c:formatCode>#,##0_ ;\-#,##0\ </c:formatCode>
                <c:ptCount val="6"/>
                <c:pt idx="0">
                  <c:v>2011</c:v>
                </c:pt>
                <c:pt idx="1">
                  <c:v>2012</c:v>
                </c:pt>
                <c:pt idx="2">
                  <c:v>2013</c:v>
                </c:pt>
                <c:pt idx="3">
                  <c:v>2014</c:v>
                </c:pt>
                <c:pt idx="4">
                  <c:v>2015</c:v>
                </c:pt>
                <c:pt idx="5">
                  <c:v>2016</c:v>
                </c:pt>
              </c:numCache>
            </c:numRef>
          </c:cat>
          <c:val>
            <c:numRef>
              <c:f>č.ř.!$B$23:$G$23</c:f>
              <c:numCache>
                <c:formatCode>#,##0_ ;\-#,##0\ </c:formatCode>
                <c:ptCount val="6"/>
                <c:pt idx="0">
                  <c:v>19269</c:v>
                </c:pt>
                <c:pt idx="1">
                  <c:v>20116</c:v>
                </c:pt>
                <c:pt idx="2">
                  <c:v>21004</c:v>
                </c:pt>
                <c:pt idx="3">
                  <c:v>22057</c:v>
                </c:pt>
                <c:pt idx="4">
                  <c:v>21912</c:v>
                </c:pt>
                <c:pt idx="5">
                  <c:v>23310</c:v>
                </c:pt>
              </c:numCache>
            </c:numRef>
          </c:val>
          <c:smooth val="0"/>
          <c:extLst>
            <c:ext xmlns:c16="http://schemas.microsoft.com/office/drawing/2014/chart" uri="{C3380CC4-5D6E-409C-BE32-E72D297353CC}">
              <c16:uniqueId val="{00000003-C922-446B-93FB-5B1807712E9F}"/>
            </c:ext>
          </c:extLst>
        </c:ser>
        <c:ser>
          <c:idx val="4"/>
          <c:order val="4"/>
          <c:tx>
            <c:strRef>
              <c:f>č.ř.!$A$24</c:f>
              <c:strCache>
                <c:ptCount val="1"/>
                <c:pt idx="0">
                  <c:v>STC-Průmysl</c:v>
                </c:pt>
              </c:strCache>
            </c:strRef>
          </c:tx>
          <c:spPr>
            <a:ln w="28575" cap="rnd">
              <a:solidFill>
                <a:srgbClr val="FF0000"/>
              </a:solidFill>
              <a:prstDash val="dash"/>
              <a:round/>
            </a:ln>
            <a:effectLst/>
          </c:spPr>
          <c:marker>
            <c:symbol val="none"/>
          </c:marker>
          <c:cat>
            <c:numRef>
              <c:f>č.ř.!$B$19:$G$19</c:f>
              <c:numCache>
                <c:formatCode>#,##0_ ;\-#,##0\ </c:formatCode>
                <c:ptCount val="6"/>
                <c:pt idx="0">
                  <c:v>2011</c:v>
                </c:pt>
                <c:pt idx="1">
                  <c:v>2012</c:v>
                </c:pt>
                <c:pt idx="2">
                  <c:v>2013</c:v>
                </c:pt>
                <c:pt idx="3">
                  <c:v>2014</c:v>
                </c:pt>
                <c:pt idx="4">
                  <c:v>2015</c:v>
                </c:pt>
                <c:pt idx="5">
                  <c:v>2016</c:v>
                </c:pt>
              </c:numCache>
            </c:numRef>
          </c:cat>
          <c:val>
            <c:numRef>
              <c:f>č.ř.!$B$24:$G$24</c:f>
              <c:numCache>
                <c:formatCode>#,##0_ ;\-#,##0\ </c:formatCode>
                <c:ptCount val="6"/>
                <c:pt idx="0">
                  <c:v>27024</c:v>
                </c:pt>
                <c:pt idx="1">
                  <c:v>28050</c:v>
                </c:pt>
                <c:pt idx="2">
                  <c:v>28654</c:v>
                </c:pt>
                <c:pt idx="3">
                  <c:v>29416</c:v>
                </c:pt>
                <c:pt idx="4">
                  <c:v>30417</c:v>
                </c:pt>
                <c:pt idx="5">
                  <c:v>31558</c:v>
                </c:pt>
              </c:numCache>
            </c:numRef>
          </c:val>
          <c:smooth val="0"/>
          <c:extLst>
            <c:ext xmlns:c16="http://schemas.microsoft.com/office/drawing/2014/chart" uri="{C3380CC4-5D6E-409C-BE32-E72D297353CC}">
              <c16:uniqueId val="{00000004-C922-446B-93FB-5B1807712E9F}"/>
            </c:ext>
          </c:extLst>
        </c:ser>
        <c:ser>
          <c:idx val="5"/>
          <c:order val="5"/>
          <c:tx>
            <c:strRef>
              <c:f>č.ř.!$A$25</c:f>
              <c:strCache>
                <c:ptCount val="1"/>
                <c:pt idx="0">
                  <c:v>STC-NH</c:v>
                </c:pt>
              </c:strCache>
            </c:strRef>
          </c:tx>
          <c:spPr>
            <a:ln w="28575" cap="rnd">
              <a:solidFill>
                <a:srgbClr val="0070C0"/>
              </a:solidFill>
              <a:prstDash val="dash"/>
              <a:round/>
            </a:ln>
            <a:effectLst/>
          </c:spPr>
          <c:marker>
            <c:symbol val="none"/>
          </c:marker>
          <c:cat>
            <c:numRef>
              <c:f>č.ř.!$B$19:$G$19</c:f>
              <c:numCache>
                <c:formatCode>#,##0_ ;\-#,##0\ </c:formatCode>
                <c:ptCount val="6"/>
                <c:pt idx="0">
                  <c:v>2011</c:v>
                </c:pt>
                <c:pt idx="1">
                  <c:v>2012</c:v>
                </c:pt>
                <c:pt idx="2">
                  <c:v>2013</c:v>
                </c:pt>
                <c:pt idx="3">
                  <c:v>2014</c:v>
                </c:pt>
                <c:pt idx="4">
                  <c:v>2015</c:v>
                </c:pt>
                <c:pt idx="5">
                  <c:v>2016</c:v>
                </c:pt>
              </c:numCache>
            </c:numRef>
          </c:cat>
          <c:val>
            <c:numRef>
              <c:f>č.ř.!$B$25:$G$25</c:f>
              <c:numCache>
                <c:formatCode>#,##0_ ;\-#,##0\ </c:formatCode>
                <c:ptCount val="6"/>
                <c:pt idx="0">
                  <c:v>23407</c:v>
                </c:pt>
                <c:pt idx="1">
                  <c:v>23950</c:v>
                </c:pt>
                <c:pt idx="2">
                  <c:v>24240</c:v>
                </c:pt>
                <c:pt idx="3">
                  <c:v>24983</c:v>
                </c:pt>
                <c:pt idx="4">
                  <c:v>25824</c:v>
                </c:pt>
                <c:pt idx="5">
                  <c:v>27047</c:v>
                </c:pt>
              </c:numCache>
            </c:numRef>
          </c:val>
          <c:smooth val="0"/>
          <c:extLst>
            <c:ext xmlns:c16="http://schemas.microsoft.com/office/drawing/2014/chart" uri="{C3380CC4-5D6E-409C-BE32-E72D297353CC}">
              <c16:uniqueId val="{00000005-C922-446B-93FB-5B1807712E9F}"/>
            </c:ext>
          </c:extLst>
        </c:ser>
        <c:dLbls>
          <c:showLegendKey val="0"/>
          <c:showVal val="0"/>
          <c:showCatName val="0"/>
          <c:showSerName val="0"/>
          <c:showPercent val="0"/>
          <c:showBubbleSize val="0"/>
        </c:dLbls>
        <c:smooth val="0"/>
        <c:axId val="114037120"/>
        <c:axId val="114038656"/>
      </c:lineChart>
      <c:catAx>
        <c:axId val="114037120"/>
        <c:scaling>
          <c:orientation val="minMax"/>
        </c:scaling>
        <c:delete val="0"/>
        <c:axPos val="b"/>
        <c:numFmt formatCode="#,##0_ ;\-#,##0\ "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114038656"/>
        <c:crosses val="autoZero"/>
        <c:auto val="1"/>
        <c:lblAlgn val="ctr"/>
        <c:lblOffset val="100"/>
        <c:noMultiLvlLbl val="0"/>
      </c:catAx>
      <c:valAx>
        <c:axId val="114038656"/>
        <c:scaling>
          <c:orientation val="minMax"/>
          <c:max val="35000"/>
          <c:min val="14000"/>
        </c:scaling>
        <c:delete val="0"/>
        <c:axPos val="l"/>
        <c:majorGridlines>
          <c:spPr>
            <a:ln w="9525" cap="flat" cmpd="sng" algn="ctr">
              <a:solidFill>
                <a:schemeClr val="tx1">
                  <a:lumMod val="15000"/>
                  <a:lumOff val="85000"/>
                </a:schemeClr>
              </a:solidFill>
              <a:round/>
            </a:ln>
            <a:effectLst/>
          </c:spPr>
        </c:majorGridlines>
        <c:numFmt formatCode="#,##0_ ;\-#,##0\ "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11403712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cs-CZ"/>
    </a:p>
  </c:txPr>
  <c:externalData r:id="rId1">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č.ř.!$A$28</c:f>
              <c:strCache>
                <c:ptCount val="1"/>
                <c:pt idx="0">
                  <c:v>JHC-Zeměděl.</c:v>
                </c:pt>
              </c:strCache>
            </c:strRef>
          </c:tx>
          <c:spPr>
            <a:ln w="28575" cap="rnd">
              <a:solidFill>
                <a:srgbClr val="00B050"/>
              </a:solidFill>
              <a:round/>
            </a:ln>
            <a:effectLst/>
          </c:spPr>
          <c:marker>
            <c:symbol val="none"/>
          </c:marker>
          <c:cat>
            <c:numRef>
              <c:f>č.ř.!$B$27:$G$27</c:f>
              <c:numCache>
                <c:formatCode>#,##0_ ;\-#,##0\ </c:formatCode>
                <c:ptCount val="6"/>
                <c:pt idx="0">
                  <c:v>2011</c:v>
                </c:pt>
                <c:pt idx="1">
                  <c:v>2012</c:v>
                </c:pt>
                <c:pt idx="2">
                  <c:v>2013</c:v>
                </c:pt>
                <c:pt idx="3">
                  <c:v>2014</c:v>
                </c:pt>
                <c:pt idx="4">
                  <c:v>2015</c:v>
                </c:pt>
                <c:pt idx="5">
                  <c:v>2016</c:v>
                </c:pt>
              </c:numCache>
            </c:numRef>
          </c:cat>
          <c:val>
            <c:numRef>
              <c:f>č.ř.!$B$28:$G$28</c:f>
              <c:numCache>
                <c:formatCode>#,##0_ ;\-#,##0\ </c:formatCode>
                <c:ptCount val="6"/>
                <c:pt idx="0">
                  <c:v>18506</c:v>
                </c:pt>
                <c:pt idx="1">
                  <c:v>19557</c:v>
                </c:pt>
                <c:pt idx="2">
                  <c:v>20165</c:v>
                </c:pt>
                <c:pt idx="3">
                  <c:v>21082</c:v>
                </c:pt>
                <c:pt idx="4">
                  <c:v>21516</c:v>
                </c:pt>
                <c:pt idx="5">
                  <c:v>22425</c:v>
                </c:pt>
              </c:numCache>
            </c:numRef>
          </c:val>
          <c:smooth val="0"/>
          <c:extLst>
            <c:ext xmlns:c16="http://schemas.microsoft.com/office/drawing/2014/chart" uri="{C3380CC4-5D6E-409C-BE32-E72D297353CC}">
              <c16:uniqueId val="{00000000-653F-4B48-8EA7-FD120D59629F}"/>
            </c:ext>
          </c:extLst>
        </c:ser>
        <c:ser>
          <c:idx val="1"/>
          <c:order val="1"/>
          <c:tx>
            <c:strRef>
              <c:f>č.ř.!$A$29</c:f>
              <c:strCache>
                <c:ptCount val="1"/>
                <c:pt idx="0">
                  <c:v>JHC-Průmysl</c:v>
                </c:pt>
              </c:strCache>
            </c:strRef>
          </c:tx>
          <c:spPr>
            <a:ln w="28575" cap="rnd">
              <a:solidFill>
                <a:srgbClr val="FF0000"/>
              </a:solidFill>
              <a:round/>
            </a:ln>
            <a:effectLst/>
          </c:spPr>
          <c:marker>
            <c:symbol val="none"/>
          </c:marker>
          <c:cat>
            <c:numRef>
              <c:f>č.ř.!$B$27:$G$27</c:f>
              <c:numCache>
                <c:formatCode>#,##0_ ;\-#,##0\ </c:formatCode>
                <c:ptCount val="6"/>
                <c:pt idx="0">
                  <c:v>2011</c:v>
                </c:pt>
                <c:pt idx="1">
                  <c:v>2012</c:v>
                </c:pt>
                <c:pt idx="2">
                  <c:v>2013</c:v>
                </c:pt>
                <c:pt idx="3">
                  <c:v>2014</c:v>
                </c:pt>
                <c:pt idx="4">
                  <c:v>2015</c:v>
                </c:pt>
                <c:pt idx="5">
                  <c:v>2016</c:v>
                </c:pt>
              </c:numCache>
            </c:numRef>
          </c:cat>
          <c:val>
            <c:numRef>
              <c:f>č.ř.!$B$29:$G$29</c:f>
              <c:numCache>
                <c:formatCode>#,##0_ ;\-#,##0\ </c:formatCode>
                <c:ptCount val="6"/>
                <c:pt idx="0">
                  <c:v>22444</c:v>
                </c:pt>
                <c:pt idx="1">
                  <c:v>23412</c:v>
                </c:pt>
                <c:pt idx="2">
                  <c:v>23522</c:v>
                </c:pt>
                <c:pt idx="3">
                  <c:v>24272</c:v>
                </c:pt>
                <c:pt idx="4">
                  <c:v>24962</c:v>
                </c:pt>
                <c:pt idx="5">
                  <c:v>26046</c:v>
                </c:pt>
              </c:numCache>
            </c:numRef>
          </c:val>
          <c:smooth val="0"/>
          <c:extLst>
            <c:ext xmlns:c16="http://schemas.microsoft.com/office/drawing/2014/chart" uri="{C3380CC4-5D6E-409C-BE32-E72D297353CC}">
              <c16:uniqueId val="{00000001-653F-4B48-8EA7-FD120D59629F}"/>
            </c:ext>
          </c:extLst>
        </c:ser>
        <c:ser>
          <c:idx val="2"/>
          <c:order val="2"/>
          <c:tx>
            <c:strRef>
              <c:f>č.ř.!$A$30</c:f>
              <c:strCache>
                <c:ptCount val="1"/>
                <c:pt idx="0">
                  <c:v>JHC-NH</c:v>
                </c:pt>
              </c:strCache>
            </c:strRef>
          </c:tx>
          <c:spPr>
            <a:ln w="28575" cap="rnd">
              <a:solidFill>
                <a:srgbClr val="0070C0"/>
              </a:solidFill>
              <a:round/>
            </a:ln>
            <a:effectLst/>
          </c:spPr>
          <c:marker>
            <c:symbol val="none"/>
          </c:marker>
          <c:cat>
            <c:numRef>
              <c:f>č.ř.!$B$27:$G$27</c:f>
              <c:numCache>
                <c:formatCode>#,##0_ ;\-#,##0\ </c:formatCode>
                <c:ptCount val="6"/>
                <c:pt idx="0">
                  <c:v>2011</c:v>
                </c:pt>
                <c:pt idx="1">
                  <c:v>2012</c:v>
                </c:pt>
                <c:pt idx="2">
                  <c:v>2013</c:v>
                </c:pt>
                <c:pt idx="3">
                  <c:v>2014</c:v>
                </c:pt>
                <c:pt idx="4">
                  <c:v>2015</c:v>
                </c:pt>
                <c:pt idx="5">
                  <c:v>2016</c:v>
                </c:pt>
              </c:numCache>
            </c:numRef>
          </c:cat>
          <c:val>
            <c:numRef>
              <c:f>č.ř.!$B$30:$G$30</c:f>
              <c:numCache>
                <c:formatCode>#,##0_ ;\-#,##0\ </c:formatCode>
                <c:ptCount val="6"/>
                <c:pt idx="0">
                  <c:v>21041</c:v>
                </c:pt>
                <c:pt idx="1">
                  <c:v>21714</c:v>
                </c:pt>
                <c:pt idx="2">
                  <c:v>21749</c:v>
                </c:pt>
                <c:pt idx="3">
                  <c:v>22296</c:v>
                </c:pt>
                <c:pt idx="4">
                  <c:v>23118</c:v>
                </c:pt>
                <c:pt idx="5">
                  <c:v>24218</c:v>
                </c:pt>
              </c:numCache>
            </c:numRef>
          </c:val>
          <c:smooth val="0"/>
          <c:extLst>
            <c:ext xmlns:c16="http://schemas.microsoft.com/office/drawing/2014/chart" uri="{C3380CC4-5D6E-409C-BE32-E72D297353CC}">
              <c16:uniqueId val="{00000002-653F-4B48-8EA7-FD120D59629F}"/>
            </c:ext>
          </c:extLst>
        </c:ser>
        <c:ser>
          <c:idx val="3"/>
          <c:order val="3"/>
          <c:tx>
            <c:strRef>
              <c:f>č.ř.!$A$31</c:f>
              <c:strCache>
                <c:ptCount val="1"/>
                <c:pt idx="0">
                  <c:v>PLK-Zeměděl.</c:v>
                </c:pt>
              </c:strCache>
            </c:strRef>
          </c:tx>
          <c:spPr>
            <a:ln w="28575" cap="rnd">
              <a:solidFill>
                <a:srgbClr val="00B050"/>
              </a:solidFill>
              <a:prstDash val="dash"/>
              <a:round/>
            </a:ln>
            <a:effectLst/>
          </c:spPr>
          <c:marker>
            <c:symbol val="none"/>
          </c:marker>
          <c:cat>
            <c:numRef>
              <c:f>č.ř.!$B$27:$G$27</c:f>
              <c:numCache>
                <c:formatCode>#,##0_ ;\-#,##0\ </c:formatCode>
                <c:ptCount val="6"/>
                <c:pt idx="0">
                  <c:v>2011</c:v>
                </c:pt>
                <c:pt idx="1">
                  <c:v>2012</c:v>
                </c:pt>
                <c:pt idx="2">
                  <c:v>2013</c:v>
                </c:pt>
                <c:pt idx="3">
                  <c:v>2014</c:v>
                </c:pt>
                <c:pt idx="4">
                  <c:v>2015</c:v>
                </c:pt>
                <c:pt idx="5">
                  <c:v>2016</c:v>
                </c:pt>
              </c:numCache>
            </c:numRef>
          </c:cat>
          <c:val>
            <c:numRef>
              <c:f>č.ř.!$B$31:$G$31</c:f>
              <c:numCache>
                <c:formatCode>#,##0_ ;\-#,##0\ </c:formatCode>
                <c:ptCount val="6"/>
                <c:pt idx="0">
                  <c:v>19536</c:v>
                </c:pt>
                <c:pt idx="1">
                  <c:v>20034</c:v>
                </c:pt>
                <c:pt idx="2">
                  <c:v>20888</c:v>
                </c:pt>
                <c:pt idx="3">
                  <c:v>21699</c:v>
                </c:pt>
                <c:pt idx="4">
                  <c:v>22478</c:v>
                </c:pt>
                <c:pt idx="5">
                  <c:v>23376</c:v>
                </c:pt>
              </c:numCache>
            </c:numRef>
          </c:val>
          <c:smooth val="0"/>
          <c:extLst>
            <c:ext xmlns:c16="http://schemas.microsoft.com/office/drawing/2014/chart" uri="{C3380CC4-5D6E-409C-BE32-E72D297353CC}">
              <c16:uniqueId val="{00000003-653F-4B48-8EA7-FD120D59629F}"/>
            </c:ext>
          </c:extLst>
        </c:ser>
        <c:ser>
          <c:idx val="4"/>
          <c:order val="4"/>
          <c:tx>
            <c:strRef>
              <c:f>č.ř.!$A$32</c:f>
              <c:strCache>
                <c:ptCount val="1"/>
                <c:pt idx="0">
                  <c:v>PLK-Průmysl</c:v>
                </c:pt>
              </c:strCache>
            </c:strRef>
          </c:tx>
          <c:spPr>
            <a:ln w="28575" cap="rnd">
              <a:solidFill>
                <a:srgbClr val="FF0000"/>
              </a:solidFill>
              <a:prstDash val="dash"/>
              <a:round/>
            </a:ln>
            <a:effectLst/>
          </c:spPr>
          <c:marker>
            <c:symbol val="none"/>
          </c:marker>
          <c:cat>
            <c:numRef>
              <c:f>č.ř.!$B$27:$G$27</c:f>
              <c:numCache>
                <c:formatCode>#,##0_ ;\-#,##0\ </c:formatCode>
                <c:ptCount val="6"/>
                <c:pt idx="0">
                  <c:v>2011</c:v>
                </c:pt>
                <c:pt idx="1">
                  <c:v>2012</c:v>
                </c:pt>
                <c:pt idx="2">
                  <c:v>2013</c:v>
                </c:pt>
                <c:pt idx="3">
                  <c:v>2014</c:v>
                </c:pt>
                <c:pt idx="4">
                  <c:v>2015</c:v>
                </c:pt>
                <c:pt idx="5">
                  <c:v>2016</c:v>
                </c:pt>
              </c:numCache>
            </c:numRef>
          </c:cat>
          <c:val>
            <c:numRef>
              <c:f>č.ř.!$B$32:$G$32</c:f>
              <c:numCache>
                <c:formatCode>#,##0_ ;\-#,##0\ </c:formatCode>
                <c:ptCount val="6"/>
                <c:pt idx="0">
                  <c:v>24282</c:v>
                </c:pt>
                <c:pt idx="1">
                  <c:v>25056</c:v>
                </c:pt>
                <c:pt idx="2">
                  <c:v>25292</c:v>
                </c:pt>
                <c:pt idx="3">
                  <c:v>26152</c:v>
                </c:pt>
                <c:pt idx="4">
                  <c:v>27098</c:v>
                </c:pt>
                <c:pt idx="5">
                  <c:v>28295</c:v>
                </c:pt>
              </c:numCache>
            </c:numRef>
          </c:val>
          <c:smooth val="0"/>
          <c:extLst>
            <c:ext xmlns:c16="http://schemas.microsoft.com/office/drawing/2014/chart" uri="{C3380CC4-5D6E-409C-BE32-E72D297353CC}">
              <c16:uniqueId val="{00000004-653F-4B48-8EA7-FD120D59629F}"/>
            </c:ext>
          </c:extLst>
        </c:ser>
        <c:ser>
          <c:idx val="5"/>
          <c:order val="5"/>
          <c:tx>
            <c:strRef>
              <c:f>č.ř.!$A$33</c:f>
              <c:strCache>
                <c:ptCount val="1"/>
                <c:pt idx="0">
                  <c:v>PLK-NH</c:v>
                </c:pt>
              </c:strCache>
            </c:strRef>
          </c:tx>
          <c:spPr>
            <a:ln w="28575" cap="rnd">
              <a:solidFill>
                <a:srgbClr val="0070C0"/>
              </a:solidFill>
              <a:prstDash val="dash"/>
              <a:round/>
            </a:ln>
            <a:effectLst/>
          </c:spPr>
          <c:marker>
            <c:symbol val="none"/>
          </c:marker>
          <c:cat>
            <c:numRef>
              <c:f>č.ř.!$B$27:$G$27</c:f>
              <c:numCache>
                <c:formatCode>#,##0_ ;\-#,##0\ </c:formatCode>
                <c:ptCount val="6"/>
                <c:pt idx="0">
                  <c:v>2011</c:v>
                </c:pt>
                <c:pt idx="1">
                  <c:v>2012</c:v>
                </c:pt>
                <c:pt idx="2">
                  <c:v>2013</c:v>
                </c:pt>
                <c:pt idx="3">
                  <c:v>2014</c:v>
                </c:pt>
                <c:pt idx="4">
                  <c:v>2015</c:v>
                </c:pt>
                <c:pt idx="5">
                  <c:v>2016</c:v>
                </c:pt>
              </c:numCache>
            </c:numRef>
          </c:cat>
          <c:val>
            <c:numRef>
              <c:f>č.ř.!$B$33:$G$33</c:f>
              <c:numCache>
                <c:formatCode>#,##0_ ;\-#,##0\ </c:formatCode>
                <c:ptCount val="6"/>
                <c:pt idx="0">
                  <c:v>22452</c:v>
                </c:pt>
                <c:pt idx="1">
                  <c:v>23132</c:v>
                </c:pt>
                <c:pt idx="2">
                  <c:v>23224</c:v>
                </c:pt>
                <c:pt idx="3">
                  <c:v>23820</c:v>
                </c:pt>
                <c:pt idx="4">
                  <c:v>24664</c:v>
                </c:pt>
                <c:pt idx="5">
                  <c:v>25877</c:v>
                </c:pt>
              </c:numCache>
            </c:numRef>
          </c:val>
          <c:smooth val="0"/>
          <c:extLst>
            <c:ext xmlns:c16="http://schemas.microsoft.com/office/drawing/2014/chart" uri="{C3380CC4-5D6E-409C-BE32-E72D297353CC}">
              <c16:uniqueId val="{00000005-653F-4B48-8EA7-FD120D59629F}"/>
            </c:ext>
          </c:extLst>
        </c:ser>
        <c:dLbls>
          <c:showLegendKey val="0"/>
          <c:showVal val="0"/>
          <c:showCatName val="0"/>
          <c:showSerName val="0"/>
          <c:showPercent val="0"/>
          <c:showBubbleSize val="0"/>
        </c:dLbls>
        <c:smooth val="0"/>
        <c:axId val="114954624"/>
        <c:axId val="114956160"/>
      </c:lineChart>
      <c:catAx>
        <c:axId val="114954624"/>
        <c:scaling>
          <c:orientation val="minMax"/>
        </c:scaling>
        <c:delete val="0"/>
        <c:axPos val="b"/>
        <c:numFmt formatCode="#,##0_ ;\-#,##0\ "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114956160"/>
        <c:crosses val="autoZero"/>
        <c:auto val="1"/>
        <c:lblAlgn val="ctr"/>
        <c:lblOffset val="100"/>
        <c:noMultiLvlLbl val="0"/>
      </c:catAx>
      <c:valAx>
        <c:axId val="114956160"/>
        <c:scaling>
          <c:orientation val="minMax"/>
          <c:min val="18000"/>
        </c:scaling>
        <c:delete val="0"/>
        <c:axPos val="l"/>
        <c:majorGridlines>
          <c:spPr>
            <a:ln w="9525" cap="flat" cmpd="sng" algn="ctr">
              <a:solidFill>
                <a:schemeClr val="tx1">
                  <a:lumMod val="15000"/>
                  <a:lumOff val="85000"/>
                </a:schemeClr>
              </a:solidFill>
              <a:round/>
            </a:ln>
            <a:effectLst/>
          </c:spPr>
        </c:majorGridlines>
        <c:numFmt formatCode="#,##0_ ;\-#,##0\ "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11495462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cs-CZ"/>
    </a:p>
  </c:txPr>
  <c:externalData r:id="rId1">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1588670166229222"/>
          <c:y val="8.3333333333333329E-2"/>
          <c:w val="0.85355774278215224"/>
          <c:h val="0.63218285214348202"/>
        </c:manualLayout>
      </c:layout>
      <c:lineChart>
        <c:grouping val="standard"/>
        <c:varyColors val="0"/>
        <c:ser>
          <c:idx val="0"/>
          <c:order val="0"/>
          <c:tx>
            <c:strRef>
              <c:f>č.ř.!$A$36</c:f>
              <c:strCache>
                <c:ptCount val="1"/>
                <c:pt idx="0">
                  <c:v>KVK-Zeměděl.</c:v>
                </c:pt>
              </c:strCache>
            </c:strRef>
          </c:tx>
          <c:spPr>
            <a:ln w="28575" cap="rnd">
              <a:solidFill>
                <a:srgbClr val="00B050"/>
              </a:solidFill>
              <a:round/>
            </a:ln>
            <a:effectLst/>
          </c:spPr>
          <c:marker>
            <c:symbol val="none"/>
          </c:marker>
          <c:cat>
            <c:numRef>
              <c:f>č.ř.!$B$35:$G$35</c:f>
              <c:numCache>
                <c:formatCode>#,##0_ ;\-#,##0\ </c:formatCode>
                <c:ptCount val="6"/>
                <c:pt idx="0">
                  <c:v>2011</c:v>
                </c:pt>
                <c:pt idx="1">
                  <c:v>2012</c:v>
                </c:pt>
                <c:pt idx="2">
                  <c:v>2013</c:v>
                </c:pt>
                <c:pt idx="3">
                  <c:v>2014</c:v>
                </c:pt>
                <c:pt idx="4">
                  <c:v>2015</c:v>
                </c:pt>
                <c:pt idx="5">
                  <c:v>2016</c:v>
                </c:pt>
              </c:numCache>
            </c:numRef>
          </c:cat>
          <c:val>
            <c:numRef>
              <c:f>č.ř.!$B$36:$G$36</c:f>
              <c:numCache>
                <c:formatCode>#,##0_ ;\-#,##0\ </c:formatCode>
                <c:ptCount val="6"/>
                <c:pt idx="0">
                  <c:v>17952</c:v>
                </c:pt>
                <c:pt idx="1">
                  <c:v>18894</c:v>
                </c:pt>
                <c:pt idx="2">
                  <c:v>18761</c:v>
                </c:pt>
                <c:pt idx="3">
                  <c:v>19241</c:v>
                </c:pt>
                <c:pt idx="4">
                  <c:v>20368</c:v>
                </c:pt>
                <c:pt idx="5">
                  <c:v>22167</c:v>
                </c:pt>
              </c:numCache>
            </c:numRef>
          </c:val>
          <c:smooth val="0"/>
          <c:extLst>
            <c:ext xmlns:c16="http://schemas.microsoft.com/office/drawing/2014/chart" uri="{C3380CC4-5D6E-409C-BE32-E72D297353CC}">
              <c16:uniqueId val="{00000000-1F2D-4F35-B64E-867CC430EBED}"/>
            </c:ext>
          </c:extLst>
        </c:ser>
        <c:ser>
          <c:idx val="1"/>
          <c:order val="1"/>
          <c:tx>
            <c:strRef>
              <c:f>č.ř.!$A$37</c:f>
              <c:strCache>
                <c:ptCount val="1"/>
                <c:pt idx="0">
                  <c:v>KVK-Průmysl</c:v>
                </c:pt>
              </c:strCache>
            </c:strRef>
          </c:tx>
          <c:spPr>
            <a:ln w="28575" cap="rnd">
              <a:solidFill>
                <a:srgbClr val="FF0000"/>
              </a:solidFill>
              <a:round/>
            </a:ln>
            <a:effectLst/>
          </c:spPr>
          <c:marker>
            <c:symbol val="none"/>
          </c:marker>
          <c:cat>
            <c:numRef>
              <c:f>č.ř.!$B$35:$G$35</c:f>
              <c:numCache>
                <c:formatCode>#,##0_ ;\-#,##0\ </c:formatCode>
                <c:ptCount val="6"/>
                <c:pt idx="0">
                  <c:v>2011</c:v>
                </c:pt>
                <c:pt idx="1">
                  <c:v>2012</c:v>
                </c:pt>
                <c:pt idx="2">
                  <c:v>2013</c:v>
                </c:pt>
                <c:pt idx="3">
                  <c:v>2014</c:v>
                </c:pt>
                <c:pt idx="4">
                  <c:v>2015</c:v>
                </c:pt>
                <c:pt idx="5">
                  <c:v>2016</c:v>
                </c:pt>
              </c:numCache>
            </c:numRef>
          </c:cat>
          <c:val>
            <c:numRef>
              <c:f>č.ř.!$B$37:$G$37</c:f>
              <c:numCache>
                <c:formatCode>#,##0_ ;\-#,##0\ </c:formatCode>
                <c:ptCount val="6"/>
                <c:pt idx="0">
                  <c:v>21538</c:v>
                </c:pt>
                <c:pt idx="1">
                  <c:v>22157</c:v>
                </c:pt>
                <c:pt idx="2">
                  <c:v>21938</c:v>
                </c:pt>
                <c:pt idx="3">
                  <c:v>22734</c:v>
                </c:pt>
                <c:pt idx="4">
                  <c:v>23668</c:v>
                </c:pt>
                <c:pt idx="5">
                  <c:v>24986</c:v>
                </c:pt>
              </c:numCache>
            </c:numRef>
          </c:val>
          <c:smooth val="0"/>
          <c:extLst>
            <c:ext xmlns:c16="http://schemas.microsoft.com/office/drawing/2014/chart" uri="{C3380CC4-5D6E-409C-BE32-E72D297353CC}">
              <c16:uniqueId val="{00000001-1F2D-4F35-B64E-867CC430EBED}"/>
            </c:ext>
          </c:extLst>
        </c:ser>
        <c:ser>
          <c:idx val="2"/>
          <c:order val="2"/>
          <c:tx>
            <c:strRef>
              <c:f>č.ř.!$A$38</c:f>
              <c:strCache>
                <c:ptCount val="1"/>
                <c:pt idx="0">
                  <c:v>KVK-NH</c:v>
                </c:pt>
              </c:strCache>
            </c:strRef>
          </c:tx>
          <c:spPr>
            <a:ln w="28575" cap="rnd">
              <a:solidFill>
                <a:srgbClr val="0070C0"/>
              </a:solidFill>
              <a:round/>
            </a:ln>
            <a:effectLst/>
          </c:spPr>
          <c:marker>
            <c:symbol val="none"/>
          </c:marker>
          <c:cat>
            <c:numRef>
              <c:f>č.ř.!$B$35:$G$35</c:f>
              <c:numCache>
                <c:formatCode>#,##0_ ;\-#,##0\ </c:formatCode>
                <c:ptCount val="6"/>
                <c:pt idx="0">
                  <c:v>2011</c:v>
                </c:pt>
                <c:pt idx="1">
                  <c:v>2012</c:v>
                </c:pt>
                <c:pt idx="2">
                  <c:v>2013</c:v>
                </c:pt>
                <c:pt idx="3">
                  <c:v>2014</c:v>
                </c:pt>
                <c:pt idx="4">
                  <c:v>2015</c:v>
                </c:pt>
                <c:pt idx="5">
                  <c:v>2016</c:v>
                </c:pt>
              </c:numCache>
            </c:numRef>
          </c:cat>
          <c:val>
            <c:numRef>
              <c:f>č.ř.!$B$38:$G$38</c:f>
              <c:numCache>
                <c:formatCode>#,##0_ ;\-#,##0\ </c:formatCode>
                <c:ptCount val="6"/>
                <c:pt idx="0">
                  <c:v>20095</c:v>
                </c:pt>
                <c:pt idx="1">
                  <c:v>20567</c:v>
                </c:pt>
                <c:pt idx="2">
                  <c:v>20671</c:v>
                </c:pt>
                <c:pt idx="3">
                  <c:v>21180</c:v>
                </c:pt>
                <c:pt idx="4">
                  <c:v>21953</c:v>
                </c:pt>
                <c:pt idx="5">
                  <c:v>23259</c:v>
                </c:pt>
              </c:numCache>
            </c:numRef>
          </c:val>
          <c:smooth val="0"/>
          <c:extLst>
            <c:ext xmlns:c16="http://schemas.microsoft.com/office/drawing/2014/chart" uri="{C3380CC4-5D6E-409C-BE32-E72D297353CC}">
              <c16:uniqueId val="{00000002-1F2D-4F35-B64E-867CC430EBED}"/>
            </c:ext>
          </c:extLst>
        </c:ser>
        <c:ser>
          <c:idx val="3"/>
          <c:order val="3"/>
          <c:tx>
            <c:strRef>
              <c:f>č.ř.!$A$39</c:f>
              <c:strCache>
                <c:ptCount val="1"/>
                <c:pt idx="0">
                  <c:v>ULK-Zeměděl.</c:v>
                </c:pt>
              </c:strCache>
            </c:strRef>
          </c:tx>
          <c:spPr>
            <a:ln w="28575" cap="rnd">
              <a:solidFill>
                <a:srgbClr val="00B050"/>
              </a:solidFill>
              <a:prstDash val="dash"/>
              <a:round/>
            </a:ln>
            <a:effectLst/>
          </c:spPr>
          <c:marker>
            <c:symbol val="none"/>
          </c:marker>
          <c:cat>
            <c:numRef>
              <c:f>č.ř.!$B$35:$G$35</c:f>
              <c:numCache>
                <c:formatCode>#,##0_ ;\-#,##0\ </c:formatCode>
                <c:ptCount val="6"/>
                <c:pt idx="0">
                  <c:v>2011</c:v>
                </c:pt>
                <c:pt idx="1">
                  <c:v>2012</c:v>
                </c:pt>
                <c:pt idx="2">
                  <c:v>2013</c:v>
                </c:pt>
                <c:pt idx="3">
                  <c:v>2014</c:v>
                </c:pt>
                <c:pt idx="4">
                  <c:v>2015</c:v>
                </c:pt>
                <c:pt idx="5">
                  <c:v>2016</c:v>
                </c:pt>
              </c:numCache>
            </c:numRef>
          </c:cat>
          <c:val>
            <c:numRef>
              <c:f>č.ř.!$B$39:$G$39</c:f>
              <c:numCache>
                <c:formatCode>#,##0_ ;\-#,##0\ </c:formatCode>
                <c:ptCount val="6"/>
                <c:pt idx="0">
                  <c:v>16614</c:v>
                </c:pt>
                <c:pt idx="1">
                  <c:v>17234</c:v>
                </c:pt>
                <c:pt idx="2">
                  <c:v>18600</c:v>
                </c:pt>
                <c:pt idx="3">
                  <c:v>19975</c:v>
                </c:pt>
                <c:pt idx="4">
                  <c:v>19972</c:v>
                </c:pt>
                <c:pt idx="5">
                  <c:v>21270</c:v>
                </c:pt>
              </c:numCache>
            </c:numRef>
          </c:val>
          <c:smooth val="0"/>
          <c:extLst>
            <c:ext xmlns:c16="http://schemas.microsoft.com/office/drawing/2014/chart" uri="{C3380CC4-5D6E-409C-BE32-E72D297353CC}">
              <c16:uniqueId val="{00000003-1F2D-4F35-B64E-867CC430EBED}"/>
            </c:ext>
          </c:extLst>
        </c:ser>
        <c:ser>
          <c:idx val="4"/>
          <c:order val="4"/>
          <c:tx>
            <c:strRef>
              <c:f>č.ř.!$A$40</c:f>
              <c:strCache>
                <c:ptCount val="1"/>
                <c:pt idx="0">
                  <c:v>ULK-Průmysl</c:v>
                </c:pt>
              </c:strCache>
            </c:strRef>
          </c:tx>
          <c:spPr>
            <a:ln w="28575" cap="rnd">
              <a:solidFill>
                <a:srgbClr val="FF0000"/>
              </a:solidFill>
              <a:prstDash val="dash"/>
              <a:round/>
            </a:ln>
            <a:effectLst/>
          </c:spPr>
          <c:marker>
            <c:symbol val="none"/>
          </c:marker>
          <c:cat>
            <c:numRef>
              <c:f>č.ř.!$B$35:$G$35</c:f>
              <c:numCache>
                <c:formatCode>#,##0_ ;\-#,##0\ </c:formatCode>
                <c:ptCount val="6"/>
                <c:pt idx="0">
                  <c:v>2011</c:v>
                </c:pt>
                <c:pt idx="1">
                  <c:v>2012</c:v>
                </c:pt>
                <c:pt idx="2">
                  <c:v>2013</c:v>
                </c:pt>
                <c:pt idx="3">
                  <c:v>2014</c:v>
                </c:pt>
                <c:pt idx="4">
                  <c:v>2015</c:v>
                </c:pt>
                <c:pt idx="5">
                  <c:v>2016</c:v>
                </c:pt>
              </c:numCache>
            </c:numRef>
          </c:cat>
          <c:val>
            <c:numRef>
              <c:f>č.ř.!$B$40:$G$40</c:f>
              <c:numCache>
                <c:formatCode>#,##0_ ;\-#,##0\ </c:formatCode>
                <c:ptCount val="6"/>
                <c:pt idx="0">
                  <c:v>23826</c:v>
                </c:pt>
                <c:pt idx="1">
                  <c:v>24372</c:v>
                </c:pt>
                <c:pt idx="2">
                  <c:v>24836</c:v>
                </c:pt>
                <c:pt idx="3">
                  <c:v>25581</c:v>
                </c:pt>
                <c:pt idx="4">
                  <c:v>26209</c:v>
                </c:pt>
                <c:pt idx="5">
                  <c:v>27469</c:v>
                </c:pt>
              </c:numCache>
            </c:numRef>
          </c:val>
          <c:smooth val="0"/>
          <c:extLst>
            <c:ext xmlns:c16="http://schemas.microsoft.com/office/drawing/2014/chart" uri="{C3380CC4-5D6E-409C-BE32-E72D297353CC}">
              <c16:uniqueId val="{00000004-1F2D-4F35-B64E-867CC430EBED}"/>
            </c:ext>
          </c:extLst>
        </c:ser>
        <c:ser>
          <c:idx val="5"/>
          <c:order val="5"/>
          <c:tx>
            <c:strRef>
              <c:f>č.ř.!$A$41</c:f>
              <c:strCache>
                <c:ptCount val="1"/>
                <c:pt idx="0">
                  <c:v>ULK--NH</c:v>
                </c:pt>
              </c:strCache>
            </c:strRef>
          </c:tx>
          <c:spPr>
            <a:ln w="28575" cap="rnd">
              <a:solidFill>
                <a:srgbClr val="0070C0"/>
              </a:solidFill>
              <a:prstDash val="dash"/>
              <a:round/>
            </a:ln>
            <a:effectLst/>
          </c:spPr>
          <c:marker>
            <c:symbol val="none"/>
          </c:marker>
          <c:cat>
            <c:numRef>
              <c:f>č.ř.!$B$35:$G$35</c:f>
              <c:numCache>
                <c:formatCode>#,##0_ ;\-#,##0\ </c:formatCode>
                <c:ptCount val="6"/>
                <c:pt idx="0">
                  <c:v>2011</c:v>
                </c:pt>
                <c:pt idx="1">
                  <c:v>2012</c:v>
                </c:pt>
                <c:pt idx="2">
                  <c:v>2013</c:v>
                </c:pt>
                <c:pt idx="3">
                  <c:v>2014</c:v>
                </c:pt>
                <c:pt idx="4">
                  <c:v>2015</c:v>
                </c:pt>
                <c:pt idx="5">
                  <c:v>2016</c:v>
                </c:pt>
              </c:numCache>
            </c:numRef>
          </c:cat>
          <c:val>
            <c:numRef>
              <c:f>č.ř.!$B$41:$G$41</c:f>
              <c:numCache>
                <c:formatCode>#,##0_ ;\-#,##0\ </c:formatCode>
                <c:ptCount val="6"/>
                <c:pt idx="0">
                  <c:v>21327</c:v>
                </c:pt>
                <c:pt idx="1">
                  <c:v>21863</c:v>
                </c:pt>
                <c:pt idx="2">
                  <c:v>22074</c:v>
                </c:pt>
                <c:pt idx="3">
                  <c:v>22642</c:v>
                </c:pt>
                <c:pt idx="4">
                  <c:v>23426</c:v>
                </c:pt>
                <c:pt idx="5">
                  <c:v>24653</c:v>
                </c:pt>
              </c:numCache>
            </c:numRef>
          </c:val>
          <c:smooth val="0"/>
          <c:extLst>
            <c:ext xmlns:c16="http://schemas.microsoft.com/office/drawing/2014/chart" uri="{C3380CC4-5D6E-409C-BE32-E72D297353CC}">
              <c16:uniqueId val="{00000005-1F2D-4F35-B64E-867CC430EBED}"/>
            </c:ext>
          </c:extLst>
        </c:ser>
        <c:dLbls>
          <c:showLegendKey val="0"/>
          <c:showVal val="0"/>
          <c:showCatName val="0"/>
          <c:showSerName val="0"/>
          <c:showPercent val="0"/>
          <c:showBubbleSize val="0"/>
        </c:dLbls>
        <c:smooth val="0"/>
        <c:axId val="114991488"/>
        <c:axId val="114993024"/>
      </c:lineChart>
      <c:catAx>
        <c:axId val="114991488"/>
        <c:scaling>
          <c:orientation val="minMax"/>
        </c:scaling>
        <c:delete val="0"/>
        <c:axPos val="b"/>
        <c:numFmt formatCode="#,##0_ ;\-#,##0\ "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114993024"/>
        <c:crosses val="autoZero"/>
        <c:auto val="1"/>
        <c:lblAlgn val="ctr"/>
        <c:lblOffset val="100"/>
        <c:noMultiLvlLbl val="0"/>
      </c:catAx>
      <c:valAx>
        <c:axId val="114993024"/>
        <c:scaling>
          <c:orientation val="minMax"/>
          <c:max val="28000"/>
          <c:min val="16000"/>
        </c:scaling>
        <c:delete val="0"/>
        <c:axPos val="l"/>
        <c:majorGridlines>
          <c:spPr>
            <a:ln w="9525" cap="flat" cmpd="sng" algn="ctr">
              <a:solidFill>
                <a:schemeClr val="tx1">
                  <a:lumMod val="15000"/>
                  <a:lumOff val="85000"/>
                </a:schemeClr>
              </a:solidFill>
              <a:round/>
            </a:ln>
            <a:effectLst/>
          </c:spPr>
        </c:majorGridlines>
        <c:numFmt formatCode="#,##0_ ;\-#,##0\ "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114991488"/>
        <c:crosses val="autoZero"/>
        <c:crossBetween val="between"/>
      </c:valAx>
      <c:spPr>
        <a:noFill/>
        <a:ln>
          <a:noFill/>
        </a:ln>
        <a:effectLst/>
      </c:spPr>
    </c:plotArea>
    <c:legend>
      <c:legendPos val="b"/>
      <c:layout>
        <c:manualLayout>
          <c:xMode val="edge"/>
          <c:yMode val="edge"/>
          <c:x val="0.2036019762235603"/>
          <c:y val="0.82291557305336838"/>
          <c:w val="0.60750173691523857"/>
          <c:h val="0.14930664916885389"/>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cs-CZ"/>
    </a:p>
  </c:txPr>
  <c:externalData r:id="rId1">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1033114610673664"/>
          <c:y val="6.5231481481481488E-2"/>
          <c:w val="0.85355774278215224"/>
          <c:h val="0.59993693496646261"/>
        </c:manualLayout>
      </c:layout>
      <c:lineChart>
        <c:grouping val="standard"/>
        <c:varyColors val="0"/>
        <c:ser>
          <c:idx val="0"/>
          <c:order val="0"/>
          <c:tx>
            <c:strRef>
              <c:f>č.ř.!$A$44</c:f>
              <c:strCache>
                <c:ptCount val="1"/>
                <c:pt idx="0">
                  <c:v>LBK-Zeměděl.</c:v>
                </c:pt>
              </c:strCache>
            </c:strRef>
          </c:tx>
          <c:spPr>
            <a:ln w="28575" cap="rnd">
              <a:solidFill>
                <a:srgbClr val="00B050"/>
              </a:solidFill>
              <a:round/>
            </a:ln>
            <a:effectLst/>
          </c:spPr>
          <c:marker>
            <c:symbol val="none"/>
          </c:marker>
          <c:cat>
            <c:numRef>
              <c:f>č.ř.!$B$43:$G$43</c:f>
              <c:numCache>
                <c:formatCode>#,##0_ ;\-#,##0\ </c:formatCode>
                <c:ptCount val="6"/>
                <c:pt idx="0">
                  <c:v>2011</c:v>
                </c:pt>
                <c:pt idx="1">
                  <c:v>2012</c:v>
                </c:pt>
                <c:pt idx="2">
                  <c:v>2013</c:v>
                </c:pt>
                <c:pt idx="3">
                  <c:v>2014</c:v>
                </c:pt>
                <c:pt idx="4">
                  <c:v>2015</c:v>
                </c:pt>
                <c:pt idx="5">
                  <c:v>2016</c:v>
                </c:pt>
              </c:numCache>
            </c:numRef>
          </c:cat>
          <c:val>
            <c:numRef>
              <c:f>č.ř.!$B$44:$G$44</c:f>
              <c:numCache>
                <c:formatCode>#,##0_ ;\-#,##0\ </c:formatCode>
                <c:ptCount val="6"/>
                <c:pt idx="0">
                  <c:v>17286</c:v>
                </c:pt>
                <c:pt idx="1">
                  <c:v>18830</c:v>
                </c:pt>
                <c:pt idx="2">
                  <c:v>18917</c:v>
                </c:pt>
                <c:pt idx="3">
                  <c:v>19480</c:v>
                </c:pt>
                <c:pt idx="4">
                  <c:v>20025</c:v>
                </c:pt>
                <c:pt idx="5">
                  <c:v>21714</c:v>
                </c:pt>
              </c:numCache>
            </c:numRef>
          </c:val>
          <c:smooth val="0"/>
          <c:extLst>
            <c:ext xmlns:c16="http://schemas.microsoft.com/office/drawing/2014/chart" uri="{C3380CC4-5D6E-409C-BE32-E72D297353CC}">
              <c16:uniqueId val="{00000000-D1D2-40DF-AC85-E014DBF2959C}"/>
            </c:ext>
          </c:extLst>
        </c:ser>
        <c:ser>
          <c:idx val="1"/>
          <c:order val="1"/>
          <c:tx>
            <c:strRef>
              <c:f>č.ř.!$A$45</c:f>
              <c:strCache>
                <c:ptCount val="1"/>
                <c:pt idx="0">
                  <c:v>LBK-Průmysl</c:v>
                </c:pt>
              </c:strCache>
            </c:strRef>
          </c:tx>
          <c:spPr>
            <a:ln w="28575" cap="rnd">
              <a:solidFill>
                <a:srgbClr val="FF0000"/>
              </a:solidFill>
              <a:round/>
            </a:ln>
            <a:effectLst/>
          </c:spPr>
          <c:marker>
            <c:symbol val="none"/>
          </c:marker>
          <c:cat>
            <c:numRef>
              <c:f>č.ř.!$B$43:$G$43</c:f>
              <c:numCache>
                <c:formatCode>#,##0_ ;\-#,##0\ </c:formatCode>
                <c:ptCount val="6"/>
                <c:pt idx="0">
                  <c:v>2011</c:v>
                </c:pt>
                <c:pt idx="1">
                  <c:v>2012</c:v>
                </c:pt>
                <c:pt idx="2">
                  <c:v>2013</c:v>
                </c:pt>
                <c:pt idx="3">
                  <c:v>2014</c:v>
                </c:pt>
                <c:pt idx="4">
                  <c:v>2015</c:v>
                </c:pt>
                <c:pt idx="5">
                  <c:v>2016</c:v>
                </c:pt>
              </c:numCache>
            </c:numRef>
          </c:cat>
          <c:val>
            <c:numRef>
              <c:f>č.ř.!$B$45:$G$45</c:f>
              <c:numCache>
                <c:formatCode>#,##0_ ;\-#,##0\ </c:formatCode>
                <c:ptCount val="6"/>
                <c:pt idx="0">
                  <c:v>23762</c:v>
                </c:pt>
                <c:pt idx="1">
                  <c:v>24671</c:v>
                </c:pt>
                <c:pt idx="2">
                  <c:v>24934</c:v>
                </c:pt>
                <c:pt idx="3">
                  <c:v>25621</c:v>
                </c:pt>
                <c:pt idx="4">
                  <c:v>26429</c:v>
                </c:pt>
                <c:pt idx="5">
                  <c:v>27347</c:v>
                </c:pt>
              </c:numCache>
            </c:numRef>
          </c:val>
          <c:smooth val="0"/>
          <c:extLst>
            <c:ext xmlns:c16="http://schemas.microsoft.com/office/drawing/2014/chart" uri="{C3380CC4-5D6E-409C-BE32-E72D297353CC}">
              <c16:uniqueId val="{00000001-D1D2-40DF-AC85-E014DBF2959C}"/>
            </c:ext>
          </c:extLst>
        </c:ser>
        <c:ser>
          <c:idx val="2"/>
          <c:order val="2"/>
          <c:tx>
            <c:strRef>
              <c:f>č.ř.!$A$46</c:f>
              <c:strCache>
                <c:ptCount val="1"/>
                <c:pt idx="0">
                  <c:v>LBK-NH</c:v>
                </c:pt>
              </c:strCache>
            </c:strRef>
          </c:tx>
          <c:spPr>
            <a:ln w="28575" cap="rnd">
              <a:solidFill>
                <a:srgbClr val="0070C0"/>
              </a:solidFill>
              <a:round/>
            </a:ln>
            <a:effectLst/>
          </c:spPr>
          <c:marker>
            <c:symbol val="none"/>
          </c:marker>
          <c:cat>
            <c:numRef>
              <c:f>č.ř.!$B$43:$G$43</c:f>
              <c:numCache>
                <c:formatCode>#,##0_ ;\-#,##0\ </c:formatCode>
                <c:ptCount val="6"/>
                <c:pt idx="0">
                  <c:v>2011</c:v>
                </c:pt>
                <c:pt idx="1">
                  <c:v>2012</c:v>
                </c:pt>
                <c:pt idx="2">
                  <c:v>2013</c:v>
                </c:pt>
                <c:pt idx="3">
                  <c:v>2014</c:v>
                </c:pt>
                <c:pt idx="4">
                  <c:v>2015</c:v>
                </c:pt>
                <c:pt idx="5">
                  <c:v>2016</c:v>
                </c:pt>
              </c:numCache>
            </c:numRef>
          </c:cat>
          <c:val>
            <c:numRef>
              <c:f>č.ř.!$B$46:$G$46</c:f>
              <c:numCache>
                <c:formatCode>#,##0_ ;\-#,##0\ </c:formatCode>
                <c:ptCount val="6"/>
                <c:pt idx="0">
                  <c:v>21581</c:v>
                </c:pt>
                <c:pt idx="1">
                  <c:v>22153</c:v>
                </c:pt>
                <c:pt idx="2">
                  <c:v>22424</c:v>
                </c:pt>
                <c:pt idx="3">
                  <c:v>23201</c:v>
                </c:pt>
                <c:pt idx="4">
                  <c:v>23844</c:v>
                </c:pt>
                <c:pt idx="5">
                  <c:v>24973</c:v>
                </c:pt>
              </c:numCache>
            </c:numRef>
          </c:val>
          <c:smooth val="0"/>
          <c:extLst>
            <c:ext xmlns:c16="http://schemas.microsoft.com/office/drawing/2014/chart" uri="{C3380CC4-5D6E-409C-BE32-E72D297353CC}">
              <c16:uniqueId val="{00000002-D1D2-40DF-AC85-E014DBF2959C}"/>
            </c:ext>
          </c:extLst>
        </c:ser>
        <c:ser>
          <c:idx val="3"/>
          <c:order val="3"/>
          <c:tx>
            <c:strRef>
              <c:f>č.ř.!$A$47</c:f>
              <c:strCache>
                <c:ptCount val="1"/>
                <c:pt idx="0">
                  <c:v>HKK-Zeměděl.</c:v>
                </c:pt>
              </c:strCache>
            </c:strRef>
          </c:tx>
          <c:spPr>
            <a:ln w="28575" cap="rnd">
              <a:solidFill>
                <a:srgbClr val="00B050"/>
              </a:solidFill>
              <a:prstDash val="dash"/>
              <a:round/>
            </a:ln>
            <a:effectLst/>
          </c:spPr>
          <c:marker>
            <c:symbol val="none"/>
          </c:marker>
          <c:cat>
            <c:numRef>
              <c:f>č.ř.!$B$43:$G$43</c:f>
              <c:numCache>
                <c:formatCode>#,##0_ ;\-#,##0\ </c:formatCode>
                <c:ptCount val="6"/>
                <c:pt idx="0">
                  <c:v>2011</c:v>
                </c:pt>
                <c:pt idx="1">
                  <c:v>2012</c:v>
                </c:pt>
                <c:pt idx="2">
                  <c:v>2013</c:v>
                </c:pt>
                <c:pt idx="3">
                  <c:v>2014</c:v>
                </c:pt>
                <c:pt idx="4">
                  <c:v>2015</c:v>
                </c:pt>
                <c:pt idx="5">
                  <c:v>2016</c:v>
                </c:pt>
              </c:numCache>
            </c:numRef>
          </c:cat>
          <c:val>
            <c:numRef>
              <c:f>č.ř.!$B$47:$G$47</c:f>
              <c:numCache>
                <c:formatCode>#,##0_ ;\-#,##0\ </c:formatCode>
                <c:ptCount val="6"/>
                <c:pt idx="0">
                  <c:v>19459</c:v>
                </c:pt>
                <c:pt idx="1">
                  <c:v>20708</c:v>
                </c:pt>
                <c:pt idx="2">
                  <c:v>21452</c:v>
                </c:pt>
                <c:pt idx="3">
                  <c:v>22141</c:v>
                </c:pt>
                <c:pt idx="4">
                  <c:v>23018</c:v>
                </c:pt>
                <c:pt idx="5">
                  <c:v>23920</c:v>
                </c:pt>
              </c:numCache>
            </c:numRef>
          </c:val>
          <c:smooth val="0"/>
          <c:extLst>
            <c:ext xmlns:c16="http://schemas.microsoft.com/office/drawing/2014/chart" uri="{C3380CC4-5D6E-409C-BE32-E72D297353CC}">
              <c16:uniqueId val="{00000003-D1D2-40DF-AC85-E014DBF2959C}"/>
            </c:ext>
          </c:extLst>
        </c:ser>
        <c:ser>
          <c:idx val="4"/>
          <c:order val="4"/>
          <c:tx>
            <c:strRef>
              <c:f>č.ř.!$A$48</c:f>
              <c:strCache>
                <c:ptCount val="1"/>
                <c:pt idx="0">
                  <c:v>HKK-Průmysl</c:v>
                </c:pt>
              </c:strCache>
            </c:strRef>
          </c:tx>
          <c:spPr>
            <a:ln w="28575" cap="rnd">
              <a:solidFill>
                <a:srgbClr val="FF0000"/>
              </a:solidFill>
              <a:prstDash val="dash"/>
              <a:round/>
            </a:ln>
            <a:effectLst/>
          </c:spPr>
          <c:marker>
            <c:symbol val="none"/>
          </c:marker>
          <c:cat>
            <c:numRef>
              <c:f>č.ř.!$B$43:$G$43</c:f>
              <c:numCache>
                <c:formatCode>#,##0_ ;\-#,##0\ </c:formatCode>
                <c:ptCount val="6"/>
                <c:pt idx="0">
                  <c:v>2011</c:v>
                </c:pt>
                <c:pt idx="1">
                  <c:v>2012</c:v>
                </c:pt>
                <c:pt idx="2">
                  <c:v>2013</c:v>
                </c:pt>
                <c:pt idx="3">
                  <c:v>2014</c:v>
                </c:pt>
                <c:pt idx="4">
                  <c:v>2015</c:v>
                </c:pt>
                <c:pt idx="5">
                  <c:v>2016</c:v>
                </c:pt>
              </c:numCache>
            </c:numRef>
          </c:cat>
          <c:val>
            <c:numRef>
              <c:f>č.ř.!$B$48:$G$48</c:f>
              <c:numCache>
                <c:formatCode>#,##0_ ;\-#,##0\ </c:formatCode>
                <c:ptCount val="6"/>
                <c:pt idx="0">
                  <c:v>22697</c:v>
                </c:pt>
                <c:pt idx="1">
                  <c:v>23667</c:v>
                </c:pt>
                <c:pt idx="2">
                  <c:v>23768</c:v>
                </c:pt>
                <c:pt idx="3">
                  <c:v>24399</c:v>
                </c:pt>
                <c:pt idx="4">
                  <c:v>24896</c:v>
                </c:pt>
                <c:pt idx="5">
                  <c:v>26133</c:v>
                </c:pt>
              </c:numCache>
            </c:numRef>
          </c:val>
          <c:smooth val="0"/>
          <c:extLst>
            <c:ext xmlns:c16="http://schemas.microsoft.com/office/drawing/2014/chart" uri="{C3380CC4-5D6E-409C-BE32-E72D297353CC}">
              <c16:uniqueId val="{00000004-D1D2-40DF-AC85-E014DBF2959C}"/>
            </c:ext>
          </c:extLst>
        </c:ser>
        <c:ser>
          <c:idx val="5"/>
          <c:order val="5"/>
          <c:tx>
            <c:strRef>
              <c:f>č.ř.!$A$49</c:f>
              <c:strCache>
                <c:ptCount val="1"/>
                <c:pt idx="0">
                  <c:v>HKK-NH</c:v>
                </c:pt>
              </c:strCache>
            </c:strRef>
          </c:tx>
          <c:spPr>
            <a:ln w="28575" cap="rnd">
              <a:solidFill>
                <a:srgbClr val="0070C0"/>
              </a:solidFill>
              <a:prstDash val="dash"/>
              <a:round/>
            </a:ln>
            <a:effectLst/>
          </c:spPr>
          <c:marker>
            <c:symbol val="none"/>
          </c:marker>
          <c:cat>
            <c:numRef>
              <c:f>č.ř.!$B$43:$G$43</c:f>
              <c:numCache>
                <c:formatCode>#,##0_ ;\-#,##0\ </c:formatCode>
                <c:ptCount val="6"/>
                <c:pt idx="0">
                  <c:v>2011</c:v>
                </c:pt>
                <c:pt idx="1">
                  <c:v>2012</c:v>
                </c:pt>
                <c:pt idx="2">
                  <c:v>2013</c:v>
                </c:pt>
                <c:pt idx="3">
                  <c:v>2014</c:v>
                </c:pt>
                <c:pt idx="4">
                  <c:v>2015</c:v>
                </c:pt>
                <c:pt idx="5">
                  <c:v>2016</c:v>
                </c:pt>
              </c:numCache>
            </c:numRef>
          </c:cat>
          <c:val>
            <c:numRef>
              <c:f>č.ř.!$B$49:$G$49</c:f>
              <c:numCache>
                <c:formatCode>#,##0_ ;\-#,##0\ </c:formatCode>
                <c:ptCount val="6"/>
                <c:pt idx="0">
                  <c:v>21167</c:v>
                </c:pt>
                <c:pt idx="1">
                  <c:v>21968</c:v>
                </c:pt>
                <c:pt idx="2">
                  <c:v>21830</c:v>
                </c:pt>
                <c:pt idx="3">
                  <c:v>22520</c:v>
                </c:pt>
                <c:pt idx="4">
                  <c:v>23305</c:v>
                </c:pt>
                <c:pt idx="5">
                  <c:v>24487</c:v>
                </c:pt>
              </c:numCache>
            </c:numRef>
          </c:val>
          <c:smooth val="0"/>
          <c:extLst>
            <c:ext xmlns:c16="http://schemas.microsoft.com/office/drawing/2014/chart" uri="{C3380CC4-5D6E-409C-BE32-E72D297353CC}">
              <c16:uniqueId val="{00000005-D1D2-40DF-AC85-E014DBF2959C}"/>
            </c:ext>
          </c:extLst>
        </c:ser>
        <c:ser>
          <c:idx val="6"/>
          <c:order val="6"/>
          <c:tx>
            <c:strRef>
              <c:f>č.ř.!$A$50</c:f>
              <c:strCache>
                <c:ptCount val="1"/>
                <c:pt idx="0">
                  <c:v>PAK-Zeměděl.</c:v>
                </c:pt>
              </c:strCache>
            </c:strRef>
          </c:tx>
          <c:spPr>
            <a:ln w="28575" cap="rnd">
              <a:solidFill>
                <a:srgbClr val="00B050"/>
              </a:solidFill>
              <a:prstDash val="sysDash"/>
              <a:round/>
            </a:ln>
            <a:effectLst/>
          </c:spPr>
          <c:marker>
            <c:symbol val="none"/>
          </c:marker>
          <c:cat>
            <c:numRef>
              <c:f>č.ř.!$B$43:$G$43</c:f>
              <c:numCache>
                <c:formatCode>#,##0_ ;\-#,##0\ </c:formatCode>
                <c:ptCount val="6"/>
                <c:pt idx="0">
                  <c:v>2011</c:v>
                </c:pt>
                <c:pt idx="1">
                  <c:v>2012</c:v>
                </c:pt>
                <c:pt idx="2">
                  <c:v>2013</c:v>
                </c:pt>
                <c:pt idx="3">
                  <c:v>2014</c:v>
                </c:pt>
                <c:pt idx="4">
                  <c:v>2015</c:v>
                </c:pt>
                <c:pt idx="5">
                  <c:v>2016</c:v>
                </c:pt>
              </c:numCache>
            </c:numRef>
          </c:cat>
          <c:val>
            <c:numRef>
              <c:f>č.ř.!$B$50:$G$50</c:f>
              <c:numCache>
                <c:formatCode>#,##0_ ;\-#,##0\ </c:formatCode>
                <c:ptCount val="6"/>
                <c:pt idx="0">
                  <c:v>18351</c:v>
                </c:pt>
                <c:pt idx="1">
                  <c:v>19287</c:v>
                </c:pt>
                <c:pt idx="2">
                  <c:v>20343</c:v>
                </c:pt>
                <c:pt idx="3">
                  <c:v>21414</c:v>
                </c:pt>
                <c:pt idx="4">
                  <c:v>21550</c:v>
                </c:pt>
                <c:pt idx="5">
                  <c:v>22590</c:v>
                </c:pt>
              </c:numCache>
            </c:numRef>
          </c:val>
          <c:smooth val="0"/>
          <c:extLst>
            <c:ext xmlns:c16="http://schemas.microsoft.com/office/drawing/2014/chart" uri="{C3380CC4-5D6E-409C-BE32-E72D297353CC}">
              <c16:uniqueId val="{00000006-D1D2-40DF-AC85-E014DBF2959C}"/>
            </c:ext>
          </c:extLst>
        </c:ser>
        <c:ser>
          <c:idx val="7"/>
          <c:order val="7"/>
          <c:tx>
            <c:strRef>
              <c:f>č.ř.!$A$51</c:f>
              <c:strCache>
                <c:ptCount val="1"/>
                <c:pt idx="0">
                  <c:v>PAK-Průmysl</c:v>
                </c:pt>
              </c:strCache>
            </c:strRef>
          </c:tx>
          <c:spPr>
            <a:ln w="28575" cap="rnd">
              <a:solidFill>
                <a:srgbClr val="FF0000"/>
              </a:solidFill>
              <a:prstDash val="sysDash"/>
              <a:round/>
            </a:ln>
            <a:effectLst/>
          </c:spPr>
          <c:marker>
            <c:symbol val="none"/>
          </c:marker>
          <c:cat>
            <c:numRef>
              <c:f>č.ř.!$B$43:$G$43</c:f>
              <c:numCache>
                <c:formatCode>#,##0_ ;\-#,##0\ </c:formatCode>
                <c:ptCount val="6"/>
                <c:pt idx="0">
                  <c:v>2011</c:v>
                </c:pt>
                <c:pt idx="1">
                  <c:v>2012</c:v>
                </c:pt>
                <c:pt idx="2">
                  <c:v>2013</c:v>
                </c:pt>
                <c:pt idx="3">
                  <c:v>2014</c:v>
                </c:pt>
                <c:pt idx="4">
                  <c:v>2015</c:v>
                </c:pt>
                <c:pt idx="5">
                  <c:v>2016</c:v>
                </c:pt>
              </c:numCache>
            </c:numRef>
          </c:cat>
          <c:val>
            <c:numRef>
              <c:f>č.ř.!$B$51:$G$51</c:f>
              <c:numCache>
                <c:formatCode>#,##0_ ;\-#,##0\ </c:formatCode>
                <c:ptCount val="6"/>
                <c:pt idx="0">
                  <c:v>21975</c:v>
                </c:pt>
                <c:pt idx="1">
                  <c:v>22495</c:v>
                </c:pt>
                <c:pt idx="2">
                  <c:v>23060</c:v>
                </c:pt>
                <c:pt idx="3">
                  <c:v>24013</c:v>
                </c:pt>
                <c:pt idx="4">
                  <c:v>24606</c:v>
                </c:pt>
                <c:pt idx="5">
                  <c:v>26032</c:v>
                </c:pt>
              </c:numCache>
            </c:numRef>
          </c:val>
          <c:smooth val="0"/>
          <c:extLst>
            <c:ext xmlns:c16="http://schemas.microsoft.com/office/drawing/2014/chart" uri="{C3380CC4-5D6E-409C-BE32-E72D297353CC}">
              <c16:uniqueId val="{00000007-D1D2-40DF-AC85-E014DBF2959C}"/>
            </c:ext>
          </c:extLst>
        </c:ser>
        <c:ser>
          <c:idx val="8"/>
          <c:order val="8"/>
          <c:tx>
            <c:strRef>
              <c:f>č.ř.!$A$52</c:f>
              <c:strCache>
                <c:ptCount val="1"/>
                <c:pt idx="0">
                  <c:v>PAK-NH.</c:v>
                </c:pt>
              </c:strCache>
            </c:strRef>
          </c:tx>
          <c:spPr>
            <a:ln w="28575" cap="rnd">
              <a:solidFill>
                <a:srgbClr val="0070C0"/>
              </a:solidFill>
              <a:prstDash val="sysDash"/>
              <a:round/>
            </a:ln>
            <a:effectLst/>
          </c:spPr>
          <c:marker>
            <c:symbol val="none"/>
          </c:marker>
          <c:cat>
            <c:numRef>
              <c:f>č.ř.!$B$43:$G$43</c:f>
              <c:numCache>
                <c:formatCode>#,##0_ ;\-#,##0\ </c:formatCode>
                <c:ptCount val="6"/>
                <c:pt idx="0">
                  <c:v>2011</c:v>
                </c:pt>
                <c:pt idx="1">
                  <c:v>2012</c:v>
                </c:pt>
                <c:pt idx="2">
                  <c:v>2013</c:v>
                </c:pt>
                <c:pt idx="3">
                  <c:v>2014</c:v>
                </c:pt>
                <c:pt idx="4">
                  <c:v>2015</c:v>
                </c:pt>
                <c:pt idx="5">
                  <c:v>2016</c:v>
                </c:pt>
              </c:numCache>
            </c:numRef>
          </c:cat>
          <c:val>
            <c:numRef>
              <c:f>č.ř.!$B$52:$G$52</c:f>
              <c:numCache>
                <c:formatCode>#,##0_ ;\-#,##0\ </c:formatCode>
                <c:ptCount val="6"/>
                <c:pt idx="0">
                  <c:v>20740</c:v>
                </c:pt>
                <c:pt idx="1">
                  <c:v>21377</c:v>
                </c:pt>
                <c:pt idx="2">
                  <c:v>21547</c:v>
                </c:pt>
                <c:pt idx="3">
                  <c:v>22318</c:v>
                </c:pt>
                <c:pt idx="4">
                  <c:v>23054</c:v>
                </c:pt>
                <c:pt idx="5">
                  <c:v>24147</c:v>
                </c:pt>
              </c:numCache>
            </c:numRef>
          </c:val>
          <c:smooth val="0"/>
          <c:extLst>
            <c:ext xmlns:c16="http://schemas.microsoft.com/office/drawing/2014/chart" uri="{C3380CC4-5D6E-409C-BE32-E72D297353CC}">
              <c16:uniqueId val="{00000008-D1D2-40DF-AC85-E014DBF2959C}"/>
            </c:ext>
          </c:extLst>
        </c:ser>
        <c:dLbls>
          <c:showLegendKey val="0"/>
          <c:showVal val="0"/>
          <c:showCatName val="0"/>
          <c:showSerName val="0"/>
          <c:showPercent val="0"/>
          <c:showBubbleSize val="0"/>
        </c:dLbls>
        <c:smooth val="0"/>
        <c:axId val="114745344"/>
        <c:axId val="114746880"/>
      </c:lineChart>
      <c:catAx>
        <c:axId val="114745344"/>
        <c:scaling>
          <c:orientation val="minMax"/>
        </c:scaling>
        <c:delete val="0"/>
        <c:axPos val="b"/>
        <c:numFmt formatCode="#,##0_ ;\-#,##0\ "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114746880"/>
        <c:crosses val="autoZero"/>
        <c:auto val="1"/>
        <c:lblAlgn val="ctr"/>
        <c:lblOffset val="100"/>
        <c:noMultiLvlLbl val="0"/>
      </c:catAx>
      <c:valAx>
        <c:axId val="114746880"/>
        <c:scaling>
          <c:orientation val="minMax"/>
          <c:min val="17000"/>
        </c:scaling>
        <c:delete val="0"/>
        <c:axPos val="l"/>
        <c:majorGridlines>
          <c:spPr>
            <a:ln w="9525" cap="flat" cmpd="sng" algn="ctr">
              <a:solidFill>
                <a:schemeClr val="tx1">
                  <a:lumMod val="15000"/>
                  <a:lumOff val="85000"/>
                </a:schemeClr>
              </a:solidFill>
              <a:round/>
            </a:ln>
            <a:effectLst/>
          </c:spPr>
        </c:majorGridlines>
        <c:numFmt formatCode="#,##0_ ;\-#,##0\ "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11474534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cs-CZ"/>
    </a:p>
  </c:txPr>
  <c:externalData r:id="rId1">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č.ř.!$A$55</c:f>
              <c:strCache>
                <c:ptCount val="1"/>
                <c:pt idx="0">
                  <c:v>VYS-Zeměděl.</c:v>
                </c:pt>
              </c:strCache>
            </c:strRef>
          </c:tx>
          <c:spPr>
            <a:ln w="28575" cap="rnd">
              <a:solidFill>
                <a:srgbClr val="00B050"/>
              </a:solidFill>
              <a:round/>
            </a:ln>
            <a:effectLst/>
          </c:spPr>
          <c:marker>
            <c:symbol val="none"/>
          </c:marker>
          <c:cat>
            <c:numRef>
              <c:f>č.ř.!$B$54:$G$54</c:f>
              <c:numCache>
                <c:formatCode>#,##0_ ;\-#,##0\ </c:formatCode>
                <c:ptCount val="6"/>
                <c:pt idx="0">
                  <c:v>2011</c:v>
                </c:pt>
                <c:pt idx="1">
                  <c:v>2012</c:v>
                </c:pt>
                <c:pt idx="2">
                  <c:v>2013</c:v>
                </c:pt>
                <c:pt idx="3">
                  <c:v>2014</c:v>
                </c:pt>
                <c:pt idx="4">
                  <c:v>2015</c:v>
                </c:pt>
                <c:pt idx="5">
                  <c:v>2016</c:v>
                </c:pt>
              </c:numCache>
            </c:numRef>
          </c:cat>
          <c:val>
            <c:numRef>
              <c:f>č.ř.!$B$55:$G$55</c:f>
              <c:numCache>
                <c:formatCode>#,##0_ ;\-#,##0\ </c:formatCode>
                <c:ptCount val="6"/>
                <c:pt idx="0">
                  <c:v>18114</c:v>
                </c:pt>
                <c:pt idx="1">
                  <c:v>19076</c:v>
                </c:pt>
                <c:pt idx="2">
                  <c:v>20303</c:v>
                </c:pt>
                <c:pt idx="3">
                  <c:v>21638</c:v>
                </c:pt>
                <c:pt idx="4">
                  <c:v>21750</c:v>
                </c:pt>
                <c:pt idx="5">
                  <c:v>22669</c:v>
                </c:pt>
              </c:numCache>
            </c:numRef>
          </c:val>
          <c:smooth val="0"/>
          <c:extLst>
            <c:ext xmlns:c16="http://schemas.microsoft.com/office/drawing/2014/chart" uri="{C3380CC4-5D6E-409C-BE32-E72D297353CC}">
              <c16:uniqueId val="{00000000-BAB5-4DA5-B63F-8106E522D697}"/>
            </c:ext>
          </c:extLst>
        </c:ser>
        <c:ser>
          <c:idx val="1"/>
          <c:order val="1"/>
          <c:tx>
            <c:strRef>
              <c:f>č.ř.!$A$56</c:f>
              <c:strCache>
                <c:ptCount val="1"/>
                <c:pt idx="0">
                  <c:v>VYS-Průmysl</c:v>
                </c:pt>
              </c:strCache>
            </c:strRef>
          </c:tx>
          <c:spPr>
            <a:ln w="28575" cap="rnd">
              <a:solidFill>
                <a:srgbClr val="FF0000"/>
              </a:solidFill>
              <a:round/>
            </a:ln>
            <a:effectLst/>
          </c:spPr>
          <c:marker>
            <c:symbol val="none"/>
          </c:marker>
          <c:cat>
            <c:numRef>
              <c:f>č.ř.!$B$54:$G$54</c:f>
              <c:numCache>
                <c:formatCode>#,##0_ ;\-#,##0\ </c:formatCode>
                <c:ptCount val="6"/>
                <c:pt idx="0">
                  <c:v>2011</c:v>
                </c:pt>
                <c:pt idx="1">
                  <c:v>2012</c:v>
                </c:pt>
                <c:pt idx="2">
                  <c:v>2013</c:v>
                </c:pt>
                <c:pt idx="3">
                  <c:v>2014</c:v>
                </c:pt>
                <c:pt idx="4">
                  <c:v>2015</c:v>
                </c:pt>
                <c:pt idx="5">
                  <c:v>2016</c:v>
                </c:pt>
              </c:numCache>
            </c:numRef>
          </c:cat>
          <c:val>
            <c:numRef>
              <c:f>č.ř.!$B$56:$G$56</c:f>
              <c:numCache>
                <c:formatCode>#,##0_ ;\-#,##0\ </c:formatCode>
                <c:ptCount val="6"/>
                <c:pt idx="0">
                  <c:v>22638</c:v>
                </c:pt>
                <c:pt idx="1">
                  <c:v>23115</c:v>
                </c:pt>
                <c:pt idx="2">
                  <c:v>23483</c:v>
                </c:pt>
                <c:pt idx="3">
                  <c:v>24584</c:v>
                </c:pt>
                <c:pt idx="4">
                  <c:v>25349</c:v>
                </c:pt>
                <c:pt idx="5">
                  <c:v>26595</c:v>
                </c:pt>
              </c:numCache>
            </c:numRef>
          </c:val>
          <c:smooth val="0"/>
          <c:extLst>
            <c:ext xmlns:c16="http://schemas.microsoft.com/office/drawing/2014/chart" uri="{C3380CC4-5D6E-409C-BE32-E72D297353CC}">
              <c16:uniqueId val="{00000001-BAB5-4DA5-B63F-8106E522D697}"/>
            </c:ext>
          </c:extLst>
        </c:ser>
        <c:ser>
          <c:idx val="2"/>
          <c:order val="2"/>
          <c:tx>
            <c:strRef>
              <c:f>č.ř.!$A$57</c:f>
              <c:strCache>
                <c:ptCount val="1"/>
                <c:pt idx="0">
                  <c:v>VYS-NH</c:v>
                </c:pt>
              </c:strCache>
            </c:strRef>
          </c:tx>
          <c:spPr>
            <a:ln w="28575" cap="rnd">
              <a:solidFill>
                <a:srgbClr val="0070C0"/>
              </a:solidFill>
              <a:round/>
            </a:ln>
            <a:effectLst/>
          </c:spPr>
          <c:marker>
            <c:symbol val="none"/>
          </c:marker>
          <c:cat>
            <c:numRef>
              <c:f>č.ř.!$B$54:$G$54</c:f>
              <c:numCache>
                <c:formatCode>#,##0_ ;\-#,##0\ </c:formatCode>
                <c:ptCount val="6"/>
                <c:pt idx="0">
                  <c:v>2011</c:v>
                </c:pt>
                <c:pt idx="1">
                  <c:v>2012</c:v>
                </c:pt>
                <c:pt idx="2">
                  <c:v>2013</c:v>
                </c:pt>
                <c:pt idx="3">
                  <c:v>2014</c:v>
                </c:pt>
                <c:pt idx="4">
                  <c:v>2015</c:v>
                </c:pt>
                <c:pt idx="5">
                  <c:v>2016</c:v>
                </c:pt>
              </c:numCache>
            </c:numRef>
          </c:cat>
          <c:val>
            <c:numRef>
              <c:f>č.ř.!$B$57:$G$57</c:f>
              <c:numCache>
                <c:formatCode>#,##0_ ;\-#,##0\ </c:formatCode>
                <c:ptCount val="6"/>
                <c:pt idx="0">
                  <c:v>21186</c:v>
                </c:pt>
                <c:pt idx="1">
                  <c:v>21627</c:v>
                </c:pt>
                <c:pt idx="2">
                  <c:v>21756</c:v>
                </c:pt>
                <c:pt idx="3">
                  <c:v>22631</c:v>
                </c:pt>
                <c:pt idx="4">
                  <c:v>23368</c:v>
                </c:pt>
                <c:pt idx="5">
                  <c:v>24736</c:v>
                </c:pt>
              </c:numCache>
            </c:numRef>
          </c:val>
          <c:smooth val="0"/>
          <c:extLst>
            <c:ext xmlns:c16="http://schemas.microsoft.com/office/drawing/2014/chart" uri="{C3380CC4-5D6E-409C-BE32-E72D297353CC}">
              <c16:uniqueId val="{00000002-BAB5-4DA5-B63F-8106E522D697}"/>
            </c:ext>
          </c:extLst>
        </c:ser>
        <c:ser>
          <c:idx val="3"/>
          <c:order val="3"/>
          <c:tx>
            <c:strRef>
              <c:f>č.ř.!$A$58</c:f>
              <c:strCache>
                <c:ptCount val="1"/>
                <c:pt idx="0">
                  <c:v>JHM-Zeměděl.</c:v>
                </c:pt>
              </c:strCache>
            </c:strRef>
          </c:tx>
          <c:spPr>
            <a:ln w="28575" cap="rnd">
              <a:solidFill>
                <a:srgbClr val="00B050"/>
              </a:solidFill>
              <a:prstDash val="dash"/>
              <a:round/>
            </a:ln>
            <a:effectLst/>
          </c:spPr>
          <c:marker>
            <c:symbol val="none"/>
          </c:marker>
          <c:cat>
            <c:numRef>
              <c:f>č.ř.!$B$54:$G$54</c:f>
              <c:numCache>
                <c:formatCode>#,##0_ ;\-#,##0\ </c:formatCode>
                <c:ptCount val="6"/>
                <c:pt idx="0">
                  <c:v>2011</c:v>
                </c:pt>
                <c:pt idx="1">
                  <c:v>2012</c:v>
                </c:pt>
                <c:pt idx="2">
                  <c:v>2013</c:v>
                </c:pt>
                <c:pt idx="3">
                  <c:v>2014</c:v>
                </c:pt>
                <c:pt idx="4">
                  <c:v>2015</c:v>
                </c:pt>
                <c:pt idx="5">
                  <c:v>2016</c:v>
                </c:pt>
              </c:numCache>
            </c:numRef>
          </c:cat>
          <c:val>
            <c:numRef>
              <c:f>č.ř.!$B$58:$G$58</c:f>
              <c:numCache>
                <c:formatCode>#,##0_ ;\-#,##0\ </c:formatCode>
                <c:ptCount val="6"/>
                <c:pt idx="0">
                  <c:v>17442</c:v>
                </c:pt>
                <c:pt idx="1">
                  <c:v>18419</c:v>
                </c:pt>
                <c:pt idx="2">
                  <c:v>19358</c:v>
                </c:pt>
                <c:pt idx="3">
                  <c:v>20473</c:v>
                </c:pt>
                <c:pt idx="4">
                  <c:v>20471</c:v>
                </c:pt>
                <c:pt idx="5">
                  <c:v>21168</c:v>
                </c:pt>
              </c:numCache>
            </c:numRef>
          </c:val>
          <c:smooth val="0"/>
          <c:extLst>
            <c:ext xmlns:c16="http://schemas.microsoft.com/office/drawing/2014/chart" uri="{C3380CC4-5D6E-409C-BE32-E72D297353CC}">
              <c16:uniqueId val="{00000003-BAB5-4DA5-B63F-8106E522D697}"/>
            </c:ext>
          </c:extLst>
        </c:ser>
        <c:ser>
          <c:idx val="4"/>
          <c:order val="4"/>
          <c:tx>
            <c:strRef>
              <c:f>č.ř.!$A$59</c:f>
              <c:strCache>
                <c:ptCount val="1"/>
                <c:pt idx="0">
                  <c:v>JHM-Průmysl</c:v>
                </c:pt>
              </c:strCache>
            </c:strRef>
          </c:tx>
          <c:spPr>
            <a:ln w="28575" cap="rnd">
              <a:solidFill>
                <a:srgbClr val="FF0000"/>
              </a:solidFill>
              <a:prstDash val="dash"/>
              <a:round/>
            </a:ln>
            <a:effectLst/>
          </c:spPr>
          <c:marker>
            <c:symbol val="none"/>
          </c:marker>
          <c:cat>
            <c:numRef>
              <c:f>č.ř.!$B$54:$G$54</c:f>
              <c:numCache>
                <c:formatCode>#,##0_ ;\-#,##0\ </c:formatCode>
                <c:ptCount val="6"/>
                <c:pt idx="0">
                  <c:v>2011</c:v>
                </c:pt>
                <c:pt idx="1">
                  <c:v>2012</c:v>
                </c:pt>
                <c:pt idx="2">
                  <c:v>2013</c:v>
                </c:pt>
                <c:pt idx="3">
                  <c:v>2014</c:v>
                </c:pt>
                <c:pt idx="4">
                  <c:v>2015</c:v>
                </c:pt>
                <c:pt idx="5">
                  <c:v>2016</c:v>
                </c:pt>
              </c:numCache>
            </c:numRef>
          </c:cat>
          <c:val>
            <c:numRef>
              <c:f>č.ř.!$B$59:$G$59</c:f>
              <c:numCache>
                <c:formatCode>#,##0_ ;\-#,##0\ </c:formatCode>
                <c:ptCount val="6"/>
                <c:pt idx="0">
                  <c:v>22951</c:v>
                </c:pt>
                <c:pt idx="1">
                  <c:v>24055</c:v>
                </c:pt>
                <c:pt idx="2">
                  <c:v>24377</c:v>
                </c:pt>
                <c:pt idx="3">
                  <c:v>24873</c:v>
                </c:pt>
                <c:pt idx="4">
                  <c:v>25618</c:v>
                </c:pt>
                <c:pt idx="5">
                  <c:v>26691</c:v>
                </c:pt>
              </c:numCache>
            </c:numRef>
          </c:val>
          <c:smooth val="0"/>
          <c:extLst>
            <c:ext xmlns:c16="http://schemas.microsoft.com/office/drawing/2014/chart" uri="{C3380CC4-5D6E-409C-BE32-E72D297353CC}">
              <c16:uniqueId val="{00000004-BAB5-4DA5-B63F-8106E522D697}"/>
            </c:ext>
          </c:extLst>
        </c:ser>
        <c:ser>
          <c:idx val="5"/>
          <c:order val="5"/>
          <c:tx>
            <c:strRef>
              <c:f>č.ř.!$A$60</c:f>
              <c:strCache>
                <c:ptCount val="1"/>
                <c:pt idx="0">
                  <c:v>JHM-NH</c:v>
                </c:pt>
              </c:strCache>
            </c:strRef>
          </c:tx>
          <c:spPr>
            <a:ln w="28575" cap="rnd">
              <a:solidFill>
                <a:srgbClr val="0070C0"/>
              </a:solidFill>
              <a:prstDash val="dash"/>
              <a:round/>
            </a:ln>
            <a:effectLst/>
          </c:spPr>
          <c:marker>
            <c:symbol val="none"/>
          </c:marker>
          <c:cat>
            <c:numRef>
              <c:f>č.ř.!$B$54:$G$54</c:f>
              <c:numCache>
                <c:formatCode>#,##0_ ;\-#,##0\ </c:formatCode>
                <c:ptCount val="6"/>
                <c:pt idx="0">
                  <c:v>2011</c:v>
                </c:pt>
                <c:pt idx="1">
                  <c:v>2012</c:v>
                </c:pt>
                <c:pt idx="2">
                  <c:v>2013</c:v>
                </c:pt>
                <c:pt idx="3">
                  <c:v>2014</c:v>
                </c:pt>
                <c:pt idx="4">
                  <c:v>2015</c:v>
                </c:pt>
                <c:pt idx="5">
                  <c:v>2016</c:v>
                </c:pt>
              </c:numCache>
            </c:numRef>
          </c:cat>
          <c:val>
            <c:numRef>
              <c:f>č.ř.!$B$60:$G$60</c:f>
              <c:numCache>
                <c:formatCode>#,##0_ ;\-#,##0\ </c:formatCode>
                <c:ptCount val="6"/>
                <c:pt idx="0">
                  <c:v>22506</c:v>
                </c:pt>
                <c:pt idx="1">
                  <c:v>23253</c:v>
                </c:pt>
                <c:pt idx="2">
                  <c:v>23482</c:v>
                </c:pt>
                <c:pt idx="3">
                  <c:v>23932</c:v>
                </c:pt>
                <c:pt idx="4">
                  <c:v>24924</c:v>
                </c:pt>
                <c:pt idx="5">
                  <c:v>25905</c:v>
                </c:pt>
              </c:numCache>
            </c:numRef>
          </c:val>
          <c:smooth val="0"/>
          <c:extLst>
            <c:ext xmlns:c16="http://schemas.microsoft.com/office/drawing/2014/chart" uri="{C3380CC4-5D6E-409C-BE32-E72D297353CC}">
              <c16:uniqueId val="{00000005-BAB5-4DA5-B63F-8106E522D697}"/>
            </c:ext>
          </c:extLst>
        </c:ser>
        <c:dLbls>
          <c:showLegendKey val="0"/>
          <c:showVal val="0"/>
          <c:showCatName val="0"/>
          <c:showSerName val="0"/>
          <c:showPercent val="0"/>
          <c:showBubbleSize val="0"/>
        </c:dLbls>
        <c:smooth val="0"/>
        <c:axId val="114794496"/>
        <c:axId val="114796032"/>
      </c:lineChart>
      <c:catAx>
        <c:axId val="114794496"/>
        <c:scaling>
          <c:orientation val="minMax"/>
        </c:scaling>
        <c:delete val="0"/>
        <c:axPos val="b"/>
        <c:numFmt formatCode="#,##0_ ;\-#,##0\ "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114796032"/>
        <c:crosses val="autoZero"/>
        <c:auto val="1"/>
        <c:lblAlgn val="ctr"/>
        <c:lblOffset val="100"/>
        <c:noMultiLvlLbl val="0"/>
      </c:catAx>
      <c:valAx>
        <c:axId val="114796032"/>
        <c:scaling>
          <c:orientation val="minMax"/>
          <c:max val="27000"/>
          <c:min val="17000"/>
        </c:scaling>
        <c:delete val="0"/>
        <c:axPos val="l"/>
        <c:majorGridlines>
          <c:spPr>
            <a:ln w="9525" cap="flat" cmpd="sng" algn="ctr">
              <a:solidFill>
                <a:schemeClr val="tx1">
                  <a:lumMod val="15000"/>
                  <a:lumOff val="85000"/>
                </a:schemeClr>
              </a:solidFill>
              <a:round/>
            </a:ln>
            <a:effectLst/>
          </c:spPr>
        </c:majorGridlines>
        <c:numFmt formatCode="#,##0_ ;\-#,##0\ "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11479449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cs-CZ"/>
    </a:p>
  </c:txPr>
  <c:externalData r:id="rId1">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1588670166229222"/>
          <c:y val="6.5231481481481488E-2"/>
          <c:w val="0.85355774278215224"/>
          <c:h val="0.6184554534849811"/>
        </c:manualLayout>
      </c:layout>
      <c:lineChart>
        <c:grouping val="standard"/>
        <c:varyColors val="0"/>
        <c:ser>
          <c:idx val="0"/>
          <c:order val="0"/>
          <c:tx>
            <c:strRef>
              <c:f>č.ř.!$A$63</c:f>
              <c:strCache>
                <c:ptCount val="1"/>
                <c:pt idx="0">
                  <c:v>OLK-Zeměděl.</c:v>
                </c:pt>
              </c:strCache>
            </c:strRef>
          </c:tx>
          <c:spPr>
            <a:ln w="28575" cap="rnd">
              <a:solidFill>
                <a:srgbClr val="00B050"/>
              </a:solidFill>
              <a:round/>
            </a:ln>
            <a:effectLst/>
          </c:spPr>
          <c:marker>
            <c:symbol val="none"/>
          </c:marker>
          <c:cat>
            <c:numRef>
              <c:f>č.ř.!$B$62:$G$62</c:f>
              <c:numCache>
                <c:formatCode>#,##0_ ;\-#,##0\ </c:formatCode>
                <c:ptCount val="6"/>
                <c:pt idx="0">
                  <c:v>2011</c:v>
                </c:pt>
                <c:pt idx="1">
                  <c:v>2012</c:v>
                </c:pt>
                <c:pt idx="2">
                  <c:v>2013</c:v>
                </c:pt>
                <c:pt idx="3">
                  <c:v>2014</c:v>
                </c:pt>
                <c:pt idx="4">
                  <c:v>2015</c:v>
                </c:pt>
                <c:pt idx="5">
                  <c:v>2016</c:v>
                </c:pt>
              </c:numCache>
            </c:numRef>
          </c:cat>
          <c:val>
            <c:numRef>
              <c:f>č.ř.!$B$63:$G$63</c:f>
              <c:numCache>
                <c:formatCode>#,##0_ ;\-#,##0\ </c:formatCode>
                <c:ptCount val="6"/>
                <c:pt idx="0">
                  <c:v>18519</c:v>
                </c:pt>
                <c:pt idx="1">
                  <c:v>18871</c:v>
                </c:pt>
                <c:pt idx="2">
                  <c:v>20171</c:v>
                </c:pt>
                <c:pt idx="3">
                  <c:v>21577</c:v>
                </c:pt>
                <c:pt idx="4">
                  <c:v>21314</c:v>
                </c:pt>
                <c:pt idx="5">
                  <c:v>22117</c:v>
                </c:pt>
              </c:numCache>
            </c:numRef>
          </c:val>
          <c:smooth val="0"/>
          <c:extLst>
            <c:ext xmlns:c16="http://schemas.microsoft.com/office/drawing/2014/chart" uri="{C3380CC4-5D6E-409C-BE32-E72D297353CC}">
              <c16:uniqueId val="{00000000-3D73-4835-8F17-44163EA70A91}"/>
            </c:ext>
          </c:extLst>
        </c:ser>
        <c:ser>
          <c:idx val="1"/>
          <c:order val="1"/>
          <c:tx>
            <c:strRef>
              <c:f>č.ř.!$A$64</c:f>
              <c:strCache>
                <c:ptCount val="1"/>
                <c:pt idx="0">
                  <c:v>OLK-Průmysl</c:v>
                </c:pt>
              </c:strCache>
            </c:strRef>
          </c:tx>
          <c:spPr>
            <a:ln w="28575" cap="rnd">
              <a:solidFill>
                <a:srgbClr val="FF0000"/>
              </a:solidFill>
              <a:round/>
            </a:ln>
            <a:effectLst/>
          </c:spPr>
          <c:marker>
            <c:symbol val="none"/>
          </c:marker>
          <c:cat>
            <c:numRef>
              <c:f>č.ř.!$B$62:$G$62</c:f>
              <c:numCache>
                <c:formatCode>#,##0_ ;\-#,##0\ </c:formatCode>
                <c:ptCount val="6"/>
                <c:pt idx="0">
                  <c:v>2011</c:v>
                </c:pt>
                <c:pt idx="1">
                  <c:v>2012</c:v>
                </c:pt>
                <c:pt idx="2">
                  <c:v>2013</c:v>
                </c:pt>
                <c:pt idx="3">
                  <c:v>2014</c:v>
                </c:pt>
                <c:pt idx="4">
                  <c:v>2015</c:v>
                </c:pt>
                <c:pt idx="5">
                  <c:v>2016</c:v>
                </c:pt>
              </c:numCache>
            </c:numRef>
          </c:cat>
          <c:val>
            <c:numRef>
              <c:f>č.ř.!$B$64:$G$64</c:f>
              <c:numCache>
                <c:formatCode>#,##0_ ;\-#,##0\ </c:formatCode>
                <c:ptCount val="6"/>
                <c:pt idx="0">
                  <c:v>21872</c:v>
                </c:pt>
                <c:pt idx="1">
                  <c:v>22855</c:v>
                </c:pt>
                <c:pt idx="2">
                  <c:v>22782</c:v>
                </c:pt>
                <c:pt idx="3">
                  <c:v>23434</c:v>
                </c:pt>
                <c:pt idx="4">
                  <c:v>24300</c:v>
                </c:pt>
                <c:pt idx="5">
                  <c:v>25385</c:v>
                </c:pt>
              </c:numCache>
            </c:numRef>
          </c:val>
          <c:smooth val="0"/>
          <c:extLst>
            <c:ext xmlns:c16="http://schemas.microsoft.com/office/drawing/2014/chart" uri="{C3380CC4-5D6E-409C-BE32-E72D297353CC}">
              <c16:uniqueId val="{00000001-3D73-4835-8F17-44163EA70A91}"/>
            </c:ext>
          </c:extLst>
        </c:ser>
        <c:ser>
          <c:idx val="2"/>
          <c:order val="2"/>
          <c:tx>
            <c:strRef>
              <c:f>č.ř.!$A$65</c:f>
              <c:strCache>
                <c:ptCount val="1"/>
                <c:pt idx="0">
                  <c:v>OLK-NH</c:v>
                </c:pt>
              </c:strCache>
            </c:strRef>
          </c:tx>
          <c:spPr>
            <a:ln w="28575" cap="rnd">
              <a:solidFill>
                <a:srgbClr val="0070C0"/>
              </a:solidFill>
              <a:round/>
            </a:ln>
            <a:effectLst/>
          </c:spPr>
          <c:marker>
            <c:symbol val="none"/>
          </c:marker>
          <c:cat>
            <c:numRef>
              <c:f>č.ř.!$B$62:$G$62</c:f>
              <c:numCache>
                <c:formatCode>#,##0_ ;\-#,##0\ </c:formatCode>
                <c:ptCount val="6"/>
                <c:pt idx="0">
                  <c:v>2011</c:v>
                </c:pt>
                <c:pt idx="1">
                  <c:v>2012</c:v>
                </c:pt>
                <c:pt idx="2">
                  <c:v>2013</c:v>
                </c:pt>
                <c:pt idx="3">
                  <c:v>2014</c:v>
                </c:pt>
                <c:pt idx="4">
                  <c:v>2015</c:v>
                </c:pt>
                <c:pt idx="5">
                  <c:v>2016</c:v>
                </c:pt>
              </c:numCache>
            </c:numRef>
          </c:cat>
          <c:val>
            <c:numRef>
              <c:f>č.ř.!$B$65:$G$65</c:f>
              <c:numCache>
                <c:formatCode>#,##0_ ;\-#,##0\ </c:formatCode>
                <c:ptCount val="6"/>
                <c:pt idx="0">
                  <c:v>20908</c:v>
                </c:pt>
                <c:pt idx="1">
                  <c:v>21666</c:v>
                </c:pt>
                <c:pt idx="2">
                  <c:v>21499</c:v>
                </c:pt>
                <c:pt idx="3">
                  <c:v>22216</c:v>
                </c:pt>
                <c:pt idx="4">
                  <c:v>22940</c:v>
                </c:pt>
                <c:pt idx="5">
                  <c:v>23959</c:v>
                </c:pt>
              </c:numCache>
            </c:numRef>
          </c:val>
          <c:smooth val="0"/>
          <c:extLst>
            <c:ext xmlns:c16="http://schemas.microsoft.com/office/drawing/2014/chart" uri="{C3380CC4-5D6E-409C-BE32-E72D297353CC}">
              <c16:uniqueId val="{00000002-3D73-4835-8F17-44163EA70A91}"/>
            </c:ext>
          </c:extLst>
        </c:ser>
        <c:ser>
          <c:idx val="3"/>
          <c:order val="3"/>
          <c:tx>
            <c:strRef>
              <c:f>č.ř.!$A$66</c:f>
              <c:strCache>
                <c:ptCount val="1"/>
                <c:pt idx="0">
                  <c:v>ZLK-Zeměděl.</c:v>
                </c:pt>
              </c:strCache>
            </c:strRef>
          </c:tx>
          <c:spPr>
            <a:ln w="28575" cap="rnd">
              <a:solidFill>
                <a:srgbClr val="00B050"/>
              </a:solidFill>
              <a:prstDash val="dash"/>
              <a:round/>
            </a:ln>
            <a:effectLst/>
          </c:spPr>
          <c:marker>
            <c:symbol val="none"/>
          </c:marker>
          <c:cat>
            <c:numRef>
              <c:f>č.ř.!$B$62:$G$62</c:f>
              <c:numCache>
                <c:formatCode>#,##0_ ;\-#,##0\ </c:formatCode>
                <c:ptCount val="6"/>
                <c:pt idx="0">
                  <c:v>2011</c:v>
                </c:pt>
                <c:pt idx="1">
                  <c:v>2012</c:v>
                </c:pt>
                <c:pt idx="2">
                  <c:v>2013</c:v>
                </c:pt>
                <c:pt idx="3">
                  <c:v>2014</c:v>
                </c:pt>
                <c:pt idx="4">
                  <c:v>2015</c:v>
                </c:pt>
                <c:pt idx="5">
                  <c:v>2016</c:v>
                </c:pt>
              </c:numCache>
            </c:numRef>
          </c:cat>
          <c:val>
            <c:numRef>
              <c:f>č.ř.!$B$66:$G$66</c:f>
              <c:numCache>
                <c:formatCode>#,##0_ ;\-#,##0\ </c:formatCode>
                <c:ptCount val="6"/>
                <c:pt idx="0">
                  <c:v>18409</c:v>
                </c:pt>
                <c:pt idx="1">
                  <c:v>18883</c:v>
                </c:pt>
                <c:pt idx="2">
                  <c:v>19660</c:v>
                </c:pt>
                <c:pt idx="3">
                  <c:v>20815</c:v>
                </c:pt>
                <c:pt idx="4">
                  <c:v>21188</c:v>
                </c:pt>
                <c:pt idx="5">
                  <c:v>22250</c:v>
                </c:pt>
              </c:numCache>
            </c:numRef>
          </c:val>
          <c:smooth val="0"/>
          <c:extLst>
            <c:ext xmlns:c16="http://schemas.microsoft.com/office/drawing/2014/chart" uri="{C3380CC4-5D6E-409C-BE32-E72D297353CC}">
              <c16:uniqueId val="{00000003-3D73-4835-8F17-44163EA70A91}"/>
            </c:ext>
          </c:extLst>
        </c:ser>
        <c:ser>
          <c:idx val="4"/>
          <c:order val="4"/>
          <c:tx>
            <c:strRef>
              <c:f>č.ř.!$A$67</c:f>
              <c:strCache>
                <c:ptCount val="1"/>
                <c:pt idx="0">
                  <c:v>ZLK-Průmysl.</c:v>
                </c:pt>
              </c:strCache>
            </c:strRef>
          </c:tx>
          <c:spPr>
            <a:ln w="28575" cap="rnd">
              <a:solidFill>
                <a:srgbClr val="FF0000"/>
              </a:solidFill>
              <a:prstDash val="dash"/>
              <a:round/>
            </a:ln>
            <a:effectLst/>
          </c:spPr>
          <c:marker>
            <c:symbol val="none"/>
          </c:marker>
          <c:cat>
            <c:numRef>
              <c:f>č.ř.!$B$62:$G$62</c:f>
              <c:numCache>
                <c:formatCode>#,##0_ ;\-#,##0\ </c:formatCode>
                <c:ptCount val="6"/>
                <c:pt idx="0">
                  <c:v>2011</c:v>
                </c:pt>
                <c:pt idx="1">
                  <c:v>2012</c:v>
                </c:pt>
                <c:pt idx="2">
                  <c:v>2013</c:v>
                </c:pt>
                <c:pt idx="3">
                  <c:v>2014</c:v>
                </c:pt>
                <c:pt idx="4">
                  <c:v>2015</c:v>
                </c:pt>
                <c:pt idx="5">
                  <c:v>2016</c:v>
                </c:pt>
              </c:numCache>
            </c:numRef>
          </c:cat>
          <c:val>
            <c:numRef>
              <c:f>č.ř.!$B$67:$G$67</c:f>
              <c:numCache>
                <c:formatCode>#,##0_ ;\-#,##0\ </c:formatCode>
                <c:ptCount val="6"/>
                <c:pt idx="0">
                  <c:v>22052</c:v>
                </c:pt>
                <c:pt idx="1">
                  <c:v>22837</c:v>
                </c:pt>
                <c:pt idx="2">
                  <c:v>22802</c:v>
                </c:pt>
                <c:pt idx="3">
                  <c:v>23726</c:v>
                </c:pt>
                <c:pt idx="4">
                  <c:v>24447</c:v>
                </c:pt>
                <c:pt idx="5">
                  <c:v>25601</c:v>
                </c:pt>
              </c:numCache>
            </c:numRef>
          </c:val>
          <c:smooth val="0"/>
          <c:extLst>
            <c:ext xmlns:c16="http://schemas.microsoft.com/office/drawing/2014/chart" uri="{C3380CC4-5D6E-409C-BE32-E72D297353CC}">
              <c16:uniqueId val="{00000004-3D73-4835-8F17-44163EA70A91}"/>
            </c:ext>
          </c:extLst>
        </c:ser>
        <c:ser>
          <c:idx val="5"/>
          <c:order val="5"/>
          <c:tx>
            <c:strRef>
              <c:f>č.ř.!$A$68</c:f>
              <c:strCache>
                <c:ptCount val="1"/>
                <c:pt idx="0">
                  <c:v>ZLK-NH</c:v>
                </c:pt>
              </c:strCache>
            </c:strRef>
          </c:tx>
          <c:spPr>
            <a:ln w="28575" cap="rnd">
              <a:solidFill>
                <a:srgbClr val="0070C0"/>
              </a:solidFill>
              <a:prstDash val="dash"/>
              <a:round/>
            </a:ln>
            <a:effectLst/>
          </c:spPr>
          <c:marker>
            <c:symbol val="none"/>
          </c:marker>
          <c:cat>
            <c:numRef>
              <c:f>č.ř.!$B$62:$G$62</c:f>
              <c:numCache>
                <c:formatCode>#,##0_ ;\-#,##0\ </c:formatCode>
                <c:ptCount val="6"/>
                <c:pt idx="0">
                  <c:v>2011</c:v>
                </c:pt>
                <c:pt idx="1">
                  <c:v>2012</c:v>
                </c:pt>
                <c:pt idx="2">
                  <c:v>2013</c:v>
                </c:pt>
                <c:pt idx="3">
                  <c:v>2014</c:v>
                </c:pt>
                <c:pt idx="4">
                  <c:v>2015</c:v>
                </c:pt>
                <c:pt idx="5">
                  <c:v>2016</c:v>
                </c:pt>
              </c:numCache>
            </c:numRef>
          </c:cat>
          <c:val>
            <c:numRef>
              <c:f>č.ř.!$B$68:$G$68</c:f>
              <c:numCache>
                <c:formatCode>#,##0_ ;\-#,##0\ </c:formatCode>
                <c:ptCount val="6"/>
                <c:pt idx="0">
                  <c:v>20777</c:v>
                </c:pt>
                <c:pt idx="1">
                  <c:v>21338</c:v>
                </c:pt>
                <c:pt idx="2">
                  <c:v>21115</c:v>
                </c:pt>
                <c:pt idx="3">
                  <c:v>21973</c:v>
                </c:pt>
                <c:pt idx="4">
                  <c:v>22627</c:v>
                </c:pt>
                <c:pt idx="5">
                  <c:v>23760</c:v>
                </c:pt>
              </c:numCache>
            </c:numRef>
          </c:val>
          <c:smooth val="0"/>
          <c:extLst>
            <c:ext xmlns:c16="http://schemas.microsoft.com/office/drawing/2014/chart" uri="{C3380CC4-5D6E-409C-BE32-E72D297353CC}">
              <c16:uniqueId val="{00000005-3D73-4835-8F17-44163EA70A91}"/>
            </c:ext>
          </c:extLst>
        </c:ser>
        <c:ser>
          <c:idx val="6"/>
          <c:order val="6"/>
          <c:tx>
            <c:strRef>
              <c:f>č.ř.!$A$69</c:f>
              <c:strCache>
                <c:ptCount val="1"/>
                <c:pt idx="0">
                  <c:v>MSK-Zeměděl.</c:v>
                </c:pt>
              </c:strCache>
            </c:strRef>
          </c:tx>
          <c:spPr>
            <a:ln w="28575" cap="rnd">
              <a:solidFill>
                <a:srgbClr val="00B050"/>
              </a:solidFill>
              <a:prstDash val="sysDash"/>
              <a:round/>
            </a:ln>
            <a:effectLst/>
          </c:spPr>
          <c:marker>
            <c:symbol val="none"/>
          </c:marker>
          <c:cat>
            <c:numRef>
              <c:f>č.ř.!$B$62:$G$62</c:f>
              <c:numCache>
                <c:formatCode>#,##0_ ;\-#,##0\ </c:formatCode>
                <c:ptCount val="6"/>
                <c:pt idx="0">
                  <c:v>2011</c:v>
                </c:pt>
                <c:pt idx="1">
                  <c:v>2012</c:v>
                </c:pt>
                <c:pt idx="2">
                  <c:v>2013</c:v>
                </c:pt>
                <c:pt idx="3">
                  <c:v>2014</c:v>
                </c:pt>
                <c:pt idx="4">
                  <c:v>2015</c:v>
                </c:pt>
                <c:pt idx="5">
                  <c:v>2016</c:v>
                </c:pt>
              </c:numCache>
            </c:numRef>
          </c:cat>
          <c:val>
            <c:numRef>
              <c:f>č.ř.!$B$69:$G$69</c:f>
              <c:numCache>
                <c:formatCode>#,##0_ ;\-#,##0\ </c:formatCode>
                <c:ptCount val="6"/>
                <c:pt idx="0">
                  <c:v>17533</c:v>
                </c:pt>
                <c:pt idx="1">
                  <c:v>18707</c:v>
                </c:pt>
                <c:pt idx="2">
                  <c:v>19493</c:v>
                </c:pt>
                <c:pt idx="3">
                  <c:v>20021</c:v>
                </c:pt>
                <c:pt idx="4">
                  <c:v>20402</c:v>
                </c:pt>
                <c:pt idx="5">
                  <c:v>21128</c:v>
                </c:pt>
              </c:numCache>
            </c:numRef>
          </c:val>
          <c:smooth val="0"/>
          <c:extLst>
            <c:ext xmlns:c16="http://schemas.microsoft.com/office/drawing/2014/chart" uri="{C3380CC4-5D6E-409C-BE32-E72D297353CC}">
              <c16:uniqueId val="{00000006-3D73-4835-8F17-44163EA70A91}"/>
            </c:ext>
          </c:extLst>
        </c:ser>
        <c:ser>
          <c:idx val="7"/>
          <c:order val="7"/>
          <c:tx>
            <c:strRef>
              <c:f>č.ř.!$A$70</c:f>
              <c:strCache>
                <c:ptCount val="1"/>
                <c:pt idx="0">
                  <c:v>MSK-Průmysl</c:v>
                </c:pt>
              </c:strCache>
            </c:strRef>
          </c:tx>
          <c:spPr>
            <a:ln w="28575" cap="rnd">
              <a:solidFill>
                <a:srgbClr val="FF0000"/>
              </a:solidFill>
              <a:prstDash val="sysDash"/>
              <a:round/>
            </a:ln>
            <a:effectLst/>
          </c:spPr>
          <c:marker>
            <c:symbol val="none"/>
          </c:marker>
          <c:cat>
            <c:numRef>
              <c:f>č.ř.!$B$62:$G$62</c:f>
              <c:numCache>
                <c:formatCode>#,##0_ ;\-#,##0\ </c:formatCode>
                <c:ptCount val="6"/>
                <c:pt idx="0">
                  <c:v>2011</c:v>
                </c:pt>
                <c:pt idx="1">
                  <c:v>2012</c:v>
                </c:pt>
                <c:pt idx="2">
                  <c:v>2013</c:v>
                </c:pt>
                <c:pt idx="3">
                  <c:v>2014</c:v>
                </c:pt>
                <c:pt idx="4">
                  <c:v>2015</c:v>
                </c:pt>
                <c:pt idx="5">
                  <c:v>2016</c:v>
                </c:pt>
              </c:numCache>
            </c:numRef>
          </c:cat>
          <c:val>
            <c:numRef>
              <c:f>č.ř.!$B$70:$G$70</c:f>
              <c:numCache>
                <c:formatCode>#,##0_ ;\-#,##0\ </c:formatCode>
                <c:ptCount val="6"/>
                <c:pt idx="0">
                  <c:v>24772</c:v>
                </c:pt>
                <c:pt idx="1">
                  <c:v>25274</c:v>
                </c:pt>
                <c:pt idx="2">
                  <c:v>25571</c:v>
                </c:pt>
                <c:pt idx="3">
                  <c:v>26209</c:v>
                </c:pt>
                <c:pt idx="4">
                  <c:v>26864</c:v>
                </c:pt>
                <c:pt idx="5">
                  <c:v>27501</c:v>
                </c:pt>
              </c:numCache>
            </c:numRef>
          </c:val>
          <c:smooth val="0"/>
          <c:extLst>
            <c:ext xmlns:c16="http://schemas.microsoft.com/office/drawing/2014/chart" uri="{C3380CC4-5D6E-409C-BE32-E72D297353CC}">
              <c16:uniqueId val="{00000007-3D73-4835-8F17-44163EA70A91}"/>
            </c:ext>
          </c:extLst>
        </c:ser>
        <c:ser>
          <c:idx val="8"/>
          <c:order val="8"/>
          <c:tx>
            <c:strRef>
              <c:f>č.ř.!$A$71</c:f>
              <c:strCache>
                <c:ptCount val="1"/>
                <c:pt idx="0">
                  <c:v>MSK-NH</c:v>
                </c:pt>
              </c:strCache>
            </c:strRef>
          </c:tx>
          <c:spPr>
            <a:ln w="28575" cap="rnd">
              <a:solidFill>
                <a:srgbClr val="0070C0"/>
              </a:solidFill>
              <a:prstDash val="sysDash"/>
              <a:round/>
            </a:ln>
            <a:effectLst/>
          </c:spPr>
          <c:marker>
            <c:symbol val="none"/>
          </c:marker>
          <c:cat>
            <c:numRef>
              <c:f>č.ř.!$B$62:$G$62</c:f>
              <c:numCache>
                <c:formatCode>#,##0_ ;\-#,##0\ </c:formatCode>
                <c:ptCount val="6"/>
                <c:pt idx="0">
                  <c:v>2011</c:v>
                </c:pt>
                <c:pt idx="1">
                  <c:v>2012</c:v>
                </c:pt>
                <c:pt idx="2">
                  <c:v>2013</c:v>
                </c:pt>
                <c:pt idx="3">
                  <c:v>2014</c:v>
                </c:pt>
                <c:pt idx="4">
                  <c:v>2015</c:v>
                </c:pt>
                <c:pt idx="5">
                  <c:v>2016</c:v>
                </c:pt>
              </c:numCache>
            </c:numRef>
          </c:cat>
          <c:val>
            <c:numRef>
              <c:f>č.ř.!$B$71:$G$71</c:f>
              <c:numCache>
                <c:formatCode>#,##0_ ;\-#,##0\ </c:formatCode>
                <c:ptCount val="6"/>
                <c:pt idx="0">
                  <c:v>22111</c:v>
                </c:pt>
                <c:pt idx="1">
                  <c:v>22364</c:v>
                </c:pt>
                <c:pt idx="2">
                  <c:v>22396</c:v>
                </c:pt>
                <c:pt idx="3">
                  <c:v>22997</c:v>
                </c:pt>
                <c:pt idx="4">
                  <c:v>23712</c:v>
                </c:pt>
                <c:pt idx="5">
                  <c:v>24558</c:v>
                </c:pt>
              </c:numCache>
            </c:numRef>
          </c:val>
          <c:smooth val="0"/>
          <c:extLst>
            <c:ext xmlns:c16="http://schemas.microsoft.com/office/drawing/2014/chart" uri="{C3380CC4-5D6E-409C-BE32-E72D297353CC}">
              <c16:uniqueId val="{00000008-3D73-4835-8F17-44163EA70A91}"/>
            </c:ext>
          </c:extLst>
        </c:ser>
        <c:dLbls>
          <c:showLegendKey val="0"/>
          <c:showVal val="0"/>
          <c:showCatName val="0"/>
          <c:showSerName val="0"/>
          <c:showPercent val="0"/>
          <c:showBubbleSize val="0"/>
        </c:dLbls>
        <c:smooth val="0"/>
        <c:axId val="115371392"/>
        <c:axId val="115385472"/>
      </c:lineChart>
      <c:catAx>
        <c:axId val="115371392"/>
        <c:scaling>
          <c:orientation val="minMax"/>
        </c:scaling>
        <c:delete val="0"/>
        <c:axPos val="b"/>
        <c:numFmt formatCode="#,##0_ ;\-#,##0\ "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115385472"/>
        <c:crosses val="autoZero"/>
        <c:auto val="1"/>
        <c:lblAlgn val="ctr"/>
        <c:lblOffset val="100"/>
        <c:noMultiLvlLbl val="0"/>
      </c:catAx>
      <c:valAx>
        <c:axId val="115385472"/>
        <c:scaling>
          <c:orientation val="minMax"/>
          <c:max val="28000"/>
          <c:min val="17000"/>
        </c:scaling>
        <c:delete val="0"/>
        <c:axPos val="l"/>
        <c:majorGridlines>
          <c:spPr>
            <a:ln w="9525" cap="flat" cmpd="sng" algn="ctr">
              <a:solidFill>
                <a:schemeClr val="tx1">
                  <a:lumMod val="15000"/>
                  <a:lumOff val="85000"/>
                </a:schemeClr>
              </a:solidFill>
              <a:round/>
            </a:ln>
            <a:effectLst/>
          </c:spPr>
        </c:majorGridlines>
        <c:numFmt formatCode="#,##0_ ;\-#,##0\ "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115371392"/>
        <c:crosses val="autoZero"/>
        <c:crossBetween val="between"/>
      </c:valAx>
      <c:spPr>
        <a:noFill/>
        <a:ln>
          <a:noFill/>
        </a:ln>
        <a:effectLst/>
      </c:spPr>
    </c:plotArea>
    <c:legend>
      <c:legendPos val="b"/>
      <c:layout>
        <c:manualLayout>
          <c:xMode val="edge"/>
          <c:yMode val="edge"/>
          <c:x val="9.2346237970253736E-2"/>
          <c:y val="0.75404928550597838"/>
          <c:w val="0.79169641294838133"/>
          <c:h val="0.22743219597550307"/>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cs-CZ"/>
    </a:p>
  </c:txPr>
  <c:externalData r:id="rId1">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1378091627435458"/>
          <c:y val="3.9603960396039604E-2"/>
          <c:w val="0.86196864280853802"/>
          <c:h val="0.82620410072503314"/>
        </c:manualLayout>
      </c:layout>
      <c:barChart>
        <c:barDir val="col"/>
        <c:grouping val="clustered"/>
        <c:varyColors val="0"/>
        <c:ser>
          <c:idx val="0"/>
          <c:order val="0"/>
          <c:tx>
            <c:strRef>
              <c:f>'míra chudoby souhrnny'!$A$23</c:f>
              <c:strCache>
                <c:ptCount val="1"/>
                <c:pt idx="0">
                  <c:v>Czech Republic</c:v>
                </c:pt>
              </c:strCache>
            </c:strRef>
          </c:tx>
          <c:spPr>
            <a:solidFill>
              <a:schemeClr val="accent1"/>
            </a:solidFill>
            <a:ln>
              <a:noFill/>
            </a:ln>
            <a:effectLst/>
          </c:spPr>
          <c:invertIfNegative val="0"/>
          <c:dLbls>
            <c:spPr>
              <a:noFill/>
              <a:ln w="25400">
                <a:noFill/>
              </a:ln>
              <a:effectLst/>
            </c:spPr>
            <c:txPr>
              <a:bodyPr rot="0" spcFirstLastPara="1" vertOverflow="ellipsis" vert="horz" wrap="square" lIns="38100" tIns="19050" rIns="38100" bIns="19050" anchor="ctr" anchorCtr="1">
                <a:spAutoFit/>
              </a:bodyPr>
              <a:lstStyle/>
              <a:p>
                <a:pPr>
                  <a:defRPr sz="800" b="0" i="0" u="none" strike="noStrike" kern="1200" baseline="0">
                    <a:solidFill>
                      <a:srgbClr val="333333"/>
                    </a:solidFill>
                    <a:latin typeface="Calibri"/>
                    <a:ea typeface="Calibri"/>
                    <a:cs typeface="Calibri"/>
                  </a:defRPr>
                </a:pPr>
                <a:endParaRPr lang="cs-CZ"/>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'míra chudoby souhrnny'!$B$22:$P$22</c:f>
              <c:strCache>
                <c:ptCount val="15"/>
                <c:pt idx="0">
                  <c:v>2005</c:v>
                </c:pt>
                <c:pt idx="1">
                  <c:v>2006</c:v>
                </c:pt>
                <c:pt idx="2">
                  <c:v>2007</c:v>
                </c:pt>
                <c:pt idx="3">
                  <c:v>2008</c:v>
                </c:pt>
                <c:pt idx="4">
                  <c:v>2009</c:v>
                </c:pt>
                <c:pt idx="5">
                  <c:v>2010</c:v>
                </c:pt>
                <c:pt idx="6">
                  <c:v>2011</c:v>
                </c:pt>
                <c:pt idx="7">
                  <c:v>2012</c:v>
                </c:pt>
                <c:pt idx="8">
                  <c:v>2013</c:v>
                </c:pt>
                <c:pt idx="9">
                  <c:v>2014</c:v>
                </c:pt>
                <c:pt idx="10">
                  <c:v>2015</c:v>
                </c:pt>
                <c:pt idx="11">
                  <c:v>2016</c:v>
                </c:pt>
                <c:pt idx="12">
                  <c:v>2017</c:v>
                </c:pt>
                <c:pt idx="13">
                  <c:v>2018</c:v>
                </c:pt>
                <c:pt idx="14">
                  <c:v>2019</c:v>
                </c:pt>
              </c:strCache>
            </c:strRef>
          </c:cat>
          <c:val>
            <c:numRef>
              <c:f>'míra chudoby souhrnny'!$B$23:$P$23</c:f>
              <c:numCache>
                <c:formatCode>#,##0.0</c:formatCode>
                <c:ptCount val="15"/>
                <c:pt idx="0">
                  <c:v>19.600000000000001</c:v>
                </c:pt>
                <c:pt idx="1">
                  <c:v>18</c:v>
                </c:pt>
                <c:pt idx="2">
                  <c:v>15.8</c:v>
                </c:pt>
                <c:pt idx="3">
                  <c:v>15.3</c:v>
                </c:pt>
                <c:pt idx="4">
                  <c:v>14</c:v>
                </c:pt>
                <c:pt idx="5">
                  <c:v>14.4</c:v>
                </c:pt>
                <c:pt idx="6">
                  <c:v>15.3</c:v>
                </c:pt>
                <c:pt idx="7">
                  <c:v>15.4</c:v>
                </c:pt>
                <c:pt idx="8">
                  <c:v>14.6</c:v>
                </c:pt>
                <c:pt idx="9">
                  <c:v>14.8</c:v>
                </c:pt>
                <c:pt idx="10">
                  <c:v>14</c:v>
                </c:pt>
                <c:pt idx="11">
                  <c:v>13.3</c:v>
                </c:pt>
                <c:pt idx="12">
                  <c:v>12.2</c:v>
                </c:pt>
                <c:pt idx="13" formatCode="General">
                  <c:v>12.2</c:v>
                </c:pt>
                <c:pt idx="14" formatCode="General">
                  <c:v>12.5</c:v>
                </c:pt>
              </c:numCache>
            </c:numRef>
          </c:val>
          <c:extLst>
            <c:ext xmlns:c16="http://schemas.microsoft.com/office/drawing/2014/chart" uri="{C3380CC4-5D6E-409C-BE32-E72D297353CC}">
              <c16:uniqueId val="{00000000-3094-4667-968A-768E113136B9}"/>
            </c:ext>
          </c:extLst>
        </c:ser>
        <c:dLbls>
          <c:showLegendKey val="0"/>
          <c:showVal val="0"/>
          <c:showCatName val="0"/>
          <c:showSerName val="0"/>
          <c:showPercent val="0"/>
          <c:showBubbleSize val="0"/>
        </c:dLbls>
        <c:gapWidth val="150"/>
        <c:axId val="431072664"/>
        <c:axId val="1"/>
      </c:barChart>
      <c:catAx>
        <c:axId val="431072664"/>
        <c:scaling>
          <c:orientation val="minMax"/>
        </c:scaling>
        <c:delete val="0"/>
        <c:axPos val="b"/>
        <c:title>
          <c:tx>
            <c:rich>
              <a:bodyPr rot="0" spcFirstLastPara="1" vertOverflow="ellipsis" vert="horz" wrap="square" anchor="ctr" anchorCtr="1"/>
              <a:lstStyle/>
              <a:p>
                <a:pPr>
                  <a:defRPr sz="800" b="0" i="0" u="none" strike="noStrike" kern="1200" baseline="0">
                    <a:solidFill>
                      <a:srgbClr val="333333"/>
                    </a:solidFill>
                    <a:latin typeface="Calibri"/>
                    <a:ea typeface="Calibri"/>
                    <a:cs typeface="Calibri"/>
                  </a:defRPr>
                </a:pPr>
                <a:r>
                  <a:rPr lang="cs-CZ" sz="800"/>
                  <a:t>Rok</a:t>
                </a:r>
              </a:p>
            </c:rich>
          </c:tx>
          <c:overlay val="0"/>
          <c:spPr>
            <a:noFill/>
            <a:ln w="25400">
              <a:noFill/>
            </a:ln>
            <a:effectLst/>
          </c:spPr>
          <c:txPr>
            <a:bodyPr rot="0" spcFirstLastPara="1" vertOverflow="ellipsis" vert="horz" wrap="square" anchor="ctr" anchorCtr="1"/>
            <a:lstStyle/>
            <a:p>
              <a:pPr>
                <a:defRPr sz="800" b="0" i="0" u="none" strike="noStrike" kern="1200" baseline="0">
                  <a:solidFill>
                    <a:srgbClr val="333333"/>
                  </a:solidFill>
                  <a:latin typeface="Calibri"/>
                  <a:ea typeface="Calibri"/>
                  <a:cs typeface="Calibri"/>
                </a:defRPr>
              </a:pPr>
              <a:endParaRPr lang="cs-CZ"/>
            </a:p>
          </c:txPr>
        </c:title>
        <c:numFmt formatCode="General" sourceLinked="1"/>
        <c:majorTickMark val="none"/>
        <c:minorTickMark val="none"/>
        <c:tickLblPos val="nextTo"/>
        <c:spPr>
          <a:noFill/>
          <a:ln w="9525" cap="flat" cmpd="sng" algn="ctr">
            <a:solidFill>
              <a:schemeClr val="tx1">
                <a:lumMod val="15000"/>
                <a:lumOff val="85000"/>
              </a:schemeClr>
            </a:solidFill>
            <a:prstDash val="solid"/>
            <a:round/>
          </a:ln>
          <a:effectLst/>
        </c:spPr>
        <c:txPr>
          <a:bodyPr rot="0" spcFirstLastPara="1" vertOverflow="ellipsis" wrap="square" anchor="ctr" anchorCtr="1"/>
          <a:lstStyle/>
          <a:p>
            <a:pPr>
              <a:defRPr sz="800" b="0" i="0" u="none" strike="noStrike" kern="1200" baseline="0">
                <a:solidFill>
                  <a:srgbClr val="333333"/>
                </a:solidFill>
                <a:latin typeface="Calibri"/>
                <a:ea typeface="Calibri"/>
                <a:cs typeface="Calibri"/>
              </a:defRPr>
            </a:pPr>
            <a:endParaRPr lang="cs-CZ"/>
          </a:p>
        </c:txPr>
        <c:crossAx val="1"/>
        <c:crosses val="autoZero"/>
        <c:auto val="1"/>
        <c:lblAlgn val="ctr"/>
        <c:lblOffset val="100"/>
        <c:noMultiLvlLbl val="0"/>
      </c:catAx>
      <c:valAx>
        <c:axId val="1"/>
        <c:scaling>
          <c:orientation val="minMax"/>
        </c:scaling>
        <c:delete val="0"/>
        <c:axPos val="l"/>
        <c:title>
          <c:tx>
            <c:rich>
              <a:bodyPr rot="-5400000" spcFirstLastPara="1" vertOverflow="ellipsis" vert="horz" wrap="square" anchor="ctr" anchorCtr="1"/>
              <a:lstStyle/>
              <a:p>
                <a:pPr>
                  <a:defRPr sz="800" b="0" i="0" u="none" strike="noStrike" kern="1200" baseline="0">
                    <a:solidFill>
                      <a:srgbClr val="333333"/>
                    </a:solidFill>
                    <a:latin typeface="Calibri"/>
                    <a:ea typeface="Calibri"/>
                    <a:cs typeface="Calibri"/>
                  </a:defRPr>
                </a:pPr>
                <a:r>
                  <a:rPr lang="cs-CZ" sz="800"/>
                  <a:t>Podíl osob ohrožených příjmovou chudobou nebo sociálním vyloučením (v%)</a:t>
                </a:r>
              </a:p>
            </c:rich>
          </c:tx>
          <c:layout>
            <c:manualLayout>
              <c:xMode val="edge"/>
              <c:yMode val="edge"/>
              <c:x val="6.6137566137566134E-3"/>
              <c:y val="9.755749590707101E-2"/>
            </c:manualLayout>
          </c:layout>
          <c:overlay val="0"/>
          <c:spPr>
            <a:noFill/>
            <a:ln w="25400">
              <a:noFill/>
            </a:ln>
            <a:effectLst/>
          </c:spPr>
          <c:txPr>
            <a:bodyPr rot="-5400000" spcFirstLastPara="1" vertOverflow="ellipsis" vert="horz" wrap="square" anchor="ctr" anchorCtr="1"/>
            <a:lstStyle/>
            <a:p>
              <a:pPr>
                <a:defRPr sz="800" b="0" i="0" u="none" strike="noStrike" kern="1200" baseline="0">
                  <a:solidFill>
                    <a:srgbClr val="333333"/>
                  </a:solidFill>
                  <a:latin typeface="Calibri"/>
                  <a:ea typeface="Calibri"/>
                  <a:cs typeface="Calibri"/>
                </a:defRPr>
              </a:pPr>
              <a:endParaRPr lang="cs-CZ"/>
            </a:p>
          </c:txPr>
        </c:title>
        <c:numFmt formatCode="#,##0.0" sourceLinked="1"/>
        <c:majorTickMark val="none"/>
        <c:minorTickMark val="none"/>
        <c:tickLblPos val="nextTo"/>
        <c:spPr>
          <a:noFill/>
          <a:ln w="6350" cap="flat" cmpd="sng" algn="ctr">
            <a:solidFill>
              <a:schemeClr val="bg2">
                <a:lumMod val="90000"/>
              </a:schemeClr>
            </a:solidFill>
            <a:prstDash val="solid"/>
            <a:round/>
          </a:ln>
          <a:effectLst/>
        </c:spPr>
        <c:txPr>
          <a:bodyPr rot="0" spcFirstLastPara="1" vertOverflow="ellipsis" wrap="square" anchor="ctr" anchorCtr="1"/>
          <a:lstStyle/>
          <a:p>
            <a:pPr>
              <a:defRPr sz="800" b="0" i="0" u="none" strike="noStrike" kern="1200" baseline="0">
                <a:solidFill>
                  <a:srgbClr val="333333"/>
                </a:solidFill>
                <a:latin typeface="Calibri"/>
                <a:ea typeface="Calibri"/>
                <a:cs typeface="Calibri"/>
              </a:defRPr>
            </a:pPr>
            <a:endParaRPr lang="cs-CZ"/>
          </a:p>
        </c:txPr>
        <c:crossAx val="431072664"/>
        <c:crosses val="autoZero"/>
        <c:crossBetween val="between"/>
      </c:valAx>
      <c:spPr>
        <a:noFill/>
        <a:ln w="25400">
          <a:noFill/>
        </a:ln>
        <a:effectLst/>
      </c:spPr>
    </c:plotArea>
    <c:plotVisOnly val="1"/>
    <c:dispBlanksAs val="gap"/>
    <c:showDLblsOverMax val="0"/>
  </c:chart>
  <c:spPr>
    <a:solidFill>
      <a:schemeClr val="bg1"/>
    </a:solidFill>
    <a:ln w="9525" cap="flat" cmpd="sng" algn="ctr">
      <a:solidFill>
        <a:schemeClr val="tx1">
          <a:lumMod val="15000"/>
          <a:lumOff val="85000"/>
        </a:schemeClr>
      </a:solidFill>
      <a:prstDash val="solid"/>
      <a:round/>
    </a:ln>
    <a:effectLst/>
  </c:spPr>
  <c:txPr>
    <a:bodyPr/>
    <a:lstStyle/>
    <a:p>
      <a:pPr>
        <a:defRPr sz="1000" b="0" i="0" u="none" strike="noStrike" baseline="0">
          <a:solidFill>
            <a:srgbClr val="000000"/>
          </a:solidFill>
          <a:latin typeface="Calibri"/>
          <a:ea typeface="Calibri"/>
          <a:cs typeface="Calibri"/>
        </a:defRPr>
      </a:pPr>
      <a:endParaRPr lang="cs-CZ"/>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cs-CZ"/>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'grafy prehled'!$A$125:$A$139</c:f>
              <c:strCache>
                <c:ptCount val="15"/>
                <c:pt idx="0">
                  <c:v>Moravskoslezský kraj</c:v>
                </c:pt>
                <c:pt idx="1">
                  <c:v>Zlínský kraj (V)</c:v>
                </c:pt>
                <c:pt idx="2">
                  <c:v>Olomoucký kraj (V)</c:v>
                </c:pt>
                <c:pt idx="3">
                  <c:v>Jihomoravský kraj</c:v>
                </c:pt>
                <c:pt idx="4">
                  <c:v>Liberecký kraj</c:v>
                </c:pt>
                <c:pt idx="5">
                  <c:v>Karlovarský kraj</c:v>
                </c:pt>
                <c:pt idx="6">
                  <c:v>Ústecký kraj</c:v>
                </c:pt>
                <c:pt idx="7">
                  <c:v>Středočeský kraj (M)</c:v>
                </c:pt>
                <c:pt idx="8">
                  <c:v>Pardubický kraj (V)</c:v>
                </c:pt>
                <c:pt idx="9">
                  <c:v>Královéhradecký kraj</c:v>
                </c:pt>
                <c:pt idx="10">
                  <c:v>Plzeňský kraj (V)</c:v>
                </c:pt>
                <c:pt idx="11">
                  <c:v>Jihočeský kraj (V)</c:v>
                </c:pt>
                <c:pt idx="12">
                  <c:v>Kraj Vysočina (V)</c:v>
                </c:pt>
                <c:pt idx="14">
                  <c:v>ČR</c:v>
                </c:pt>
              </c:strCache>
            </c:strRef>
          </c:cat>
          <c:val>
            <c:numRef>
              <c:f>'grafy prehled'!$B$125:$B$139</c:f>
              <c:numCache>
                <c:formatCode>0.0</c:formatCode>
                <c:ptCount val="15"/>
                <c:pt idx="0">
                  <c:v>826.78082191780823</c:v>
                </c:pt>
                <c:pt idx="1">
                  <c:v>702.91235059760959</c:v>
                </c:pt>
                <c:pt idx="2">
                  <c:v>633.14325842696633</c:v>
                </c:pt>
                <c:pt idx="3">
                  <c:v>604.5161839863714</c:v>
                </c:pt>
                <c:pt idx="4">
                  <c:v>601.95081967213116</c:v>
                </c:pt>
                <c:pt idx="5">
                  <c:v>590.7962962962963</c:v>
                </c:pt>
                <c:pt idx="6">
                  <c:v>563.8943894389439</c:v>
                </c:pt>
                <c:pt idx="7">
                  <c:v>537.54368932038835</c:v>
                </c:pt>
                <c:pt idx="8">
                  <c:v>477.26265060240962</c:v>
                </c:pt>
                <c:pt idx="9">
                  <c:v>450.83415841584156</c:v>
                </c:pt>
                <c:pt idx="10">
                  <c:v>419.2757111597374</c:v>
                </c:pt>
                <c:pt idx="11">
                  <c:v>393.60664335664336</c:v>
                </c:pt>
                <c:pt idx="12">
                  <c:v>332.13372956909359</c:v>
                </c:pt>
                <c:pt idx="14">
                  <c:v>513.98308744152575</c:v>
                </c:pt>
              </c:numCache>
            </c:numRef>
          </c:val>
          <c:extLst>
            <c:ext xmlns:c16="http://schemas.microsoft.com/office/drawing/2014/chart" uri="{C3380CC4-5D6E-409C-BE32-E72D297353CC}">
              <c16:uniqueId val="{00000000-D25D-4299-BDBF-B07F2A3E8E6C}"/>
            </c:ext>
          </c:extLst>
        </c:ser>
        <c:dLbls>
          <c:showLegendKey val="0"/>
          <c:showVal val="0"/>
          <c:showCatName val="0"/>
          <c:showSerName val="0"/>
          <c:showPercent val="0"/>
          <c:showBubbleSize val="0"/>
        </c:dLbls>
        <c:gapWidth val="219"/>
        <c:overlap val="-27"/>
        <c:axId val="93971584"/>
        <c:axId val="93973120"/>
      </c:barChart>
      <c:catAx>
        <c:axId val="9397158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93973120"/>
        <c:crosses val="autoZero"/>
        <c:auto val="1"/>
        <c:lblAlgn val="ctr"/>
        <c:lblOffset val="100"/>
        <c:noMultiLvlLbl val="0"/>
      </c:catAx>
      <c:valAx>
        <c:axId val="93973120"/>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93971584"/>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cs-CZ"/>
    </a:p>
  </c:txPr>
  <c:externalData r:id="rId1">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1378091627435458"/>
          <c:y val="4.1864890580399619E-2"/>
          <c:w val="0.72033443736199643"/>
          <c:h val="0.80549278152790371"/>
        </c:manualLayout>
      </c:layout>
      <c:lineChart>
        <c:grouping val="standard"/>
        <c:varyColors val="0"/>
        <c:ser>
          <c:idx val="0"/>
          <c:order val="0"/>
          <c:tx>
            <c:strRef>
              <c:f>'míra chudoby souhrnny'!$R$10</c:f>
              <c:strCache>
                <c:ptCount val="1"/>
                <c:pt idx="0">
                  <c:v>Praha</c:v>
                </c:pt>
              </c:strCache>
            </c:strRef>
          </c:tx>
          <c:spPr>
            <a:ln w="19050" cap="rnd">
              <a:solidFill>
                <a:schemeClr val="accent1"/>
              </a:solidFill>
              <a:round/>
            </a:ln>
            <a:effectLst/>
          </c:spPr>
          <c:marker>
            <c:symbol val="none"/>
          </c:marker>
          <c:cat>
            <c:strRef>
              <c:f>'míra chudoby souhrnny'!$S$9:$AG$9</c:f>
              <c:strCache>
                <c:ptCount val="15"/>
                <c:pt idx="0">
                  <c:v>2005</c:v>
                </c:pt>
                <c:pt idx="1">
                  <c:v>2006</c:v>
                </c:pt>
                <c:pt idx="2">
                  <c:v>2007</c:v>
                </c:pt>
                <c:pt idx="3">
                  <c:v>2008</c:v>
                </c:pt>
                <c:pt idx="4">
                  <c:v>2009</c:v>
                </c:pt>
                <c:pt idx="5">
                  <c:v>2010</c:v>
                </c:pt>
                <c:pt idx="6">
                  <c:v>2011</c:v>
                </c:pt>
                <c:pt idx="7">
                  <c:v>2012</c:v>
                </c:pt>
                <c:pt idx="8">
                  <c:v>2013</c:v>
                </c:pt>
                <c:pt idx="9">
                  <c:v>2014</c:v>
                </c:pt>
                <c:pt idx="10">
                  <c:v>2015</c:v>
                </c:pt>
                <c:pt idx="11">
                  <c:v>2016</c:v>
                </c:pt>
                <c:pt idx="12">
                  <c:v>2017</c:v>
                </c:pt>
                <c:pt idx="13">
                  <c:v>2018</c:v>
                </c:pt>
                <c:pt idx="14">
                  <c:v>2019</c:v>
                </c:pt>
              </c:strCache>
            </c:strRef>
          </c:cat>
          <c:val>
            <c:numRef>
              <c:f>'míra chudoby souhrnny'!$S$10:$AG$10</c:f>
              <c:numCache>
                <c:formatCode>#,##0.0</c:formatCode>
                <c:ptCount val="15"/>
                <c:pt idx="0">
                  <c:v>12.2</c:v>
                </c:pt>
                <c:pt idx="1">
                  <c:v>11.1</c:v>
                </c:pt>
                <c:pt idx="2">
                  <c:v>8.8000000000000007</c:v>
                </c:pt>
                <c:pt idx="3">
                  <c:v>9.9</c:v>
                </c:pt>
                <c:pt idx="4">
                  <c:v>10</c:v>
                </c:pt>
                <c:pt idx="5">
                  <c:v>7.1</c:v>
                </c:pt>
                <c:pt idx="6">
                  <c:v>9.1</c:v>
                </c:pt>
                <c:pt idx="7">
                  <c:v>12.5</c:v>
                </c:pt>
                <c:pt idx="8">
                  <c:v>10.199999999999999</c:v>
                </c:pt>
                <c:pt idx="9">
                  <c:v>10.199999999999999</c:v>
                </c:pt>
                <c:pt idx="10">
                  <c:v>10.6</c:v>
                </c:pt>
                <c:pt idx="11">
                  <c:v>10.1</c:v>
                </c:pt>
                <c:pt idx="12" formatCode="General">
                  <c:v>9.4</c:v>
                </c:pt>
                <c:pt idx="13" formatCode="General">
                  <c:v>8.5</c:v>
                </c:pt>
                <c:pt idx="14" formatCode="General">
                  <c:v>7.9</c:v>
                </c:pt>
              </c:numCache>
            </c:numRef>
          </c:val>
          <c:smooth val="0"/>
          <c:extLst>
            <c:ext xmlns:c16="http://schemas.microsoft.com/office/drawing/2014/chart" uri="{C3380CC4-5D6E-409C-BE32-E72D297353CC}">
              <c16:uniqueId val="{00000000-3A20-4BAD-B433-23C99C7DEA01}"/>
            </c:ext>
          </c:extLst>
        </c:ser>
        <c:ser>
          <c:idx val="1"/>
          <c:order val="1"/>
          <c:tx>
            <c:strRef>
              <c:f>'míra chudoby souhrnny'!$R$11</c:f>
              <c:strCache>
                <c:ptCount val="1"/>
                <c:pt idx="0">
                  <c:v>Strední Cechy</c:v>
                </c:pt>
              </c:strCache>
            </c:strRef>
          </c:tx>
          <c:spPr>
            <a:ln w="19050" cap="rnd">
              <a:solidFill>
                <a:schemeClr val="accent2"/>
              </a:solidFill>
              <a:round/>
            </a:ln>
            <a:effectLst/>
          </c:spPr>
          <c:marker>
            <c:symbol val="none"/>
          </c:marker>
          <c:cat>
            <c:strRef>
              <c:f>'míra chudoby souhrnny'!$S$9:$AG$9</c:f>
              <c:strCache>
                <c:ptCount val="15"/>
                <c:pt idx="0">
                  <c:v>2005</c:v>
                </c:pt>
                <c:pt idx="1">
                  <c:v>2006</c:v>
                </c:pt>
                <c:pt idx="2">
                  <c:v>2007</c:v>
                </c:pt>
                <c:pt idx="3">
                  <c:v>2008</c:v>
                </c:pt>
                <c:pt idx="4">
                  <c:v>2009</c:v>
                </c:pt>
                <c:pt idx="5">
                  <c:v>2010</c:v>
                </c:pt>
                <c:pt idx="6">
                  <c:v>2011</c:v>
                </c:pt>
                <c:pt idx="7">
                  <c:v>2012</c:v>
                </c:pt>
                <c:pt idx="8">
                  <c:v>2013</c:v>
                </c:pt>
                <c:pt idx="9">
                  <c:v>2014</c:v>
                </c:pt>
                <c:pt idx="10">
                  <c:v>2015</c:v>
                </c:pt>
                <c:pt idx="11">
                  <c:v>2016</c:v>
                </c:pt>
                <c:pt idx="12">
                  <c:v>2017</c:v>
                </c:pt>
                <c:pt idx="13">
                  <c:v>2018</c:v>
                </c:pt>
                <c:pt idx="14">
                  <c:v>2019</c:v>
                </c:pt>
              </c:strCache>
            </c:strRef>
          </c:cat>
          <c:val>
            <c:numRef>
              <c:f>'míra chudoby souhrnny'!$S$11:$AG$11</c:f>
              <c:numCache>
                <c:formatCode>#,##0.0</c:formatCode>
                <c:ptCount val="15"/>
                <c:pt idx="0">
                  <c:v>14.6</c:v>
                </c:pt>
                <c:pt idx="1">
                  <c:v>17.899999999999999</c:v>
                </c:pt>
                <c:pt idx="2">
                  <c:v>14.2</c:v>
                </c:pt>
                <c:pt idx="3">
                  <c:v>12.8</c:v>
                </c:pt>
                <c:pt idx="4">
                  <c:v>11.1</c:v>
                </c:pt>
                <c:pt idx="5">
                  <c:v>12.4</c:v>
                </c:pt>
                <c:pt idx="6">
                  <c:v>9.6</c:v>
                </c:pt>
                <c:pt idx="7">
                  <c:v>12.3</c:v>
                </c:pt>
                <c:pt idx="8">
                  <c:v>9.9</c:v>
                </c:pt>
                <c:pt idx="9">
                  <c:v>9.8000000000000007</c:v>
                </c:pt>
                <c:pt idx="10">
                  <c:v>10</c:v>
                </c:pt>
                <c:pt idx="11">
                  <c:v>10.3</c:v>
                </c:pt>
                <c:pt idx="12" formatCode="General">
                  <c:v>10.4</c:v>
                </c:pt>
                <c:pt idx="13" formatCode="General">
                  <c:v>9.9</c:v>
                </c:pt>
                <c:pt idx="14" formatCode="General">
                  <c:v>9.6</c:v>
                </c:pt>
              </c:numCache>
            </c:numRef>
          </c:val>
          <c:smooth val="0"/>
          <c:extLst>
            <c:ext xmlns:c16="http://schemas.microsoft.com/office/drawing/2014/chart" uri="{C3380CC4-5D6E-409C-BE32-E72D297353CC}">
              <c16:uniqueId val="{00000001-3A20-4BAD-B433-23C99C7DEA01}"/>
            </c:ext>
          </c:extLst>
        </c:ser>
        <c:ser>
          <c:idx val="2"/>
          <c:order val="2"/>
          <c:tx>
            <c:strRef>
              <c:f>'míra chudoby souhrnny'!$R$12</c:f>
              <c:strCache>
                <c:ptCount val="1"/>
                <c:pt idx="0">
                  <c:v>Jihozápad</c:v>
                </c:pt>
              </c:strCache>
            </c:strRef>
          </c:tx>
          <c:spPr>
            <a:ln w="19050" cap="rnd">
              <a:solidFill>
                <a:schemeClr val="accent3"/>
              </a:solidFill>
              <a:round/>
            </a:ln>
            <a:effectLst/>
          </c:spPr>
          <c:marker>
            <c:symbol val="none"/>
          </c:marker>
          <c:cat>
            <c:strRef>
              <c:f>'míra chudoby souhrnny'!$S$9:$AG$9</c:f>
              <c:strCache>
                <c:ptCount val="15"/>
                <c:pt idx="0">
                  <c:v>2005</c:v>
                </c:pt>
                <c:pt idx="1">
                  <c:v>2006</c:v>
                </c:pt>
                <c:pt idx="2">
                  <c:v>2007</c:v>
                </c:pt>
                <c:pt idx="3">
                  <c:v>2008</c:v>
                </c:pt>
                <c:pt idx="4">
                  <c:v>2009</c:v>
                </c:pt>
                <c:pt idx="5">
                  <c:v>2010</c:v>
                </c:pt>
                <c:pt idx="6">
                  <c:v>2011</c:v>
                </c:pt>
                <c:pt idx="7">
                  <c:v>2012</c:v>
                </c:pt>
                <c:pt idx="8">
                  <c:v>2013</c:v>
                </c:pt>
                <c:pt idx="9">
                  <c:v>2014</c:v>
                </c:pt>
                <c:pt idx="10">
                  <c:v>2015</c:v>
                </c:pt>
                <c:pt idx="11">
                  <c:v>2016</c:v>
                </c:pt>
                <c:pt idx="12">
                  <c:v>2017</c:v>
                </c:pt>
                <c:pt idx="13">
                  <c:v>2018</c:v>
                </c:pt>
                <c:pt idx="14">
                  <c:v>2019</c:v>
                </c:pt>
              </c:strCache>
            </c:strRef>
          </c:cat>
          <c:val>
            <c:numRef>
              <c:f>'míra chudoby souhrnny'!$S$12:$AG$12</c:f>
              <c:numCache>
                <c:formatCode>#,##0.0</c:formatCode>
                <c:ptCount val="15"/>
                <c:pt idx="0">
                  <c:v>12.7</c:v>
                </c:pt>
                <c:pt idx="1">
                  <c:v>11.6</c:v>
                </c:pt>
                <c:pt idx="2">
                  <c:v>11.8</c:v>
                </c:pt>
                <c:pt idx="3">
                  <c:v>11.5</c:v>
                </c:pt>
                <c:pt idx="4">
                  <c:v>12.6</c:v>
                </c:pt>
                <c:pt idx="5">
                  <c:v>13.6</c:v>
                </c:pt>
                <c:pt idx="6">
                  <c:v>14.6</c:v>
                </c:pt>
                <c:pt idx="7">
                  <c:v>12.4</c:v>
                </c:pt>
                <c:pt idx="8">
                  <c:v>11.5</c:v>
                </c:pt>
                <c:pt idx="9">
                  <c:v>12.5</c:v>
                </c:pt>
                <c:pt idx="10">
                  <c:v>11.2</c:v>
                </c:pt>
                <c:pt idx="11">
                  <c:v>10</c:v>
                </c:pt>
                <c:pt idx="12" formatCode="General">
                  <c:v>9.6999999999999993</c:v>
                </c:pt>
                <c:pt idx="13" formatCode="General">
                  <c:v>9.4</c:v>
                </c:pt>
                <c:pt idx="14" formatCode="General">
                  <c:v>9.6</c:v>
                </c:pt>
              </c:numCache>
            </c:numRef>
          </c:val>
          <c:smooth val="0"/>
          <c:extLst>
            <c:ext xmlns:c16="http://schemas.microsoft.com/office/drawing/2014/chart" uri="{C3380CC4-5D6E-409C-BE32-E72D297353CC}">
              <c16:uniqueId val="{00000002-3A20-4BAD-B433-23C99C7DEA01}"/>
            </c:ext>
          </c:extLst>
        </c:ser>
        <c:ser>
          <c:idx val="3"/>
          <c:order val="3"/>
          <c:tx>
            <c:strRef>
              <c:f>'míra chudoby souhrnny'!$R$13</c:f>
              <c:strCache>
                <c:ptCount val="1"/>
                <c:pt idx="0">
                  <c:v>Severozápad</c:v>
                </c:pt>
              </c:strCache>
            </c:strRef>
          </c:tx>
          <c:spPr>
            <a:ln w="19050" cap="rnd">
              <a:solidFill>
                <a:schemeClr val="accent4"/>
              </a:solidFill>
              <a:round/>
            </a:ln>
            <a:effectLst/>
          </c:spPr>
          <c:marker>
            <c:symbol val="none"/>
          </c:marker>
          <c:cat>
            <c:strRef>
              <c:f>'míra chudoby souhrnny'!$S$9:$AG$9</c:f>
              <c:strCache>
                <c:ptCount val="15"/>
                <c:pt idx="0">
                  <c:v>2005</c:v>
                </c:pt>
                <c:pt idx="1">
                  <c:v>2006</c:v>
                </c:pt>
                <c:pt idx="2">
                  <c:v>2007</c:v>
                </c:pt>
                <c:pt idx="3">
                  <c:v>2008</c:v>
                </c:pt>
                <c:pt idx="4">
                  <c:v>2009</c:v>
                </c:pt>
                <c:pt idx="5">
                  <c:v>2010</c:v>
                </c:pt>
                <c:pt idx="6">
                  <c:v>2011</c:v>
                </c:pt>
                <c:pt idx="7">
                  <c:v>2012</c:v>
                </c:pt>
                <c:pt idx="8">
                  <c:v>2013</c:v>
                </c:pt>
                <c:pt idx="9">
                  <c:v>2014</c:v>
                </c:pt>
                <c:pt idx="10">
                  <c:v>2015</c:v>
                </c:pt>
                <c:pt idx="11">
                  <c:v>2016</c:v>
                </c:pt>
                <c:pt idx="12">
                  <c:v>2017</c:v>
                </c:pt>
                <c:pt idx="13">
                  <c:v>2018</c:v>
                </c:pt>
                <c:pt idx="14">
                  <c:v>2019</c:v>
                </c:pt>
              </c:strCache>
            </c:strRef>
          </c:cat>
          <c:val>
            <c:numRef>
              <c:f>'míra chudoby souhrnny'!$S$13:$AG$13</c:f>
              <c:numCache>
                <c:formatCode>#,##0.0</c:formatCode>
                <c:ptCount val="15"/>
                <c:pt idx="0">
                  <c:v>28.4</c:v>
                </c:pt>
                <c:pt idx="1">
                  <c:v>23.7</c:v>
                </c:pt>
                <c:pt idx="2">
                  <c:v>23.4</c:v>
                </c:pt>
                <c:pt idx="3">
                  <c:v>22.9</c:v>
                </c:pt>
                <c:pt idx="4">
                  <c:v>19.600000000000001</c:v>
                </c:pt>
                <c:pt idx="5">
                  <c:v>21.3</c:v>
                </c:pt>
                <c:pt idx="6">
                  <c:v>24.6</c:v>
                </c:pt>
                <c:pt idx="7">
                  <c:v>23.7</c:v>
                </c:pt>
                <c:pt idx="8">
                  <c:v>25.8</c:v>
                </c:pt>
                <c:pt idx="9">
                  <c:v>21.9</c:v>
                </c:pt>
                <c:pt idx="10">
                  <c:v>21.7</c:v>
                </c:pt>
                <c:pt idx="11">
                  <c:v>19.5</c:v>
                </c:pt>
                <c:pt idx="12" formatCode="General">
                  <c:v>16.7</c:v>
                </c:pt>
                <c:pt idx="13" formatCode="General">
                  <c:v>18.8</c:v>
                </c:pt>
                <c:pt idx="14" formatCode="General">
                  <c:v>21.5</c:v>
                </c:pt>
              </c:numCache>
            </c:numRef>
          </c:val>
          <c:smooth val="0"/>
          <c:extLst>
            <c:ext xmlns:c16="http://schemas.microsoft.com/office/drawing/2014/chart" uri="{C3380CC4-5D6E-409C-BE32-E72D297353CC}">
              <c16:uniqueId val="{00000003-3A20-4BAD-B433-23C99C7DEA01}"/>
            </c:ext>
          </c:extLst>
        </c:ser>
        <c:ser>
          <c:idx val="4"/>
          <c:order val="4"/>
          <c:tx>
            <c:strRef>
              <c:f>'míra chudoby souhrnny'!$R$14</c:f>
              <c:strCache>
                <c:ptCount val="1"/>
                <c:pt idx="0">
                  <c:v>Severovýchod</c:v>
                </c:pt>
              </c:strCache>
            </c:strRef>
          </c:tx>
          <c:spPr>
            <a:ln w="19050" cap="rnd">
              <a:solidFill>
                <a:schemeClr val="accent5"/>
              </a:solidFill>
              <a:round/>
            </a:ln>
            <a:effectLst/>
          </c:spPr>
          <c:marker>
            <c:symbol val="none"/>
          </c:marker>
          <c:cat>
            <c:strRef>
              <c:f>'míra chudoby souhrnny'!$S$9:$AG$9</c:f>
              <c:strCache>
                <c:ptCount val="15"/>
                <c:pt idx="0">
                  <c:v>2005</c:v>
                </c:pt>
                <c:pt idx="1">
                  <c:v>2006</c:v>
                </c:pt>
                <c:pt idx="2">
                  <c:v>2007</c:v>
                </c:pt>
                <c:pt idx="3">
                  <c:v>2008</c:v>
                </c:pt>
                <c:pt idx="4">
                  <c:v>2009</c:v>
                </c:pt>
                <c:pt idx="5">
                  <c:v>2010</c:v>
                </c:pt>
                <c:pt idx="6">
                  <c:v>2011</c:v>
                </c:pt>
                <c:pt idx="7">
                  <c:v>2012</c:v>
                </c:pt>
                <c:pt idx="8">
                  <c:v>2013</c:v>
                </c:pt>
                <c:pt idx="9">
                  <c:v>2014</c:v>
                </c:pt>
                <c:pt idx="10">
                  <c:v>2015</c:v>
                </c:pt>
                <c:pt idx="11">
                  <c:v>2016</c:v>
                </c:pt>
                <c:pt idx="12">
                  <c:v>2017</c:v>
                </c:pt>
                <c:pt idx="13">
                  <c:v>2018</c:v>
                </c:pt>
                <c:pt idx="14">
                  <c:v>2019</c:v>
                </c:pt>
              </c:strCache>
            </c:strRef>
          </c:cat>
          <c:val>
            <c:numRef>
              <c:f>'míra chudoby souhrnny'!$S$14:$AG$14</c:f>
              <c:numCache>
                <c:formatCode>#,##0.0</c:formatCode>
                <c:ptCount val="15"/>
                <c:pt idx="0">
                  <c:v>20</c:v>
                </c:pt>
                <c:pt idx="1">
                  <c:v>17</c:v>
                </c:pt>
                <c:pt idx="2">
                  <c:v>15.8</c:v>
                </c:pt>
                <c:pt idx="3">
                  <c:v>13.5</c:v>
                </c:pt>
                <c:pt idx="4">
                  <c:v>12.2</c:v>
                </c:pt>
                <c:pt idx="5">
                  <c:v>11.4</c:v>
                </c:pt>
                <c:pt idx="6">
                  <c:v>13.8</c:v>
                </c:pt>
                <c:pt idx="7">
                  <c:v>13.2</c:v>
                </c:pt>
                <c:pt idx="8">
                  <c:v>13.8</c:v>
                </c:pt>
                <c:pt idx="9">
                  <c:v>14</c:v>
                </c:pt>
                <c:pt idx="10">
                  <c:v>10.199999999999999</c:v>
                </c:pt>
                <c:pt idx="11">
                  <c:v>11.7</c:v>
                </c:pt>
                <c:pt idx="12" formatCode="General">
                  <c:v>9.9</c:v>
                </c:pt>
                <c:pt idx="13" formatCode="General">
                  <c:v>11.7</c:v>
                </c:pt>
                <c:pt idx="14" formatCode="General">
                  <c:v>12.9</c:v>
                </c:pt>
              </c:numCache>
            </c:numRef>
          </c:val>
          <c:smooth val="0"/>
          <c:extLst>
            <c:ext xmlns:c16="http://schemas.microsoft.com/office/drawing/2014/chart" uri="{C3380CC4-5D6E-409C-BE32-E72D297353CC}">
              <c16:uniqueId val="{00000004-3A20-4BAD-B433-23C99C7DEA01}"/>
            </c:ext>
          </c:extLst>
        </c:ser>
        <c:ser>
          <c:idx val="5"/>
          <c:order val="5"/>
          <c:tx>
            <c:strRef>
              <c:f>'míra chudoby souhrnny'!$R$15</c:f>
              <c:strCache>
                <c:ptCount val="1"/>
                <c:pt idx="0">
                  <c:v>Jihovýchod</c:v>
                </c:pt>
              </c:strCache>
            </c:strRef>
          </c:tx>
          <c:spPr>
            <a:ln w="19050" cap="rnd">
              <a:solidFill>
                <a:schemeClr val="accent6"/>
              </a:solidFill>
              <a:round/>
            </a:ln>
            <a:effectLst/>
          </c:spPr>
          <c:marker>
            <c:symbol val="none"/>
          </c:marker>
          <c:cat>
            <c:strRef>
              <c:f>'míra chudoby souhrnny'!$S$9:$AG$9</c:f>
              <c:strCache>
                <c:ptCount val="15"/>
                <c:pt idx="0">
                  <c:v>2005</c:v>
                </c:pt>
                <c:pt idx="1">
                  <c:v>2006</c:v>
                </c:pt>
                <c:pt idx="2">
                  <c:v>2007</c:v>
                </c:pt>
                <c:pt idx="3">
                  <c:v>2008</c:v>
                </c:pt>
                <c:pt idx="4">
                  <c:v>2009</c:v>
                </c:pt>
                <c:pt idx="5">
                  <c:v>2010</c:v>
                </c:pt>
                <c:pt idx="6">
                  <c:v>2011</c:v>
                </c:pt>
                <c:pt idx="7">
                  <c:v>2012</c:v>
                </c:pt>
                <c:pt idx="8">
                  <c:v>2013</c:v>
                </c:pt>
                <c:pt idx="9">
                  <c:v>2014</c:v>
                </c:pt>
                <c:pt idx="10">
                  <c:v>2015</c:v>
                </c:pt>
                <c:pt idx="11">
                  <c:v>2016</c:v>
                </c:pt>
                <c:pt idx="12">
                  <c:v>2017</c:v>
                </c:pt>
                <c:pt idx="13">
                  <c:v>2018</c:v>
                </c:pt>
                <c:pt idx="14">
                  <c:v>2019</c:v>
                </c:pt>
              </c:strCache>
            </c:strRef>
          </c:cat>
          <c:val>
            <c:numRef>
              <c:f>'míra chudoby souhrnny'!$S$15:$AG$15</c:f>
              <c:numCache>
                <c:formatCode>#,##0.0</c:formatCode>
                <c:ptCount val="15"/>
                <c:pt idx="0">
                  <c:v>16</c:v>
                </c:pt>
                <c:pt idx="1">
                  <c:v>15.7</c:v>
                </c:pt>
                <c:pt idx="2">
                  <c:v>13</c:v>
                </c:pt>
                <c:pt idx="3">
                  <c:v>13.8</c:v>
                </c:pt>
                <c:pt idx="4">
                  <c:v>12.9</c:v>
                </c:pt>
                <c:pt idx="5">
                  <c:v>15</c:v>
                </c:pt>
                <c:pt idx="6">
                  <c:v>14.2</c:v>
                </c:pt>
                <c:pt idx="7">
                  <c:v>13.7</c:v>
                </c:pt>
                <c:pt idx="8">
                  <c:v>11.1</c:v>
                </c:pt>
                <c:pt idx="9">
                  <c:v>12.8</c:v>
                </c:pt>
                <c:pt idx="10">
                  <c:v>12.6</c:v>
                </c:pt>
                <c:pt idx="11">
                  <c:v>11.5</c:v>
                </c:pt>
                <c:pt idx="12" formatCode="General">
                  <c:v>11.7</c:v>
                </c:pt>
                <c:pt idx="13" formatCode="General">
                  <c:v>11.6</c:v>
                </c:pt>
                <c:pt idx="14" formatCode="General">
                  <c:v>12.5</c:v>
                </c:pt>
              </c:numCache>
            </c:numRef>
          </c:val>
          <c:smooth val="0"/>
          <c:extLst>
            <c:ext xmlns:c16="http://schemas.microsoft.com/office/drawing/2014/chart" uri="{C3380CC4-5D6E-409C-BE32-E72D297353CC}">
              <c16:uniqueId val="{00000005-3A20-4BAD-B433-23C99C7DEA01}"/>
            </c:ext>
          </c:extLst>
        </c:ser>
        <c:ser>
          <c:idx val="6"/>
          <c:order val="6"/>
          <c:tx>
            <c:strRef>
              <c:f>'míra chudoby souhrnny'!$R$16</c:f>
              <c:strCache>
                <c:ptCount val="1"/>
                <c:pt idx="0">
                  <c:v>Strední Morava</c:v>
                </c:pt>
              </c:strCache>
            </c:strRef>
          </c:tx>
          <c:spPr>
            <a:ln w="19050" cap="rnd">
              <a:solidFill>
                <a:schemeClr val="accent1">
                  <a:lumMod val="60000"/>
                </a:schemeClr>
              </a:solidFill>
              <a:round/>
            </a:ln>
            <a:effectLst/>
          </c:spPr>
          <c:marker>
            <c:symbol val="none"/>
          </c:marker>
          <c:cat>
            <c:strRef>
              <c:f>'míra chudoby souhrnny'!$S$9:$AG$9</c:f>
              <c:strCache>
                <c:ptCount val="15"/>
                <c:pt idx="0">
                  <c:v>2005</c:v>
                </c:pt>
                <c:pt idx="1">
                  <c:v>2006</c:v>
                </c:pt>
                <c:pt idx="2">
                  <c:v>2007</c:v>
                </c:pt>
                <c:pt idx="3">
                  <c:v>2008</c:v>
                </c:pt>
                <c:pt idx="4">
                  <c:v>2009</c:v>
                </c:pt>
                <c:pt idx="5">
                  <c:v>2010</c:v>
                </c:pt>
                <c:pt idx="6">
                  <c:v>2011</c:v>
                </c:pt>
                <c:pt idx="7">
                  <c:v>2012</c:v>
                </c:pt>
                <c:pt idx="8">
                  <c:v>2013</c:v>
                </c:pt>
                <c:pt idx="9">
                  <c:v>2014</c:v>
                </c:pt>
                <c:pt idx="10">
                  <c:v>2015</c:v>
                </c:pt>
                <c:pt idx="11">
                  <c:v>2016</c:v>
                </c:pt>
                <c:pt idx="12">
                  <c:v>2017</c:v>
                </c:pt>
                <c:pt idx="13">
                  <c:v>2018</c:v>
                </c:pt>
                <c:pt idx="14">
                  <c:v>2019</c:v>
                </c:pt>
              </c:strCache>
            </c:strRef>
          </c:cat>
          <c:val>
            <c:numRef>
              <c:f>'míra chudoby souhrnny'!$S$16:$AG$16</c:f>
              <c:numCache>
                <c:formatCode>#,##0.0</c:formatCode>
                <c:ptCount val="15"/>
                <c:pt idx="0">
                  <c:v>23.2</c:v>
                </c:pt>
                <c:pt idx="1">
                  <c:v>21</c:v>
                </c:pt>
                <c:pt idx="2">
                  <c:v>17.5</c:v>
                </c:pt>
                <c:pt idx="3">
                  <c:v>17.600000000000001</c:v>
                </c:pt>
                <c:pt idx="4">
                  <c:v>16.100000000000001</c:v>
                </c:pt>
                <c:pt idx="5">
                  <c:v>16.3</c:v>
                </c:pt>
                <c:pt idx="6">
                  <c:v>16.399999999999999</c:v>
                </c:pt>
                <c:pt idx="7">
                  <c:v>16</c:v>
                </c:pt>
                <c:pt idx="8">
                  <c:v>14.7</c:v>
                </c:pt>
                <c:pt idx="9">
                  <c:v>17</c:v>
                </c:pt>
                <c:pt idx="10">
                  <c:v>16.399999999999999</c:v>
                </c:pt>
                <c:pt idx="11">
                  <c:v>13.1</c:v>
                </c:pt>
                <c:pt idx="12" formatCode="General">
                  <c:v>12.3</c:v>
                </c:pt>
                <c:pt idx="13" formatCode="General">
                  <c:v>12.7</c:v>
                </c:pt>
                <c:pt idx="14" formatCode="General">
                  <c:v>12.9</c:v>
                </c:pt>
              </c:numCache>
            </c:numRef>
          </c:val>
          <c:smooth val="0"/>
          <c:extLst>
            <c:ext xmlns:c16="http://schemas.microsoft.com/office/drawing/2014/chart" uri="{C3380CC4-5D6E-409C-BE32-E72D297353CC}">
              <c16:uniqueId val="{00000006-3A20-4BAD-B433-23C99C7DEA01}"/>
            </c:ext>
          </c:extLst>
        </c:ser>
        <c:ser>
          <c:idx val="7"/>
          <c:order val="7"/>
          <c:tx>
            <c:strRef>
              <c:f>'míra chudoby souhrnny'!$R$17</c:f>
              <c:strCache>
                <c:ptCount val="1"/>
                <c:pt idx="0">
                  <c:v>Moravskoslezsko</c:v>
                </c:pt>
              </c:strCache>
            </c:strRef>
          </c:tx>
          <c:spPr>
            <a:ln w="19050" cap="rnd">
              <a:solidFill>
                <a:schemeClr val="accent2">
                  <a:lumMod val="60000"/>
                </a:schemeClr>
              </a:solidFill>
              <a:round/>
            </a:ln>
            <a:effectLst/>
          </c:spPr>
          <c:marker>
            <c:symbol val="none"/>
          </c:marker>
          <c:cat>
            <c:strRef>
              <c:f>'míra chudoby souhrnny'!$S$9:$AG$9</c:f>
              <c:strCache>
                <c:ptCount val="15"/>
                <c:pt idx="0">
                  <c:v>2005</c:v>
                </c:pt>
                <c:pt idx="1">
                  <c:v>2006</c:v>
                </c:pt>
                <c:pt idx="2">
                  <c:v>2007</c:v>
                </c:pt>
                <c:pt idx="3">
                  <c:v>2008</c:v>
                </c:pt>
                <c:pt idx="4">
                  <c:v>2009</c:v>
                </c:pt>
                <c:pt idx="5">
                  <c:v>2010</c:v>
                </c:pt>
                <c:pt idx="6">
                  <c:v>2011</c:v>
                </c:pt>
                <c:pt idx="7">
                  <c:v>2012</c:v>
                </c:pt>
                <c:pt idx="8">
                  <c:v>2013</c:v>
                </c:pt>
                <c:pt idx="9">
                  <c:v>2014</c:v>
                </c:pt>
                <c:pt idx="10">
                  <c:v>2015</c:v>
                </c:pt>
                <c:pt idx="11">
                  <c:v>2016</c:v>
                </c:pt>
                <c:pt idx="12">
                  <c:v>2017</c:v>
                </c:pt>
                <c:pt idx="13">
                  <c:v>2018</c:v>
                </c:pt>
                <c:pt idx="14">
                  <c:v>2019</c:v>
                </c:pt>
              </c:strCache>
            </c:strRef>
          </c:cat>
          <c:val>
            <c:numRef>
              <c:f>'míra chudoby souhrnny'!$S$17:$AG$17</c:f>
              <c:numCache>
                <c:formatCode>#,##0.0</c:formatCode>
                <c:ptCount val="15"/>
                <c:pt idx="0">
                  <c:v>30.6</c:v>
                </c:pt>
                <c:pt idx="1">
                  <c:v>26.8</c:v>
                </c:pt>
                <c:pt idx="2">
                  <c:v>23.2</c:v>
                </c:pt>
                <c:pt idx="3">
                  <c:v>21.6</c:v>
                </c:pt>
                <c:pt idx="4">
                  <c:v>18.600000000000001</c:v>
                </c:pt>
                <c:pt idx="5">
                  <c:v>18.899999999999999</c:v>
                </c:pt>
                <c:pt idx="6">
                  <c:v>22</c:v>
                </c:pt>
                <c:pt idx="7">
                  <c:v>20.9</c:v>
                </c:pt>
                <c:pt idx="8">
                  <c:v>22.9</c:v>
                </c:pt>
                <c:pt idx="9">
                  <c:v>22.5</c:v>
                </c:pt>
                <c:pt idx="10">
                  <c:v>21.7</c:v>
                </c:pt>
                <c:pt idx="11">
                  <c:v>22.1</c:v>
                </c:pt>
                <c:pt idx="12" formatCode="General">
                  <c:v>19.2</c:v>
                </c:pt>
                <c:pt idx="13" formatCode="General">
                  <c:v>16.3</c:v>
                </c:pt>
                <c:pt idx="14" formatCode="General">
                  <c:v>14.9</c:v>
                </c:pt>
              </c:numCache>
            </c:numRef>
          </c:val>
          <c:smooth val="0"/>
          <c:extLst>
            <c:ext xmlns:c16="http://schemas.microsoft.com/office/drawing/2014/chart" uri="{C3380CC4-5D6E-409C-BE32-E72D297353CC}">
              <c16:uniqueId val="{00000007-3A20-4BAD-B433-23C99C7DEA01}"/>
            </c:ext>
          </c:extLst>
        </c:ser>
        <c:dLbls>
          <c:showLegendKey val="0"/>
          <c:showVal val="0"/>
          <c:showCatName val="0"/>
          <c:showSerName val="0"/>
          <c:showPercent val="0"/>
          <c:showBubbleSize val="0"/>
        </c:dLbls>
        <c:smooth val="0"/>
        <c:axId val="431072992"/>
        <c:axId val="1"/>
      </c:lineChart>
      <c:catAx>
        <c:axId val="431072992"/>
        <c:scaling>
          <c:orientation val="minMax"/>
        </c:scaling>
        <c:delete val="0"/>
        <c:axPos val="b"/>
        <c:title>
          <c:tx>
            <c:rich>
              <a:bodyPr/>
              <a:lstStyle/>
              <a:p>
                <a:pPr>
                  <a:defRPr sz="800" b="0" i="0" u="none" strike="noStrike" baseline="0">
                    <a:solidFill>
                      <a:srgbClr val="333333"/>
                    </a:solidFill>
                    <a:latin typeface="Calibri"/>
                    <a:ea typeface="Calibri"/>
                    <a:cs typeface="Calibri"/>
                  </a:defRPr>
                </a:pPr>
                <a:r>
                  <a:rPr lang="cs-CZ" sz="800"/>
                  <a:t>Rok</a:t>
                </a:r>
              </a:p>
            </c:rich>
          </c:tx>
          <c:overlay val="0"/>
          <c:spPr>
            <a:noFill/>
            <a:ln w="25400">
              <a:noFill/>
            </a:ln>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0" vert="horz"/>
          <a:lstStyle/>
          <a:p>
            <a:pPr>
              <a:defRPr sz="800" b="0" i="0" u="none" strike="noStrike" baseline="0">
                <a:solidFill>
                  <a:srgbClr val="333333"/>
                </a:solidFill>
                <a:latin typeface="Calibri"/>
                <a:ea typeface="Calibri"/>
                <a:cs typeface="Calibri"/>
              </a:defRPr>
            </a:pPr>
            <a:endParaRPr lang="cs-CZ"/>
          </a:p>
        </c:txPr>
        <c:crossAx val="1"/>
        <c:crosses val="autoZero"/>
        <c:auto val="1"/>
        <c:lblAlgn val="ctr"/>
        <c:lblOffset val="100"/>
        <c:noMultiLvlLbl val="0"/>
      </c:catAx>
      <c:valAx>
        <c:axId val="1"/>
        <c:scaling>
          <c:orientation val="minMax"/>
        </c:scaling>
        <c:delete val="0"/>
        <c:axPos val="l"/>
        <c:majorGridlines>
          <c:spPr>
            <a:ln w="9525" cap="flat" cmpd="sng" algn="ctr">
              <a:solidFill>
                <a:schemeClr val="tx1">
                  <a:lumMod val="15000"/>
                  <a:lumOff val="85000"/>
                </a:schemeClr>
              </a:solidFill>
              <a:round/>
            </a:ln>
            <a:effectLst/>
          </c:spPr>
        </c:majorGridlines>
        <c:title>
          <c:tx>
            <c:rich>
              <a:bodyPr/>
              <a:lstStyle/>
              <a:p>
                <a:pPr>
                  <a:defRPr sz="800" b="0" i="0" u="none" strike="noStrike" baseline="0">
                    <a:solidFill>
                      <a:srgbClr val="333333"/>
                    </a:solidFill>
                    <a:latin typeface="Calibri"/>
                    <a:ea typeface="Calibri"/>
                    <a:cs typeface="Calibri"/>
                  </a:defRPr>
                </a:pPr>
                <a:r>
                  <a:rPr lang="cs-CZ" sz="800"/>
                  <a:t>Podíl osob ohrožených příjmovou chudobou nebo sociálním vyloučením (v%)</a:t>
                </a:r>
              </a:p>
            </c:rich>
          </c:tx>
          <c:layout>
            <c:manualLayout>
              <c:xMode val="edge"/>
              <c:yMode val="edge"/>
              <c:x val="4.4091710758377423E-3"/>
              <c:y val="8.6430994165780414E-2"/>
            </c:manualLayout>
          </c:layout>
          <c:overlay val="0"/>
          <c:spPr>
            <a:noFill/>
            <a:ln w="25400">
              <a:noFill/>
            </a:ln>
          </c:spPr>
        </c:title>
        <c:numFmt formatCode="#,##0.0" sourceLinked="1"/>
        <c:majorTickMark val="none"/>
        <c:minorTickMark val="none"/>
        <c:tickLblPos val="nextTo"/>
        <c:spPr>
          <a:ln w="6350">
            <a:solidFill>
              <a:schemeClr val="bg1">
                <a:lumMod val="85000"/>
              </a:schemeClr>
            </a:solidFill>
          </a:ln>
        </c:spPr>
        <c:txPr>
          <a:bodyPr rot="0" vert="horz"/>
          <a:lstStyle/>
          <a:p>
            <a:pPr>
              <a:defRPr sz="800" b="0" i="0" u="none" strike="noStrike" baseline="0">
                <a:solidFill>
                  <a:srgbClr val="333333"/>
                </a:solidFill>
                <a:latin typeface="Calibri"/>
                <a:ea typeface="Calibri"/>
                <a:cs typeface="Calibri"/>
              </a:defRPr>
            </a:pPr>
            <a:endParaRPr lang="cs-CZ"/>
          </a:p>
        </c:txPr>
        <c:crossAx val="431072992"/>
        <c:crosses val="autoZero"/>
        <c:crossBetween val="between"/>
      </c:valAx>
      <c:spPr>
        <a:noFill/>
        <a:ln w="25400">
          <a:noFill/>
        </a:ln>
      </c:spPr>
    </c:plotArea>
    <c:legend>
      <c:legendPos val="r"/>
      <c:layout>
        <c:manualLayout>
          <c:xMode val="edge"/>
          <c:yMode val="edge"/>
          <c:x val="0.82529701148467538"/>
          <c:y val="0.26970159652973924"/>
          <c:w val="0.1724984029774056"/>
          <c:h val="0.46059650726342366"/>
        </c:manualLayout>
      </c:layout>
      <c:overlay val="0"/>
      <c:spPr>
        <a:noFill/>
        <a:ln w="25400">
          <a:noFill/>
        </a:ln>
      </c:spPr>
      <c:txPr>
        <a:bodyPr/>
        <a:lstStyle/>
        <a:p>
          <a:pPr>
            <a:defRPr sz="755" b="0" i="0" u="none" strike="noStrike" baseline="0">
              <a:solidFill>
                <a:srgbClr val="333333"/>
              </a:solidFill>
              <a:latin typeface="Calibri"/>
              <a:ea typeface="Calibri"/>
              <a:cs typeface="Calibri"/>
            </a:defRPr>
          </a:pPr>
          <a:endParaRPr lang="cs-CZ"/>
        </a:p>
      </c:txPr>
    </c:legend>
    <c:plotVisOnly val="1"/>
    <c:dispBlanksAs val="gap"/>
    <c:showDLblsOverMax val="0"/>
  </c:chart>
  <c:spPr>
    <a:solidFill>
      <a:schemeClr val="bg1"/>
    </a:solidFill>
    <a:ln w="9525" cap="flat" cmpd="sng" algn="ctr">
      <a:solidFill>
        <a:schemeClr val="bg1">
          <a:lumMod val="85000"/>
        </a:schemeClr>
      </a:solidFill>
      <a:round/>
    </a:ln>
    <a:effectLst/>
  </c:spPr>
  <c:txPr>
    <a:bodyPr/>
    <a:lstStyle/>
    <a:p>
      <a:pPr>
        <a:defRPr sz="1000" b="0" i="0" u="none" strike="noStrike" baseline="0">
          <a:solidFill>
            <a:srgbClr val="000000"/>
          </a:solidFill>
          <a:latin typeface="Calibri"/>
          <a:ea typeface="Calibri"/>
          <a:cs typeface="Calibri"/>
        </a:defRPr>
      </a:pPr>
      <a:endParaRPr lang="cs-CZ"/>
    </a:p>
  </c:txPr>
  <c:externalData r:id="rId1">
    <c:autoUpdate val="0"/>
  </c:externalData>
</c:chartSpace>
</file>

<file path=word/charts/chart3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9.3781332888944441E-2"/>
          <c:y val="6.035665294924554E-2"/>
          <c:w val="0.8819682261939481"/>
          <c:h val="0.75877472106110178"/>
        </c:manualLayout>
      </c:layout>
      <c:barChart>
        <c:barDir val="col"/>
        <c:grouping val="clustered"/>
        <c:varyColors val="0"/>
        <c:ser>
          <c:idx val="0"/>
          <c:order val="0"/>
          <c:tx>
            <c:strRef>
              <c:f>'ohrožení příjmovou chudobou'!$A$25</c:f>
              <c:strCache>
                <c:ptCount val="1"/>
                <c:pt idx="0">
                  <c:v>Czech Republic</c:v>
                </c:pt>
              </c:strCache>
            </c:strRef>
          </c:tx>
          <c:spPr>
            <a:solidFill>
              <a:schemeClr val="accent1"/>
            </a:solidFill>
            <a:ln w="25400">
              <a:noFill/>
            </a:ln>
          </c:spPr>
          <c:invertIfNegative val="0"/>
          <c:dLbls>
            <c:spPr>
              <a:noFill/>
              <a:ln w="25400">
                <a:noFill/>
              </a:ln>
            </c:spPr>
            <c:txPr>
              <a:bodyPr wrap="square" lIns="38100" tIns="19050" rIns="38100" bIns="19050" anchor="ctr">
                <a:spAutoFit/>
              </a:bodyPr>
              <a:lstStyle/>
              <a:p>
                <a:pPr>
                  <a:defRPr sz="800" b="0" i="0" u="none" strike="noStrike" baseline="0">
                    <a:solidFill>
                      <a:srgbClr val="333333"/>
                    </a:solidFill>
                    <a:latin typeface="Calibri"/>
                    <a:ea typeface="Calibri"/>
                    <a:cs typeface="Calibri"/>
                  </a:defRPr>
                </a:pPr>
                <a:endParaRPr lang="cs-CZ"/>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'ohrožení příjmovou chudobou'!$B$24:$Q$24</c:f>
              <c:strCache>
                <c:ptCount val="16"/>
                <c:pt idx="0">
                  <c:v>2005</c:v>
                </c:pt>
                <c:pt idx="1">
                  <c:v>2006</c:v>
                </c:pt>
                <c:pt idx="2">
                  <c:v>2007</c:v>
                </c:pt>
                <c:pt idx="3">
                  <c:v>2008</c:v>
                </c:pt>
                <c:pt idx="4">
                  <c:v>2009</c:v>
                </c:pt>
                <c:pt idx="5">
                  <c:v>2010</c:v>
                </c:pt>
                <c:pt idx="6">
                  <c:v>2011</c:v>
                </c:pt>
                <c:pt idx="7">
                  <c:v>2012</c:v>
                </c:pt>
                <c:pt idx="8">
                  <c:v>2013</c:v>
                </c:pt>
                <c:pt idx="9">
                  <c:v>2014</c:v>
                </c:pt>
                <c:pt idx="10">
                  <c:v>2015</c:v>
                </c:pt>
                <c:pt idx="11">
                  <c:v>2016</c:v>
                </c:pt>
                <c:pt idx="12">
                  <c:v>2017</c:v>
                </c:pt>
                <c:pt idx="13">
                  <c:v>2018</c:v>
                </c:pt>
                <c:pt idx="14">
                  <c:v>2019</c:v>
                </c:pt>
                <c:pt idx="15">
                  <c:v>2020</c:v>
                </c:pt>
              </c:strCache>
            </c:strRef>
          </c:cat>
          <c:val>
            <c:numRef>
              <c:f>'ohrožení příjmovou chudobou'!$B$25:$Q$25</c:f>
              <c:numCache>
                <c:formatCode>#\ ##0.0</c:formatCode>
                <c:ptCount val="16"/>
                <c:pt idx="0">
                  <c:v>10.4</c:v>
                </c:pt>
                <c:pt idx="1">
                  <c:v>9.9</c:v>
                </c:pt>
                <c:pt idx="2">
                  <c:v>9.6</c:v>
                </c:pt>
                <c:pt idx="3">
                  <c:v>9</c:v>
                </c:pt>
                <c:pt idx="4">
                  <c:v>8.6</c:v>
                </c:pt>
                <c:pt idx="5">
                  <c:v>9</c:v>
                </c:pt>
                <c:pt idx="6">
                  <c:v>9.8000000000000007</c:v>
                </c:pt>
                <c:pt idx="7">
                  <c:v>9.6</c:v>
                </c:pt>
                <c:pt idx="8">
                  <c:v>8.6</c:v>
                </c:pt>
                <c:pt idx="9">
                  <c:v>9.6999999999999993</c:v>
                </c:pt>
                <c:pt idx="10">
                  <c:v>9.6999999999999993</c:v>
                </c:pt>
                <c:pt idx="11">
                  <c:v>9.6999999999999993</c:v>
                </c:pt>
                <c:pt idx="12">
                  <c:v>9.1</c:v>
                </c:pt>
                <c:pt idx="13" formatCode="General">
                  <c:v>9.6</c:v>
                </c:pt>
                <c:pt idx="14" formatCode="General">
                  <c:v>10.1</c:v>
                </c:pt>
                <c:pt idx="15">
                  <c:v>9.5</c:v>
                </c:pt>
              </c:numCache>
            </c:numRef>
          </c:val>
          <c:extLst>
            <c:ext xmlns:c16="http://schemas.microsoft.com/office/drawing/2014/chart" uri="{C3380CC4-5D6E-409C-BE32-E72D297353CC}">
              <c16:uniqueId val="{00000000-A847-4659-8961-AB2C52F1C8C5}"/>
            </c:ext>
          </c:extLst>
        </c:ser>
        <c:dLbls>
          <c:showLegendKey val="0"/>
          <c:showVal val="0"/>
          <c:showCatName val="0"/>
          <c:showSerName val="0"/>
          <c:showPercent val="0"/>
          <c:showBubbleSize val="0"/>
        </c:dLbls>
        <c:gapWidth val="219"/>
        <c:overlap val="-27"/>
        <c:axId val="1832969663"/>
        <c:axId val="1"/>
      </c:barChart>
      <c:catAx>
        <c:axId val="1832969663"/>
        <c:scaling>
          <c:orientation val="minMax"/>
        </c:scaling>
        <c:delete val="0"/>
        <c:axPos val="b"/>
        <c:title>
          <c:tx>
            <c:rich>
              <a:bodyPr/>
              <a:lstStyle/>
              <a:p>
                <a:pPr>
                  <a:defRPr sz="800" b="0" i="0" u="none" strike="noStrike" baseline="0">
                    <a:solidFill>
                      <a:srgbClr val="333333"/>
                    </a:solidFill>
                    <a:latin typeface="Calibri"/>
                    <a:ea typeface="Calibri"/>
                    <a:cs typeface="Calibri"/>
                  </a:defRPr>
                </a:pPr>
                <a:r>
                  <a:rPr lang="cs-CZ"/>
                  <a:t>Rok</a:t>
                </a:r>
              </a:p>
            </c:rich>
          </c:tx>
          <c:layout>
            <c:manualLayout>
              <c:xMode val="edge"/>
              <c:yMode val="edge"/>
              <c:x val="0.49816925912084231"/>
              <c:y val="0.92995863517060373"/>
            </c:manualLayout>
          </c:layout>
          <c:overlay val="0"/>
          <c:spPr>
            <a:noFill/>
            <a:ln w="25400">
              <a:noFill/>
            </a:ln>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0" vert="horz"/>
          <a:lstStyle/>
          <a:p>
            <a:pPr>
              <a:defRPr sz="800" b="0" i="0" u="none" strike="noStrike" baseline="0">
                <a:solidFill>
                  <a:srgbClr val="333333"/>
                </a:solidFill>
                <a:latin typeface="Calibri"/>
                <a:ea typeface="Calibri"/>
                <a:cs typeface="Calibri"/>
              </a:defRPr>
            </a:pPr>
            <a:endParaRPr lang="cs-CZ"/>
          </a:p>
        </c:txPr>
        <c:crossAx val="1"/>
        <c:crosses val="autoZero"/>
        <c:auto val="1"/>
        <c:lblAlgn val="ctr"/>
        <c:lblOffset val="100"/>
        <c:noMultiLvlLbl val="0"/>
      </c:catAx>
      <c:valAx>
        <c:axId val="1"/>
        <c:scaling>
          <c:orientation val="minMax"/>
        </c:scaling>
        <c:delete val="0"/>
        <c:axPos val="l"/>
        <c:title>
          <c:tx>
            <c:rich>
              <a:bodyPr/>
              <a:lstStyle/>
              <a:p>
                <a:pPr>
                  <a:defRPr sz="800" b="0" i="0" u="none" strike="noStrike" baseline="0">
                    <a:solidFill>
                      <a:srgbClr val="333333"/>
                    </a:solidFill>
                    <a:latin typeface="Calibri"/>
                    <a:ea typeface="Calibri"/>
                    <a:cs typeface="Calibri"/>
                  </a:defRPr>
                </a:pPr>
                <a:r>
                  <a:rPr lang="cs-CZ"/>
                  <a:t>Podíl osob pod hranicí chudoby (%)</a:t>
                </a:r>
              </a:p>
            </c:rich>
          </c:tx>
          <c:layout>
            <c:manualLayout>
              <c:xMode val="edge"/>
              <c:yMode val="edge"/>
              <c:x val="6.6138295724491071E-3"/>
              <c:y val="0.13766761154855642"/>
            </c:manualLayout>
          </c:layout>
          <c:overlay val="0"/>
          <c:spPr>
            <a:noFill/>
            <a:ln w="25400">
              <a:noFill/>
            </a:ln>
          </c:spPr>
        </c:title>
        <c:numFmt formatCode="#\ ##0.0" sourceLinked="1"/>
        <c:majorTickMark val="none"/>
        <c:minorTickMark val="none"/>
        <c:tickLblPos val="nextTo"/>
        <c:spPr>
          <a:ln w="6350">
            <a:solidFill>
              <a:schemeClr val="bg1">
                <a:lumMod val="85000"/>
              </a:schemeClr>
            </a:solidFill>
          </a:ln>
        </c:spPr>
        <c:txPr>
          <a:bodyPr rot="0" vert="horz"/>
          <a:lstStyle/>
          <a:p>
            <a:pPr>
              <a:defRPr sz="800" b="0" i="0" u="none" strike="noStrike" baseline="0">
                <a:solidFill>
                  <a:srgbClr val="333333"/>
                </a:solidFill>
                <a:latin typeface="Calibri"/>
                <a:ea typeface="Calibri"/>
                <a:cs typeface="Calibri"/>
              </a:defRPr>
            </a:pPr>
            <a:endParaRPr lang="cs-CZ"/>
          </a:p>
        </c:txPr>
        <c:crossAx val="1832969663"/>
        <c:crosses val="autoZero"/>
        <c:crossBetween val="between"/>
      </c:valAx>
      <c:spPr>
        <a:noFill/>
        <a:ln w="25400">
          <a:noFill/>
        </a:ln>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1000" b="0" i="0" u="none" strike="noStrike" baseline="0">
          <a:solidFill>
            <a:srgbClr val="000000"/>
          </a:solidFill>
          <a:latin typeface="Calibri"/>
          <a:ea typeface="Calibri"/>
          <a:cs typeface="Calibri"/>
        </a:defRPr>
      </a:pPr>
      <a:endParaRPr lang="cs-CZ"/>
    </a:p>
  </c:txPr>
  <c:externalData r:id="rId1">
    <c:autoUpdate val="0"/>
  </c:externalData>
  <c:userShapes r:id="rId2"/>
</c:chartSpace>
</file>

<file path=word/charts/chart3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8.3434883139607563E-2"/>
          <c:y val="4.2609853528628498E-2"/>
          <c:w val="0.7349730589231902"/>
          <c:h val="0.81833943193851766"/>
        </c:manualLayout>
      </c:layout>
      <c:lineChart>
        <c:grouping val="standard"/>
        <c:varyColors val="0"/>
        <c:ser>
          <c:idx val="0"/>
          <c:order val="0"/>
          <c:tx>
            <c:strRef>
              <c:f>'ohrožení příjmovou chudobou'!$R$10</c:f>
              <c:strCache>
                <c:ptCount val="1"/>
                <c:pt idx="0">
                  <c:v>Praha</c:v>
                </c:pt>
              </c:strCache>
            </c:strRef>
          </c:tx>
          <c:spPr>
            <a:ln w="19050" cap="rnd">
              <a:solidFill>
                <a:schemeClr val="accent1"/>
              </a:solidFill>
              <a:round/>
            </a:ln>
            <a:effectLst/>
          </c:spPr>
          <c:marker>
            <c:symbol val="none"/>
          </c:marker>
          <c:cat>
            <c:strRef>
              <c:f>'ohrožení příjmovou chudobou'!$S$9:$AG$9</c:f>
              <c:strCache>
                <c:ptCount val="15"/>
                <c:pt idx="0">
                  <c:v>2005</c:v>
                </c:pt>
                <c:pt idx="1">
                  <c:v>2006</c:v>
                </c:pt>
                <c:pt idx="2">
                  <c:v>2007</c:v>
                </c:pt>
                <c:pt idx="3">
                  <c:v>2008</c:v>
                </c:pt>
                <c:pt idx="4">
                  <c:v>2009</c:v>
                </c:pt>
                <c:pt idx="5">
                  <c:v>2010</c:v>
                </c:pt>
                <c:pt idx="6">
                  <c:v>2011</c:v>
                </c:pt>
                <c:pt idx="7">
                  <c:v>2012</c:v>
                </c:pt>
                <c:pt idx="8">
                  <c:v>2013</c:v>
                </c:pt>
                <c:pt idx="9">
                  <c:v>2014</c:v>
                </c:pt>
                <c:pt idx="10">
                  <c:v>2015</c:v>
                </c:pt>
                <c:pt idx="11">
                  <c:v>2016</c:v>
                </c:pt>
                <c:pt idx="12">
                  <c:v>2017</c:v>
                </c:pt>
                <c:pt idx="13">
                  <c:v>2018</c:v>
                </c:pt>
                <c:pt idx="14">
                  <c:v>2019</c:v>
                </c:pt>
              </c:strCache>
            </c:strRef>
          </c:cat>
          <c:val>
            <c:numRef>
              <c:f>'ohrožení příjmovou chudobou'!$S$10:$AG$10</c:f>
              <c:numCache>
                <c:formatCode>#,##0.0</c:formatCode>
                <c:ptCount val="15"/>
                <c:pt idx="0">
                  <c:v>4.2</c:v>
                </c:pt>
                <c:pt idx="1">
                  <c:v>4.7</c:v>
                </c:pt>
                <c:pt idx="2">
                  <c:v>4.2</c:v>
                </c:pt>
                <c:pt idx="3">
                  <c:v>6</c:v>
                </c:pt>
                <c:pt idx="4">
                  <c:v>4.5999999999999996</c:v>
                </c:pt>
                <c:pt idx="5">
                  <c:v>4</c:v>
                </c:pt>
                <c:pt idx="6">
                  <c:v>4.5999999999999996</c:v>
                </c:pt>
                <c:pt idx="7">
                  <c:v>6.2</c:v>
                </c:pt>
                <c:pt idx="8">
                  <c:v>4.4000000000000004</c:v>
                </c:pt>
                <c:pt idx="9">
                  <c:v>5.3</c:v>
                </c:pt>
                <c:pt idx="10">
                  <c:v>5.2</c:v>
                </c:pt>
                <c:pt idx="11">
                  <c:v>7.4</c:v>
                </c:pt>
                <c:pt idx="12" formatCode="0.0">
                  <c:v>6.2</c:v>
                </c:pt>
                <c:pt idx="13" formatCode="0.0">
                  <c:v>6</c:v>
                </c:pt>
                <c:pt idx="14" formatCode="0.0">
                  <c:v>5.0999999999999996</c:v>
                </c:pt>
              </c:numCache>
            </c:numRef>
          </c:val>
          <c:smooth val="0"/>
          <c:extLst>
            <c:ext xmlns:c16="http://schemas.microsoft.com/office/drawing/2014/chart" uri="{C3380CC4-5D6E-409C-BE32-E72D297353CC}">
              <c16:uniqueId val="{00000000-EB11-4C6D-BBCB-ADFCA9D90AC6}"/>
            </c:ext>
          </c:extLst>
        </c:ser>
        <c:ser>
          <c:idx val="1"/>
          <c:order val="1"/>
          <c:tx>
            <c:strRef>
              <c:f>'ohrožení příjmovou chudobou'!$R$11</c:f>
              <c:strCache>
                <c:ptCount val="1"/>
                <c:pt idx="0">
                  <c:v>Strední Cechy</c:v>
                </c:pt>
              </c:strCache>
            </c:strRef>
          </c:tx>
          <c:spPr>
            <a:ln w="19050" cap="rnd">
              <a:solidFill>
                <a:schemeClr val="accent2"/>
              </a:solidFill>
              <a:round/>
            </a:ln>
            <a:effectLst/>
          </c:spPr>
          <c:marker>
            <c:symbol val="none"/>
          </c:marker>
          <c:cat>
            <c:strRef>
              <c:f>'ohrožení příjmovou chudobou'!$S$9:$AG$9</c:f>
              <c:strCache>
                <c:ptCount val="15"/>
                <c:pt idx="0">
                  <c:v>2005</c:v>
                </c:pt>
                <c:pt idx="1">
                  <c:v>2006</c:v>
                </c:pt>
                <c:pt idx="2">
                  <c:v>2007</c:v>
                </c:pt>
                <c:pt idx="3">
                  <c:v>2008</c:v>
                </c:pt>
                <c:pt idx="4">
                  <c:v>2009</c:v>
                </c:pt>
                <c:pt idx="5">
                  <c:v>2010</c:v>
                </c:pt>
                <c:pt idx="6">
                  <c:v>2011</c:v>
                </c:pt>
                <c:pt idx="7">
                  <c:v>2012</c:v>
                </c:pt>
                <c:pt idx="8">
                  <c:v>2013</c:v>
                </c:pt>
                <c:pt idx="9">
                  <c:v>2014</c:v>
                </c:pt>
                <c:pt idx="10">
                  <c:v>2015</c:v>
                </c:pt>
                <c:pt idx="11">
                  <c:v>2016</c:v>
                </c:pt>
                <c:pt idx="12">
                  <c:v>2017</c:v>
                </c:pt>
                <c:pt idx="13">
                  <c:v>2018</c:v>
                </c:pt>
                <c:pt idx="14">
                  <c:v>2019</c:v>
                </c:pt>
              </c:strCache>
            </c:strRef>
          </c:cat>
          <c:val>
            <c:numRef>
              <c:f>'ohrožení příjmovou chudobou'!$S$11:$AG$11</c:f>
              <c:numCache>
                <c:formatCode>#,##0.0</c:formatCode>
                <c:ptCount val="15"/>
                <c:pt idx="0">
                  <c:v>8.6999999999999993</c:v>
                </c:pt>
                <c:pt idx="1">
                  <c:v>8.5</c:v>
                </c:pt>
                <c:pt idx="2">
                  <c:v>8.1999999999999993</c:v>
                </c:pt>
                <c:pt idx="3">
                  <c:v>7.4</c:v>
                </c:pt>
                <c:pt idx="4">
                  <c:v>7.5</c:v>
                </c:pt>
                <c:pt idx="5">
                  <c:v>7.4</c:v>
                </c:pt>
                <c:pt idx="6">
                  <c:v>6.1</c:v>
                </c:pt>
                <c:pt idx="7">
                  <c:v>7.3</c:v>
                </c:pt>
                <c:pt idx="8">
                  <c:v>4.8</c:v>
                </c:pt>
                <c:pt idx="9">
                  <c:v>5.3</c:v>
                </c:pt>
                <c:pt idx="10">
                  <c:v>5.5</c:v>
                </c:pt>
                <c:pt idx="11">
                  <c:v>6.5</c:v>
                </c:pt>
                <c:pt idx="12" formatCode="0.0">
                  <c:v>7.2</c:v>
                </c:pt>
                <c:pt idx="13" formatCode="0.0">
                  <c:v>7.8</c:v>
                </c:pt>
                <c:pt idx="14" formatCode="0.0">
                  <c:v>7.5</c:v>
                </c:pt>
              </c:numCache>
            </c:numRef>
          </c:val>
          <c:smooth val="0"/>
          <c:extLst>
            <c:ext xmlns:c16="http://schemas.microsoft.com/office/drawing/2014/chart" uri="{C3380CC4-5D6E-409C-BE32-E72D297353CC}">
              <c16:uniqueId val="{00000001-EB11-4C6D-BBCB-ADFCA9D90AC6}"/>
            </c:ext>
          </c:extLst>
        </c:ser>
        <c:ser>
          <c:idx val="2"/>
          <c:order val="2"/>
          <c:tx>
            <c:strRef>
              <c:f>'ohrožení příjmovou chudobou'!$R$12</c:f>
              <c:strCache>
                <c:ptCount val="1"/>
                <c:pt idx="0">
                  <c:v>Jihozápad</c:v>
                </c:pt>
              </c:strCache>
            </c:strRef>
          </c:tx>
          <c:spPr>
            <a:ln w="19050" cap="rnd">
              <a:solidFill>
                <a:schemeClr val="accent3"/>
              </a:solidFill>
              <a:round/>
            </a:ln>
            <a:effectLst/>
          </c:spPr>
          <c:marker>
            <c:symbol val="none"/>
          </c:marker>
          <c:cat>
            <c:strRef>
              <c:f>'ohrožení příjmovou chudobou'!$S$9:$AG$9</c:f>
              <c:strCache>
                <c:ptCount val="15"/>
                <c:pt idx="0">
                  <c:v>2005</c:v>
                </c:pt>
                <c:pt idx="1">
                  <c:v>2006</c:v>
                </c:pt>
                <c:pt idx="2">
                  <c:v>2007</c:v>
                </c:pt>
                <c:pt idx="3">
                  <c:v>2008</c:v>
                </c:pt>
                <c:pt idx="4">
                  <c:v>2009</c:v>
                </c:pt>
                <c:pt idx="5">
                  <c:v>2010</c:v>
                </c:pt>
                <c:pt idx="6">
                  <c:v>2011</c:v>
                </c:pt>
                <c:pt idx="7">
                  <c:v>2012</c:v>
                </c:pt>
                <c:pt idx="8">
                  <c:v>2013</c:v>
                </c:pt>
                <c:pt idx="9">
                  <c:v>2014</c:v>
                </c:pt>
                <c:pt idx="10">
                  <c:v>2015</c:v>
                </c:pt>
                <c:pt idx="11">
                  <c:v>2016</c:v>
                </c:pt>
                <c:pt idx="12">
                  <c:v>2017</c:v>
                </c:pt>
                <c:pt idx="13">
                  <c:v>2018</c:v>
                </c:pt>
                <c:pt idx="14">
                  <c:v>2019</c:v>
                </c:pt>
              </c:strCache>
            </c:strRef>
          </c:cat>
          <c:val>
            <c:numRef>
              <c:f>'ohrožení příjmovou chudobou'!$S$12:$AG$12</c:f>
              <c:numCache>
                <c:formatCode>#,##0.0</c:formatCode>
                <c:ptCount val="15"/>
                <c:pt idx="0">
                  <c:v>5.7</c:v>
                </c:pt>
                <c:pt idx="1">
                  <c:v>6.1</c:v>
                </c:pt>
                <c:pt idx="2">
                  <c:v>7.3</c:v>
                </c:pt>
                <c:pt idx="3">
                  <c:v>5.8</c:v>
                </c:pt>
                <c:pt idx="4">
                  <c:v>6.8</c:v>
                </c:pt>
                <c:pt idx="5">
                  <c:v>7</c:v>
                </c:pt>
                <c:pt idx="6">
                  <c:v>7.3</c:v>
                </c:pt>
                <c:pt idx="7">
                  <c:v>7</c:v>
                </c:pt>
                <c:pt idx="8">
                  <c:v>6.9</c:v>
                </c:pt>
                <c:pt idx="9">
                  <c:v>8.6999999999999993</c:v>
                </c:pt>
                <c:pt idx="10">
                  <c:v>7.9</c:v>
                </c:pt>
                <c:pt idx="11">
                  <c:v>7.8</c:v>
                </c:pt>
                <c:pt idx="12" formatCode="0.0">
                  <c:v>7.7</c:v>
                </c:pt>
                <c:pt idx="13" formatCode="0.0">
                  <c:v>7.7</c:v>
                </c:pt>
                <c:pt idx="14" formatCode="0.0">
                  <c:v>8</c:v>
                </c:pt>
              </c:numCache>
            </c:numRef>
          </c:val>
          <c:smooth val="0"/>
          <c:extLst>
            <c:ext xmlns:c16="http://schemas.microsoft.com/office/drawing/2014/chart" uri="{C3380CC4-5D6E-409C-BE32-E72D297353CC}">
              <c16:uniqueId val="{00000002-EB11-4C6D-BBCB-ADFCA9D90AC6}"/>
            </c:ext>
          </c:extLst>
        </c:ser>
        <c:ser>
          <c:idx val="3"/>
          <c:order val="3"/>
          <c:tx>
            <c:strRef>
              <c:f>'ohrožení příjmovou chudobou'!$R$13</c:f>
              <c:strCache>
                <c:ptCount val="1"/>
                <c:pt idx="0">
                  <c:v>Severozápad</c:v>
                </c:pt>
              </c:strCache>
            </c:strRef>
          </c:tx>
          <c:spPr>
            <a:ln w="19050" cap="rnd">
              <a:solidFill>
                <a:schemeClr val="accent4"/>
              </a:solidFill>
              <a:round/>
            </a:ln>
            <a:effectLst/>
          </c:spPr>
          <c:marker>
            <c:symbol val="none"/>
          </c:marker>
          <c:cat>
            <c:strRef>
              <c:f>'ohrožení příjmovou chudobou'!$S$9:$AG$9</c:f>
              <c:strCache>
                <c:ptCount val="15"/>
                <c:pt idx="0">
                  <c:v>2005</c:v>
                </c:pt>
                <c:pt idx="1">
                  <c:v>2006</c:v>
                </c:pt>
                <c:pt idx="2">
                  <c:v>2007</c:v>
                </c:pt>
                <c:pt idx="3">
                  <c:v>2008</c:v>
                </c:pt>
                <c:pt idx="4">
                  <c:v>2009</c:v>
                </c:pt>
                <c:pt idx="5">
                  <c:v>2010</c:v>
                </c:pt>
                <c:pt idx="6">
                  <c:v>2011</c:v>
                </c:pt>
                <c:pt idx="7">
                  <c:v>2012</c:v>
                </c:pt>
                <c:pt idx="8">
                  <c:v>2013</c:v>
                </c:pt>
                <c:pt idx="9">
                  <c:v>2014</c:v>
                </c:pt>
                <c:pt idx="10">
                  <c:v>2015</c:v>
                </c:pt>
                <c:pt idx="11">
                  <c:v>2016</c:v>
                </c:pt>
                <c:pt idx="12">
                  <c:v>2017</c:v>
                </c:pt>
                <c:pt idx="13">
                  <c:v>2018</c:v>
                </c:pt>
                <c:pt idx="14">
                  <c:v>2019</c:v>
                </c:pt>
              </c:strCache>
            </c:strRef>
          </c:cat>
          <c:val>
            <c:numRef>
              <c:f>'ohrožení příjmovou chudobou'!$S$13:$AG$13</c:f>
              <c:numCache>
                <c:formatCode>#,##0.0</c:formatCode>
                <c:ptCount val="15"/>
                <c:pt idx="0">
                  <c:v>16.100000000000001</c:v>
                </c:pt>
                <c:pt idx="1">
                  <c:v>16.3</c:v>
                </c:pt>
                <c:pt idx="2">
                  <c:v>15.4</c:v>
                </c:pt>
                <c:pt idx="3">
                  <c:v>13</c:v>
                </c:pt>
                <c:pt idx="4">
                  <c:v>11.6</c:v>
                </c:pt>
                <c:pt idx="5">
                  <c:v>14.6</c:v>
                </c:pt>
                <c:pt idx="6">
                  <c:v>17.100000000000001</c:v>
                </c:pt>
                <c:pt idx="7">
                  <c:v>14.5</c:v>
                </c:pt>
                <c:pt idx="8">
                  <c:v>12.9</c:v>
                </c:pt>
                <c:pt idx="9">
                  <c:v>14.1</c:v>
                </c:pt>
                <c:pt idx="10">
                  <c:v>16</c:v>
                </c:pt>
                <c:pt idx="11">
                  <c:v>15</c:v>
                </c:pt>
                <c:pt idx="12" formatCode="0.0">
                  <c:v>13.7</c:v>
                </c:pt>
                <c:pt idx="13" formatCode="0.0">
                  <c:v>13.5</c:v>
                </c:pt>
                <c:pt idx="14" formatCode="0.0">
                  <c:v>16.899999999999999</c:v>
                </c:pt>
              </c:numCache>
            </c:numRef>
          </c:val>
          <c:smooth val="0"/>
          <c:extLst>
            <c:ext xmlns:c16="http://schemas.microsoft.com/office/drawing/2014/chart" uri="{C3380CC4-5D6E-409C-BE32-E72D297353CC}">
              <c16:uniqueId val="{00000003-EB11-4C6D-BBCB-ADFCA9D90AC6}"/>
            </c:ext>
          </c:extLst>
        </c:ser>
        <c:ser>
          <c:idx val="4"/>
          <c:order val="4"/>
          <c:tx>
            <c:strRef>
              <c:f>'ohrožení příjmovou chudobou'!$R$14</c:f>
              <c:strCache>
                <c:ptCount val="1"/>
                <c:pt idx="0">
                  <c:v>Severovýchod</c:v>
                </c:pt>
              </c:strCache>
            </c:strRef>
          </c:tx>
          <c:spPr>
            <a:ln w="19050" cap="rnd">
              <a:solidFill>
                <a:schemeClr val="accent5"/>
              </a:solidFill>
              <a:round/>
            </a:ln>
            <a:effectLst/>
          </c:spPr>
          <c:marker>
            <c:symbol val="none"/>
          </c:marker>
          <c:cat>
            <c:strRef>
              <c:f>'ohrožení příjmovou chudobou'!$S$9:$AG$9</c:f>
              <c:strCache>
                <c:ptCount val="15"/>
                <c:pt idx="0">
                  <c:v>2005</c:v>
                </c:pt>
                <c:pt idx="1">
                  <c:v>2006</c:v>
                </c:pt>
                <c:pt idx="2">
                  <c:v>2007</c:v>
                </c:pt>
                <c:pt idx="3">
                  <c:v>2008</c:v>
                </c:pt>
                <c:pt idx="4">
                  <c:v>2009</c:v>
                </c:pt>
                <c:pt idx="5">
                  <c:v>2010</c:v>
                </c:pt>
                <c:pt idx="6">
                  <c:v>2011</c:v>
                </c:pt>
                <c:pt idx="7">
                  <c:v>2012</c:v>
                </c:pt>
                <c:pt idx="8">
                  <c:v>2013</c:v>
                </c:pt>
                <c:pt idx="9">
                  <c:v>2014</c:v>
                </c:pt>
                <c:pt idx="10">
                  <c:v>2015</c:v>
                </c:pt>
                <c:pt idx="11">
                  <c:v>2016</c:v>
                </c:pt>
                <c:pt idx="12">
                  <c:v>2017</c:v>
                </c:pt>
                <c:pt idx="13">
                  <c:v>2018</c:v>
                </c:pt>
                <c:pt idx="14">
                  <c:v>2019</c:v>
                </c:pt>
              </c:strCache>
            </c:strRef>
          </c:cat>
          <c:val>
            <c:numRef>
              <c:f>'ohrožení příjmovou chudobou'!$S$14:$AG$14</c:f>
              <c:numCache>
                <c:formatCode>#,##0.0</c:formatCode>
                <c:ptCount val="15"/>
                <c:pt idx="0">
                  <c:v>11.2</c:v>
                </c:pt>
                <c:pt idx="1">
                  <c:v>9</c:v>
                </c:pt>
                <c:pt idx="2">
                  <c:v>8.9</c:v>
                </c:pt>
                <c:pt idx="3">
                  <c:v>6.8</c:v>
                </c:pt>
                <c:pt idx="4">
                  <c:v>6.9</c:v>
                </c:pt>
                <c:pt idx="5">
                  <c:v>7.8</c:v>
                </c:pt>
                <c:pt idx="6">
                  <c:v>7.9</c:v>
                </c:pt>
                <c:pt idx="7">
                  <c:v>8.1999999999999993</c:v>
                </c:pt>
                <c:pt idx="8">
                  <c:v>8.8000000000000007</c:v>
                </c:pt>
                <c:pt idx="9">
                  <c:v>9.4</c:v>
                </c:pt>
                <c:pt idx="10">
                  <c:v>7.4</c:v>
                </c:pt>
                <c:pt idx="11">
                  <c:v>7.7</c:v>
                </c:pt>
                <c:pt idx="12" formatCode="0.0">
                  <c:v>8</c:v>
                </c:pt>
                <c:pt idx="13" formatCode="0.0">
                  <c:v>9.9</c:v>
                </c:pt>
                <c:pt idx="14" formatCode="0.0">
                  <c:v>10.5</c:v>
                </c:pt>
              </c:numCache>
            </c:numRef>
          </c:val>
          <c:smooth val="0"/>
          <c:extLst>
            <c:ext xmlns:c16="http://schemas.microsoft.com/office/drawing/2014/chart" uri="{C3380CC4-5D6E-409C-BE32-E72D297353CC}">
              <c16:uniqueId val="{00000004-EB11-4C6D-BBCB-ADFCA9D90AC6}"/>
            </c:ext>
          </c:extLst>
        </c:ser>
        <c:ser>
          <c:idx val="5"/>
          <c:order val="5"/>
          <c:tx>
            <c:strRef>
              <c:f>'ohrožení příjmovou chudobou'!$R$15</c:f>
              <c:strCache>
                <c:ptCount val="1"/>
                <c:pt idx="0">
                  <c:v>Jihovýchod</c:v>
                </c:pt>
              </c:strCache>
            </c:strRef>
          </c:tx>
          <c:spPr>
            <a:ln w="19050" cap="rnd">
              <a:solidFill>
                <a:schemeClr val="accent6"/>
              </a:solidFill>
              <a:round/>
            </a:ln>
            <a:effectLst/>
          </c:spPr>
          <c:marker>
            <c:symbol val="none"/>
          </c:marker>
          <c:cat>
            <c:strRef>
              <c:f>'ohrožení příjmovou chudobou'!$S$9:$AG$9</c:f>
              <c:strCache>
                <c:ptCount val="15"/>
                <c:pt idx="0">
                  <c:v>2005</c:v>
                </c:pt>
                <c:pt idx="1">
                  <c:v>2006</c:v>
                </c:pt>
                <c:pt idx="2">
                  <c:v>2007</c:v>
                </c:pt>
                <c:pt idx="3">
                  <c:v>2008</c:v>
                </c:pt>
                <c:pt idx="4">
                  <c:v>2009</c:v>
                </c:pt>
                <c:pt idx="5">
                  <c:v>2010</c:v>
                </c:pt>
                <c:pt idx="6">
                  <c:v>2011</c:v>
                </c:pt>
                <c:pt idx="7">
                  <c:v>2012</c:v>
                </c:pt>
                <c:pt idx="8">
                  <c:v>2013</c:v>
                </c:pt>
                <c:pt idx="9">
                  <c:v>2014</c:v>
                </c:pt>
                <c:pt idx="10">
                  <c:v>2015</c:v>
                </c:pt>
                <c:pt idx="11">
                  <c:v>2016</c:v>
                </c:pt>
                <c:pt idx="12">
                  <c:v>2017</c:v>
                </c:pt>
                <c:pt idx="13">
                  <c:v>2018</c:v>
                </c:pt>
                <c:pt idx="14">
                  <c:v>2019</c:v>
                </c:pt>
              </c:strCache>
            </c:strRef>
          </c:cat>
          <c:val>
            <c:numRef>
              <c:f>'ohrožení příjmovou chudobou'!$S$15:$AG$15</c:f>
              <c:numCache>
                <c:formatCode>#,##0.0</c:formatCode>
                <c:ptCount val="15"/>
                <c:pt idx="0">
                  <c:v>8.1999999999999993</c:v>
                </c:pt>
                <c:pt idx="1">
                  <c:v>8.3000000000000007</c:v>
                </c:pt>
                <c:pt idx="2">
                  <c:v>7.2</c:v>
                </c:pt>
                <c:pt idx="3">
                  <c:v>9</c:v>
                </c:pt>
                <c:pt idx="4">
                  <c:v>8.5</c:v>
                </c:pt>
                <c:pt idx="5">
                  <c:v>9.6</c:v>
                </c:pt>
                <c:pt idx="6">
                  <c:v>10</c:v>
                </c:pt>
                <c:pt idx="7">
                  <c:v>9.1</c:v>
                </c:pt>
                <c:pt idx="8">
                  <c:v>6.6</c:v>
                </c:pt>
                <c:pt idx="9">
                  <c:v>8.1</c:v>
                </c:pt>
                <c:pt idx="10">
                  <c:v>9.1</c:v>
                </c:pt>
                <c:pt idx="11">
                  <c:v>7.5</c:v>
                </c:pt>
                <c:pt idx="12" formatCode="0.0">
                  <c:v>8.4</c:v>
                </c:pt>
                <c:pt idx="13" formatCode="0.0">
                  <c:v>8.6999999999999993</c:v>
                </c:pt>
                <c:pt idx="14" formatCode="0.0">
                  <c:v>9.9</c:v>
                </c:pt>
              </c:numCache>
            </c:numRef>
          </c:val>
          <c:smooth val="0"/>
          <c:extLst>
            <c:ext xmlns:c16="http://schemas.microsoft.com/office/drawing/2014/chart" uri="{C3380CC4-5D6E-409C-BE32-E72D297353CC}">
              <c16:uniqueId val="{00000005-EB11-4C6D-BBCB-ADFCA9D90AC6}"/>
            </c:ext>
          </c:extLst>
        </c:ser>
        <c:ser>
          <c:idx val="6"/>
          <c:order val="6"/>
          <c:tx>
            <c:strRef>
              <c:f>'ohrožení příjmovou chudobou'!$R$16</c:f>
              <c:strCache>
                <c:ptCount val="1"/>
                <c:pt idx="0">
                  <c:v>Strední Morava</c:v>
                </c:pt>
              </c:strCache>
            </c:strRef>
          </c:tx>
          <c:spPr>
            <a:ln w="19050" cap="rnd">
              <a:solidFill>
                <a:schemeClr val="accent1">
                  <a:lumMod val="60000"/>
                </a:schemeClr>
              </a:solidFill>
              <a:round/>
            </a:ln>
            <a:effectLst/>
          </c:spPr>
          <c:marker>
            <c:symbol val="none"/>
          </c:marker>
          <c:cat>
            <c:strRef>
              <c:f>'ohrožení příjmovou chudobou'!$S$9:$AG$9</c:f>
              <c:strCache>
                <c:ptCount val="15"/>
                <c:pt idx="0">
                  <c:v>2005</c:v>
                </c:pt>
                <c:pt idx="1">
                  <c:v>2006</c:v>
                </c:pt>
                <c:pt idx="2">
                  <c:v>2007</c:v>
                </c:pt>
                <c:pt idx="3">
                  <c:v>2008</c:v>
                </c:pt>
                <c:pt idx="4">
                  <c:v>2009</c:v>
                </c:pt>
                <c:pt idx="5">
                  <c:v>2010</c:v>
                </c:pt>
                <c:pt idx="6">
                  <c:v>2011</c:v>
                </c:pt>
                <c:pt idx="7">
                  <c:v>2012</c:v>
                </c:pt>
                <c:pt idx="8">
                  <c:v>2013</c:v>
                </c:pt>
                <c:pt idx="9">
                  <c:v>2014</c:v>
                </c:pt>
                <c:pt idx="10">
                  <c:v>2015</c:v>
                </c:pt>
                <c:pt idx="11">
                  <c:v>2016</c:v>
                </c:pt>
                <c:pt idx="12">
                  <c:v>2017</c:v>
                </c:pt>
                <c:pt idx="13">
                  <c:v>2018</c:v>
                </c:pt>
                <c:pt idx="14">
                  <c:v>2019</c:v>
                </c:pt>
              </c:strCache>
            </c:strRef>
          </c:cat>
          <c:val>
            <c:numRef>
              <c:f>'ohrožení příjmovou chudobou'!$S$16:$AG$16</c:f>
              <c:numCache>
                <c:formatCode>#,##0.0</c:formatCode>
                <c:ptCount val="15"/>
                <c:pt idx="0">
                  <c:v>12.8</c:v>
                </c:pt>
                <c:pt idx="1">
                  <c:v>11.2</c:v>
                </c:pt>
                <c:pt idx="2">
                  <c:v>11.1</c:v>
                </c:pt>
                <c:pt idx="3">
                  <c:v>10.8</c:v>
                </c:pt>
                <c:pt idx="4">
                  <c:v>11</c:v>
                </c:pt>
                <c:pt idx="5">
                  <c:v>10.1</c:v>
                </c:pt>
                <c:pt idx="6">
                  <c:v>11.3</c:v>
                </c:pt>
                <c:pt idx="7">
                  <c:v>11</c:v>
                </c:pt>
                <c:pt idx="8">
                  <c:v>10.3</c:v>
                </c:pt>
                <c:pt idx="9">
                  <c:v>12.1</c:v>
                </c:pt>
                <c:pt idx="10">
                  <c:v>11.5</c:v>
                </c:pt>
                <c:pt idx="11">
                  <c:v>10.199999999999999</c:v>
                </c:pt>
                <c:pt idx="12" formatCode="0.0">
                  <c:v>9.3000000000000007</c:v>
                </c:pt>
                <c:pt idx="13" formatCode="0.0">
                  <c:v>11.1</c:v>
                </c:pt>
                <c:pt idx="14" formatCode="0.0">
                  <c:v>11.6</c:v>
                </c:pt>
              </c:numCache>
            </c:numRef>
          </c:val>
          <c:smooth val="0"/>
          <c:extLst>
            <c:ext xmlns:c16="http://schemas.microsoft.com/office/drawing/2014/chart" uri="{C3380CC4-5D6E-409C-BE32-E72D297353CC}">
              <c16:uniqueId val="{00000006-EB11-4C6D-BBCB-ADFCA9D90AC6}"/>
            </c:ext>
          </c:extLst>
        </c:ser>
        <c:ser>
          <c:idx val="7"/>
          <c:order val="7"/>
          <c:tx>
            <c:strRef>
              <c:f>'ohrožení příjmovou chudobou'!$R$17</c:f>
              <c:strCache>
                <c:ptCount val="1"/>
                <c:pt idx="0">
                  <c:v>Moravskoslezsko</c:v>
                </c:pt>
              </c:strCache>
            </c:strRef>
          </c:tx>
          <c:spPr>
            <a:ln w="19050" cap="rnd">
              <a:solidFill>
                <a:schemeClr val="accent2">
                  <a:lumMod val="60000"/>
                </a:schemeClr>
              </a:solidFill>
              <a:round/>
            </a:ln>
            <a:effectLst/>
          </c:spPr>
          <c:marker>
            <c:symbol val="none"/>
          </c:marker>
          <c:cat>
            <c:strRef>
              <c:f>'ohrožení příjmovou chudobou'!$S$9:$AG$9</c:f>
              <c:strCache>
                <c:ptCount val="15"/>
                <c:pt idx="0">
                  <c:v>2005</c:v>
                </c:pt>
                <c:pt idx="1">
                  <c:v>2006</c:v>
                </c:pt>
                <c:pt idx="2">
                  <c:v>2007</c:v>
                </c:pt>
                <c:pt idx="3">
                  <c:v>2008</c:v>
                </c:pt>
                <c:pt idx="4">
                  <c:v>2009</c:v>
                </c:pt>
                <c:pt idx="5">
                  <c:v>2010</c:v>
                </c:pt>
                <c:pt idx="6">
                  <c:v>2011</c:v>
                </c:pt>
                <c:pt idx="7">
                  <c:v>2012</c:v>
                </c:pt>
                <c:pt idx="8">
                  <c:v>2013</c:v>
                </c:pt>
                <c:pt idx="9">
                  <c:v>2014</c:v>
                </c:pt>
                <c:pt idx="10">
                  <c:v>2015</c:v>
                </c:pt>
                <c:pt idx="11">
                  <c:v>2016</c:v>
                </c:pt>
                <c:pt idx="12">
                  <c:v>2017</c:v>
                </c:pt>
                <c:pt idx="13">
                  <c:v>2018</c:v>
                </c:pt>
                <c:pt idx="14">
                  <c:v>2019</c:v>
                </c:pt>
              </c:strCache>
            </c:strRef>
          </c:cat>
          <c:val>
            <c:numRef>
              <c:f>'ohrožení příjmovou chudobou'!$S$17:$AG$17</c:f>
              <c:numCache>
                <c:formatCode>#,##0.0</c:formatCode>
                <c:ptCount val="15"/>
                <c:pt idx="0">
                  <c:v>16.3</c:v>
                </c:pt>
                <c:pt idx="1">
                  <c:v>15.5</c:v>
                </c:pt>
                <c:pt idx="2">
                  <c:v>15.7</c:v>
                </c:pt>
                <c:pt idx="3">
                  <c:v>14.1</c:v>
                </c:pt>
                <c:pt idx="4">
                  <c:v>12.1</c:v>
                </c:pt>
                <c:pt idx="5">
                  <c:v>11.9</c:v>
                </c:pt>
                <c:pt idx="6">
                  <c:v>15.1</c:v>
                </c:pt>
                <c:pt idx="7">
                  <c:v>14.7</c:v>
                </c:pt>
                <c:pt idx="8">
                  <c:v>15.3</c:v>
                </c:pt>
                <c:pt idx="9">
                  <c:v>16</c:v>
                </c:pt>
                <c:pt idx="10">
                  <c:v>16.899999999999999</c:v>
                </c:pt>
                <c:pt idx="11">
                  <c:v>17.399999999999999</c:v>
                </c:pt>
                <c:pt idx="12" formatCode="0.0">
                  <c:v>14.1</c:v>
                </c:pt>
                <c:pt idx="13" formatCode="0.0">
                  <c:v>13.1</c:v>
                </c:pt>
                <c:pt idx="14" formatCode="0.0">
                  <c:v>13</c:v>
                </c:pt>
              </c:numCache>
            </c:numRef>
          </c:val>
          <c:smooth val="0"/>
          <c:extLst>
            <c:ext xmlns:c16="http://schemas.microsoft.com/office/drawing/2014/chart" uri="{C3380CC4-5D6E-409C-BE32-E72D297353CC}">
              <c16:uniqueId val="{00000007-EB11-4C6D-BBCB-ADFCA9D90AC6}"/>
            </c:ext>
          </c:extLst>
        </c:ser>
        <c:dLbls>
          <c:showLegendKey val="0"/>
          <c:showVal val="0"/>
          <c:showCatName val="0"/>
          <c:showSerName val="0"/>
          <c:showPercent val="0"/>
          <c:showBubbleSize val="0"/>
        </c:dLbls>
        <c:smooth val="0"/>
        <c:axId val="431080536"/>
        <c:axId val="1"/>
      </c:lineChart>
      <c:catAx>
        <c:axId val="431080536"/>
        <c:scaling>
          <c:orientation val="minMax"/>
        </c:scaling>
        <c:delete val="0"/>
        <c:axPos val="b"/>
        <c:title>
          <c:tx>
            <c:rich>
              <a:bodyPr/>
              <a:lstStyle/>
              <a:p>
                <a:pPr>
                  <a:defRPr sz="800" b="0" i="0" u="none" strike="noStrike" baseline="0">
                    <a:solidFill>
                      <a:srgbClr val="333333"/>
                    </a:solidFill>
                    <a:latin typeface="Calibri"/>
                    <a:ea typeface="Calibri"/>
                    <a:cs typeface="Calibri"/>
                  </a:defRPr>
                </a:pPr>
                <a:r>
                  <a:rPr lang="cs-CZ" sz="800"/>
                  <a:t>Rok</a:t>
                </a:r>
              </a:p>
            </c:rich>
          </c:tx>
          <c:layout>
            <c:manualLayout>
              <c:xMode val="edge"/>
              <c:yMode val="edge"/>
              <c:x val="0.42093904928550596"/>
              <c:y val="0.93201044276922107"/>
            </c:manualLayout>
          </c:layout>
          <c:overlay val="0"/>
          <c:spPr>
            <a:noFill/>
            <a:ln w="25400">
              <a:noFill/>
            </a:ln>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0" vert="horz"/>
          <a:lstStyle/>
          <a:p>
            <a:pPr>
              <a:defRPr sz="800" b="0" i="0" u="none" strike="noStrike" baseline="0">
                <a:solidFill>
                  <a:srgbClr val="333333"/>
                </a:solidFill>
                <a:latin typeface="Calibri"/>
                <a:ea typeface="Calibri"/>
                <a:cs typeface="Calibri"/>
              </a:defRPr>
            </a:pPr>
            <a:endParaRPr lang="cs-CZ"/>
          </a:p>
        </c:txPr>
        <c:crossAx val="1"/>
        <c:crosses val="autoZero"/>
        <c:auto val="1"/>
        <c:lblAlgn val="ctr"/>
        <c:lblOffset val="100"/>
        <c:noMultiLvlLbl val="0"/>
      </c:catAx>
      <c:valAx>
        <c:axId val="1"/>
        <c:scaling>
          <c:orientation val="minMax"/>
        </c:scaling>
        <c:delete val="0"/>
        <c:axPos val="l"/>
        <c:majorGridlines>
          <c:spPr>
            <a:ln w="9525" cap="flat" cmpd="sng" algn="ctr">
              <a:solidFill>
                <a:schemeClr val="tx1">
                  <a:lumMod val="15000"/>
                  <a:lumOff val="85000"/>
                </a:schemeClr>
              </a:solidFill>
              <a:round/>
            </a:ln>
            <a:effectLst/>
          </c:spPr>
        </c:majorGridlines>
        <c:title>
          <c:tx>
            <c:rich>
              <a:bodyPr/>
              <a:lstStyle/>
              <a:p>
                <a:pPr>
                  <a:defRPr sz="800" b="0" i="0" u="none" strike="noStrike" baseline="0">
                    <a:solidFill>
                      <a:srgbClr val="333333"/>
                    </a:solidFill>
                    <a:latin typeface="Calibri"/>
                    <a:ea typeface="Calibri"/>
                    <a:cs typeface="Calibri"/>
                  </a:defRPr>
                </a:pPr>
                <a:r>
                  <a:rPr lang="cs-CZ" sz="800"/>
                  <a:t>Podíl osob pod hranicí chudoby (%)</a:t>
                </a:r>
              </a:p>
            </c:rich>
          </c:tx>
          <c:layout>
            <c:manualLayout>
              <c:xMode val="edge"/>
              <c:yMode val="edge"/>
              <c:x val="5.6347123276257131E-3"/>
              <c:y val="0.20608375445606614"/>
            </c:manualLayout>
          </c:layout>
          <c:overlay val="0"/>
          <c:spPr>
            <a:noFill/>
            <a:ln w="25400">
              <a:noFill/>
            </a:ln>
          </c:spPr>
        </c:title>
        <c:numFmt formatCode="#,##0.0" sourceLinked="1"/>
        <c:majorTickMark val="none"/>
        <c:minorTickMark val="none"/>
        <c:tickLblPos val="nextTo"/>
        <c:spPr>
          <a:ln w="6350">
            <a:solidFill>
              <a:schemeClr val="bg1">
                <a:lumMod val="85000"/>
              </a:schemeClr>
            </a:solidFill>
          </a:ln>
        </c:spPr>
        <c:txPr>
          <a:bodyPr rot="0" vert="horz"/>
          <a:lstStyle/>
          <a:p>
            <a:pPr>
              <a:defRPr sz="800" b="0" i="0" u="none" strike="noStrike" baseline="0">
                <a:solidFill>
                  <a:srgbClr val="333333"/>
                </a:solidFill>
                <a:latin typeface="Calibri"/>
                <a:ea typeface="Calibri"/>
                <a:cs typeface="Calibri"/>
              </a:defRPr>
            </a:pPr>
            <a:endParaRPr lang="cs-CZ"/>
          </a:p>
        </c:txPr>
        <c:crossAx val="431080536"/>
        <c:crosses val="autoZero"/>
        <c:crossBetween val="between"/>
      </c:valAx>
      <c:spPr>
        <a:noFill/>
        <a:ln w="25400">
          <a:noFill/>
        </a:ln>
      </c:spPr>
    </c:plotArea>
    <c:legend>
      <c:legendPos val="r"/>
      <c:layout>
        <c:manualLayout>
          <c:xMode val="edge"/>
          <c:yMode val="edge"/>
          <c:x val="0.81840794206279766"/>
          <c:y val="0.16620862472084466"/>
          <c:w val="0.17938747239928343"/>
          <c:h val="0.66758233116998855"/>
        </c:manualLayout>
      </c:layout>
      <c:overlay val="0"/>
      <c:spPr>
        <a:noFill/>
        <a:ln w="25400">
          <a:noFill/>
        </a:ln>
      </c:spPr>
      <c:txPr>
        <a:bodyPr/>
        <a:lstStyle/>
        <a:p>
          <a:pPr>
            <a:defRPr sz="800" b="0" i="0" u="none" strike="noStrike" baseline="0">
              <a:solidFill>
                <a:srgbClr val="333333"/>
              </a:solidFill>
              <a:latin typeface="Calibri"/>
              <a:ea typeface="Calibri"/>
              <a:cs typeface="Calibri"/>
            </a:defRPr>
          </a:pPr>
          <a:endParaRPr lang="cs-CZ"/>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1000" b="0" i="0" u="none" strike="noStrike" baseline="0">
          <a:solidFill>
            <a:srgbClr val="000000"/>
          </a:solidFill>
          <a:latin typeface="Calibri"/>
          <a:ea typeface="Calibri"/>
          <a:cs typeface="Calibri"/>
        </a:defRPr>
      </a:pPr>
      <a:endParaRPr lang="cs-CZ"/>
    </a:p>
  </c:txPr>
  <c:externalData r:id="rId1">
    <c:autoUpdate val="0"/>
  </c:externalData>
</c:chartSpace>
</file>

<file path=word/charts/chart3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'míra materiální deprivace'!$A$22</c:f>
              <c:strCache>
                <c:ptCount val="1"/>
                <c:pt idx="0">
                  <c:v>Czech Republic</c:v>
                </c:pt>
              </c:strCache>
            </c:strRef>
          </c:tx>
          <c:spPr>
            <a:solidFill>
              <a:schemeClr val="accent1"/>
            </a:solidFill>
            <a:ln w="25400">
              <a:noFill/>
            </a:ln>
          </c:spPr>
          <c:invertIfNegative val="0"/>
          <c:dLbls>
            <c:spPr>
              <a:noFill/>
              <a:ln w="25400">
                <a:noFill/>
              </a:ln>
            </c:spPr>
            <c:txPr>
              <a:bodyPr wrap="square" lIns="38100" tIns="19050" rIns="38100" bIns="19050" anchor="ctr">
                <a:spAutoFit/>
              </a:bodyPr>
              <a:lstStyle/>
              <a:p>
                <a:pPr>
                  <a:defRPr sz="800" b="0" i="0" u="none" strike="noStrike" baseline="0">
                    <a:solidFill>
                      <a:srgbClr val="333333"/>
                    </a:solidFill>
                    <a:latin typeface="Calibri"/>
                    <a:ea typeface="Calibri"/>
                    <a:cs typeface="Calibri"/>
                  </a:defRPr>
                </a:pPr>
                <a:endParaRPr lang="cs-CZ"/>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'míra materiální deprivace'!$B$21:$Q$21</c:f>
              <c:strCache>
                <c:ptCount val="16"/>
                <c:pt idx="0">
                  <c:v>2005</c:v>
                </c:pt>
                <c:pt idx="1">
                  <c:v>2006</c:v>
                </c:pt>
                <c:pt idx="2">
                  <c:v>2007</c:v>
                </c:pt>
                <c:pt idx="3">
                  <c:v>2008</c:v>
                </c:pt>
                <c:pt idx="4">
                  <c:v>2009</c:v>
                </c:pt>
                <c:pt idx="5">
                  <c:v>2010</c:v>
                </c:pt>
                <c:pt idx="6">
                  <c:v>2011</c:v>
                </c:pt>
                <c:pt idx="7">
                  <c:v>2012</c:v>
                </c:pt>
                <c:pt idx="8">
                  <c:v>2013</c:v>
                </c:pt>
                <c:pt idx="9">
                  <c:v>2014</c:v>
                </c:pt>
                <c:pt idx="10">
                  <c:v>2015</c:v>
                </c:pt>
                <c:pt idx="11">
                  <c:v>2016</c:v>
                </c:pt>
                <c:pt idx="12">
                  <c:v>2017</c:v>
                </c:pt>
                <c:pt idx="13">
                  <c:v>2018</c:v>
                </c:pt>
                <c:pt idx="14">
                  <c:v>2019</c:v>
                </c:pt>
                <c:pt idx="15">
                  <c:v>2020</c:v>
                </c:pt>
              </c:strCache>
            </c:strRef>
          </c:cat>
          <c:val>
            <c:numRef>
              <c:f>'míra materiální deprivace'!$B$22:$Q$22</c:f>
              <c:numCache>
                <c:formatCode>#\ ##0.0</c:formatCode>
                <c:ptCount val="16"/>
                <c:pt idx="0">
                  <c:v>11.8</c:v>
                </c:pt>
                <c:pt idx="1">
                  <c:v>9.6</c:v>
                </c:pt>
                <c:pt idx="2">
                  <c:v>7.4</c:v>
                </c:pt>
                <c:pt idx="3">
                  <c:v>6.8</c:v>
                </c:pt>
                <c:pt idx="4">
                  <c:v>6.1</c:v>
                </c:pt>
                <c:pt idx="5">
                  <c:v>6.2</c:v>
                </c:pt>
                <c:pt idx="6">
                  <c:v>6.1</c:v>
                </c:pt>
                <c:pt idx="7">
                  <c:v>6.6</c:v>
                </c:pt>
                <c:pt idx="8">
                  <c:v>6.6</c:v>
                </c:pt>
                <c:pt idx="9">
                  <c:v>6.7</c:v>
                </c:pt>
                <c:pt idx="10">
                  <c:v>5.6</c:v>
                </c:pt>
                <c:pt idx="11">
                  <c:v>4.8</c:v>
                </c:pt>
                <c:pt idx="12">
                  <c:v>3.7</c:v>
                </c:pt>
                <c:pt idx="13" formatCode="General">
                  <c:v>2.8</c:v>
                </c:pt>
                <c:pt idx="14" formatCode="General">
                  <c:v>2.7</c:v>
                </c:pt>
                <c:pt idx="15" formatCode="General">
                  <c:v>2.4</c:v>
                </c:pt>
              </c:numCache>
            </c:numRef>
          </c:val>
          <c:extLst>
            <c:ext xmlns:c16="http://schemas.microsoft.com/office/drawing/2014/chart" uri="{C3380CC4-5D6E-409C-BE32-E72D297353CC}">
              <c16:uniqueId val="{00000000-B219-4DB0-9A10-652CCB02299F}"/>
            </c:ext>
          </c:extLst>
        </c:ser>
        <c:dLbls>
          <c:showLegendKey val="0"/>
          <c:showVal val="0"/>
          <c:showCatName val="0"/>
          <c:showSerName val="0"/>
          <c:showPercent val="0"/>
          <c:showBubbleSize val="0"/>
        </c:dLbls>
        <c:gapWidth val="219"/>
        <c:overlap val="-27"/>
        <c:axId val="19486207"/>
        <c:axId val="1"/>
      </c:barChart>
      <c:catAx>
        <c:axId val="19486207"/>
        <c:scaling>
          <c:orientation val="minMax"/>
        </c:scaling>
        <c:delete val="0"/>
        <c:axPos val="b"/>
        <c:title>
          <c:tx>
            <c:rich>
              <a:bodyPr/>
              <a:lstStyle/>
              <a:p>
                <a:pPr>
                  <a:defRPr sz="1000" b="0" i="0" u="none" strike="noStrike" baseline="0">
                    <a:solidFill>
                      <a:srgbClr val="333333"/>
                    </a:solidFill>
                    <a:latin typeface="Calibri"/>
                    <a:ea typeface="Calibri"/>
                    <a:cs typeface="Calibri"/>
                  </a:defRPr>
                </a:pPr>
                <a:r>
                  <a:rPr lang="cs-CZ"/>
                  <a:t>Rok</a:t>
                </a:r>
              </a:p>
            </c:rich>
          </c:tx>
          <c:overlay val="0"/>
          <c:spPr>
            <a:noFill/>
            <a:ln w="25400">
              <a:noFill/>
            </a:ln>
          </c:spPr>
        </c:title>
        <c:numFmt formatCode="General" sourceLinked="1"/>
        <c:majorTickMark val="out"/>
        <c:minorTickMark val="none"/>
        <c:tickLblPos val="nextTo"/>
        <c:spPr>
          <a:noFill/>
          <a:ln w="9525" cap="flat" cmpd="sng" algn="ctr">
            <a:solidFill>
              <a:schemeClr val="tx1">
                <a:lumMod val="15000"/>
                <a:lumOff val="85000"/>
              </a:schemeClr>
            </a:solidFill>
            <a:round/>
          </a:ln>
          <a:effectLst/>
        </c:spPr>
        <c:txPr>
          <a:bodyPr rot="0" vert="horz"/>
          <a:lstStyle/>
          <a:p>
            <a:pPr>
              <a:defRPr sz="800" b="0" i="0" u="none" strike="noStrike" baseline="0">
                <a:solidFill>
                  <a:srgbClr val="333333"/>
                </a:solidFill>
                <a:latin typeface="Calibri"/>
                <a:ea typeface="Calibri"/>
                <a:cs typeface="Calibri"/>
              </a:defRPr>
            </a:pPr>
            <a:endParaRPr lang="cs-CZ"/>
          </a:p>
        </c:txPr>
        <c:crossAx val="1"/>
        <c:crosses val="autoZero"/>
        <c:auto val="1"/>
        <c:lblAlgn val="ctr"/>
        <c:lblOffset val="100"/>
        <c:noMultiLvlLbl val="0"/>
      </c:catAx>
      <c:valAx>
        <c:axId val="1"/>
        <c:scaling>
          <c:orientation val="minMax"/>
        </c:scaling>
        <c:delete val="0"/>
        <c:axPos val="l"/>
        <c:title>
          <c:tx>
            <c:rich>
              <a:bodyPr/>
              <a:lstStyle/>
              <a:p>
                <a:pPr>
                  <a:defRPr sz="800" b="0" i="0" u="none" strike="noStrike" baseline="0">
                    <a:solidFill>
                      <a:srgbClr val="333333"/>
                    </a:solidFill>
                    <a:latin typeface="Calibri"/>
                    <a:ea typeface="Calibri"/>
                    <a:cs typeface="Calibri"/>
                  </a:defRPr>
                </a:pPr>
                <a:r>
                  <a:rPr lang="cs-CZ" sz="800"/>
                  <a:t>Míra materální deprivace (v %)</a:t>
                </a:r>
              </a:p>
            </c:rich>
          </c:tx>
          <c:layout>
            <c:manualLayout>
              <c:xMode val="edge"/>
              <c:yMode val="edge"/>
              <c:x val="1.3227513227513227E-2"/>
              <c:y val="0.16991094345251043"/>
            </c:manualLayout>
          </c:layout>
          <c:overlay val="0"/>
          <c:spPr>
            <a:noFill/>
            <a:ln w="25400">
              <a:noFill/>
            </a:ln>
          </c:spPr>
        </c:title>
        <c:numFmt formatCode="#\ ##0.0" sourceLinked="1"/>
        <c:majorTickMark val="out"/>
        <c:minorTickMark val="none"/>
        <c:tickLblPos val="nextTo"/>
        <c:spPr>
          <a:ln w="6350">
            <a:solidFill>
              <a:schemeClr val="tx1">
                <a:lumMod val="15000"/>
                <a:lumOff val="85000"/>
              </a:schemeClr>
            </a:solidFill>
          </a:ln>
        </c:spPr>
        <c:txPr>
          <a:bodyPr rot="0" vert="horz"/>
          <a:lstStyle/>
          <a:p>
            <a:pPr>
              <a:defRPr sz="800" b="0" i="0" u="none" strike="noStrike" baseline="0">
                <a:solidFill>
                  <a:srgbClr val="333333"/>
                </a:solidFill>
                <a:latin typeface="Calibri"/>
                <a:ea typeface="Calibri"/>
                <a:cs typeface="Calibri"/>
              </a:defRPr>
            </a:pPr>
            <a:endParaRPr lang="cs-CZ"/>
          </a:p>
        </c:txPr>
        <c:crossAx val="19486207"/>
        <c:crosses val="autoZero"/>
        <c:crossBetween val="between"/>
      </c:valAx>
      <c:spPr>
        <a:noFill/>
        <a:ln w="25400">
          <a:noFill/>
        </a:ln>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1000" b="0" i="0" u="none" strike="noStrike" baseline="0">
          <a:solidFill>
            <a:srgbClr val="000000"/>
          </a:solidFill>
          <a:latin typeface="Calibri"/>
          <a:ea typeface="Calibri"/>
          <a:cs typeface="Calibri"/>
        </a:defRPr>
      </a:pPr>
      <a:endParaRPr lang="cs-CZ"/>
    </a:p>
  </c:txPr>
  <c:externalData r:id="rId1">
    <c:autoUpdate val="0"/>
  </c:externalData>
  <c:userShapes r:id="rId2"/>
</c:chartSpace>
</file>

<file path=word/charts/chart3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9.2253225291283034E-2"/>
          <c:y val="6.0120240480961921E-2"/>
          <c:w val="0.73083920065547359"/>
          <c:h val="0.83925141621826327"/>
        </c:manualLayout>
      </c:layout>
      <c:lineChart>
        <c:grouping val="standard"/>
        <c:varyColors val="0"/>
        <c:ser>
          <c:idx val="0"/>
          <c:order val="0"/>
          <c:tx>
            <c:strRef>
              <c:f>'míra materiální deprivace'!$R$10</c:f>
              <c:strCache>
                <c:ptCount val="1"/>
                <c:pt idx="0">
                  <c:v>Praha</c:v>
                </c:pt>
              </c:strCache>
            </c:strRef>
          </c:tx>
          <c:spPr>
            <a:ln w="19050" cap="rnd">
              <a:solidFill>
                <a:schemeClr val="accent1"/>
              </a:solidFill>
              <a:round/>
            </a:ln>
            <a:effectLst/>
          </c:spPr>
          <c:marker>
            <c:symbol val="none"/>
          </c:marker>
          <c:cat>
            <c:strRef>
              <c:f>'míra materiální deprivace'!$S$9:$AG$9</c:f>
              <c:strCache>
                <c:ptCount val="15"/>
                <c:pt idx="0">
                  <c:v>2005</c:v>
                </c:pt>
                <c:pt idx="1">
                  <c:v>2006</c:v>
                </c:pt>
                <c:pt idx="2">
                  <c:v>2007</c:v>
                </c:pt>
                <c:pt idx="3">
                  <c:v>2008</c:v>
                </c:pt>
                <c:pt idx="4">
                  <c:v>2009</c:v>
                </c:pt>
                <c:pt idx="5">
                  <c:v>2010</c:v>
                </c:pt>
                <c:pt idx="6">
                  <c:v>2011</c:v>
                </c:pt>
                <c:pt idx="7">
                  <c:v>2012</c:v>
                </c:pt>
                <c:pt idx="8">
                  <c:v>2013</c:v>
                </c:pt>
                <c:pt idx="9">
                  <c:v>2014</c:v>
                </c:pt>
                <c:pt idx="10">
                  <c:v>2015</c:v>
                </c:pt>
                <c:pt idx="11">
                  <c:v>2016</c:v>
                </c:pt>
                <c:pt idx="12">
                  <c:v>2017</c:v>
                </c:pt>
                <c:pt idx="13">
                  <c:v>2018</c:v>
                </c:pt>
                <c:pt idx="14">
                  <c:v>2019</c:v>
                </c:pt>
              </c:strCache>
            </c:strRef>
          </c:cat>
          <c:val>
            <c:numRef>
              <c:f>'míra materiální deprivace'!$S$10:$AG$10</c:f>
              <c:numCache>
                <c:formatCode>#,##0.0</c:formatCode>
                <c:ptCount val="15"/>
                <c:pt idx="0">
                  <c:v>9</c:v>
                </c:pt>
                <c:pt idx="1">
                  <c:v>7.1</c:v>
                </c:pt>
                <c:pt idx="2">
                  <c:v>4.0999999999999996</c:v>
                </c:pt>
                <c:pt idx="3">
                  <c:v>4.5</c:v>
                </c:pt>
                <c:pt idx="4">
                  <c:v>4.5999999999999996</c:v>
                </c:pt>
                <c:pt idx="5">
                  <c:v>4.2</c:v>
                </c:pt>
                <c:pt idx="6">
                  <c:v>3.7</c:v>
                </c:pt>
                <c:pt idx="7">
                  <c:v>6</c:v>
                </c:pt>
                <c:pt idx="8">
                  <c:v>5.0999999999999996</c:v>
                </c:pt>
                <c:pt idx="9">
                  <c:v>5.9</c:v>
                </c:pt>
                <c:pt idx="10">
                  <c:v>5.0999999999999996</c:v>
                </c:pt>
                <c:pt idx="11">
                  <c:v>3.9</c:v>
                </c:pt>
                <c:pt idx="12" formatCode="General">
                  <c:v>3.8</c:v>
                </c:pt>
                <c:pt idx="13" formatCode="General">
                  <c:v>2.8</c:v>
                </c:pt>
                <c:pt idx="14" formatCode="General">
                  <c:v>1.7</c:v>
                </c:pt>
              </c:numCache>
            </c:numRef>
          </c:val>
          <c:smooth val="0"/>
          <c:extLst>
            <c:ext xmlns:c16="http://schemas.microsoft.com/office/drawing/2014/chart" uri="{C3380CC4-5D6E-409C-BE32-E72D297353CC}">
              <c16:uniqueId val="{00000000-D78B-4669-A2C2-D083B6F52B5A}"/>
            </c:ext>
          </c:extLst>
        </c:ser>
        <c:ser>
          <c:idx val="1"/>
          <c:order val="1"/>
          <c:tx>
            <c:strRef>
              <c:f>'míra materiální deprivace'!$R$11</c:f>
              <c:strCache>
                <c:ptCount val="1"/>
                <c:pt idx="0">
                  <c:v>Strední Cechy</c:v>
                </c:pt>
              </c:strCache>
            </c:strRef>
          </c:tx>
          <c:spPr>
            <a:ln w="19050" cap="rnd">
              <a:solidFill>
                <a:schemeClr val="accent2"/>
              </a:solidFill>
              <a:round/>
            </a:ln>
            <a:effectLst/>
          </c:spPr>
          <c:marker>
            <c:symbol val="none"/>
          </c:marker>
          <c:cat>
            <c:strRef>
              <c:f>'míra materiální deprivace'!$S$9:$AG$9</c:f>
              <c:strCache>
                <c:ptCount val="15"/>
                <c:pt idx="0">
                  <c:v>2005</c:v>
                </c:pt>
                <c:pt idx="1">
                  <c:v>2006</c:v>
                </c:pt>
                <c:pt idx="2">
                  <c:v>2007</c:v>
                </c:pt>
                <c:pt idx="3">
                  <c:v>2008</c:v>
                </c:pt>
                <c:pt idx="4">
                  <c:v>2009</c:v>
                </c:pt>
                <c:pt idx="5">
                  <c:v>2010</c:v>
                </c:pt>
                <c:pt idx="6">
                  <c:v>2011</c:v>
                </c:pt>
                <c:pt idx="7">
                  <c:v>2012</c:v>
                </c:pt>
                <c:pt idx="8">
                  <c:v>2013</c:v>
                </c:pt>
                <c:pt idx="9">
                  <c:v>2014</c:v>
                </c:pt>
                <c:pt idx="10">
                  <c:v>2015</c:v>
                </c:pt>
                <c:pt idx="11">
                  <c:v>2016</c:v>
                </c:pt>
                <c:pt idx="12">
                  <c:v>2017</c:v>
                </c:pt>
                <c:pt idx="13">
                  <c:v>2018</c:v>
                </c:pt>
                <c:pt idx="14">
                  <c:v>2019</c:v>
                </c:pt>
              </c:strCache>
            </c:strRef>
          </c:cat>
          <c:val>
            <c:numRef>
              <c:f>'míra materiální deprivace'!$S$11:$AG$11</c:f>
              <c:numCache>
                <c:formatCode>#,##0.0</c:formatCode>
                <c:ptCount val="15"/>
                <c:pt idx="0">
                  <c:v>8.1</c:v>
                </c:pt>
                <c:pt idx="1">
                  <c:v>11.7</c:v>
                </c:pt>
                <c:pt idx="2">
                  <c:v>6.6</c:v>
                </c:pt>
                <c:pt idx="3">
                  <c:v>4.7</c:v>
                </c:pt>
                <c:pt idx="4">
                  <c:v>3.8</c:v>
                </c:pt>
                <c:pt idx="5">
                  <c:v>4.9000000000000004</c:v>
                </c:pt>
                <c:pt idx="6">
                  <c:v>2.9</c:v>
                </c:pt>
                <c:pt idx="7">
                  <c:v>4.8</c:v>
                </c:pt>
                <c:pt idx="8">
                  <c:v>4.3</c:v>
                </c:pt>
                <c:pt idx="9">
                  <c:v>3.7</c:v>
                </c:pt>
                <c:pt idx="10">
                  <c:v>4.0999999999999996</c:v>
                </c:pt>
                <c:pt idx="11">
                  <c:v>3.7</c:v>
                </c:pt>
                <c:pt idx="12" formatCode="General">
                  <c:v>2.6</c:v>
                </c:pt>
                <c:pt idx="13" formatCode="General">
                  <c:v>1.5</c:v>
                </c:pt>
                <c:pt idx="14" formatCode="General">
                  <c:v>1.6</c:v>
                </c:pt>
              </c:numCache>
            </c:numRef>
          </c:val>
          <c:smooth val="0"/>
          <c:extLst>
            <c:ext xmlns:c16="http://schemas.microsoft.com/office/drawing/2014/chart" uri="{C3380CC4-5D6E-409C-BE32-E72D297353CC}">
              <c16:uniqueId val="{00000001-D78B-4669-A2C2-D083B6F52B5A}"/>
            </c:ext>
          </c:extLst>
        </c:ser>
        <c:ser>
          <c:idx val="2"/>
          <c:order val="2"/>
          <c:tx>
            <c:strRef>
              <c:f>'míra materiální deprivace'!$R$12</c:f>
              <c:strCache>
                <c:ptCount val="1"/>
                <c:pt idx="0">
                  <c:v>Jihozápad</c:v>
                </c:pt>
              </c:strCache>
            </c:strRef>
          </c:tx>
          <c:spPr>
            <a:ln w="19050" cap="rnd">
              <a:solidFill>
                <a:schemeClr val="accent3"/>
              </a:solidFill>
              <a:round/>
            </a:ln>
            <a:effectLst/>
          </c:spPr>
          <c:marker>
            <c:symbol val="none"/>
          </c:marker>
          <c:cat>
            <c:strRef>
              <c:f>'míra materiální deprivace'!$S$9:$AG$9</c:f>
              <c:strCache>
                <c:ptCount val="15"/>
                <c:pt idx="0">
                  <c:v>2005</c:v>
                </c:pt>
                <c:pt idx="1">
                  <c:v>2006</c:v>
                </c:pt>
                <c:pt idx="2">
                  <c:v>2007</c:v>
                </c:pt>
                <c:pt idx="3">
                  <c:v>2008</c:v>
                </c:pt>
                <c:pt idx="4">
                  <c:v>2009</c:v>
                </c:pt>
                <c:pt idx="5">
                  <c:v>2010</c:v>
                </c:pt>
                <c:pt idx="6">
                  <c:v>2011</c:v>
                </c:pt>
                <c:pt idx="7">
                  <c:v>2012</c:v>
                </c:pt>
                <c:pt idx="8">
                  <c:v>2013</c:v>
                </c:pt>
                <c:pt idx="9">
                  <c:v>2014</c:v>
                </c:pt>
                <c:pt idx="10">
                  <c:v>2015</c:v>
                </c:pt>
                <c:pt idx="11">
                  <c:v>2016</c:v>
                </c:pt>
                <c:pt idx="12">
                  <c:v>2017</c:v>
                </c:pt>
                <c:pt idx="13">
                  <c:v>2018</c:v>
                </c:pt>
                <c:pt idx="14">
                  <c:v>2019</c:v>
                </c:pt>
              </c:strCache>
            </c:strRef>
          </c:cat>
          <c:val>
            <c:numRef>
              <c:f>'míra materiální deprivace'!$S$12:$AG$12</c:f>
              <c:numCache>
                <c:formatCode>#,##0.0</c:formatCode>
                <c:ptCount val="15"/>
                <c:pt idx="0">
                  <c:v>6.6</c:v>
                </c:pt>
                <c:pt idx="1">
                  <c:v>4.9000000000000004</c:v>
                </c:pt>
                <c:pt idx="2">
                  <c:v>5.4</c:v>
                </c:pt>
                <c:pt idx="3">
                  <c:v>5.3</c:v>
                </c:pt>
                <c:pt idx="4">
                  <c:v>7.7</c:v>
                </c:pt>
                <c:pt idx="5">
                  <c:v>7.2</c:v>
                </c:pt>
                <c:pt idx="6">
                  <c:v>7.6</c:v>
                </c:pt>
                <c:pt idx="7">
                  <c:v>5.5</c:v>
                </c:pt>
                <c:pt idx="8">
                  <c:v>4.5</c:v>
                </c:pt>
                <c:pt idx="9">
                  <c:v>3.4</c:v>
                </c:pt>
                <c:pt idx="10">
                  <c:v>3.8</c:v>
                </c:pt>
                <c:pt idx="11">
                  <c:v>2.2000000000000002</c:v>
                </c:pt>
                <c:pt idx="12" formatCode="General">
                  <c:v>2.4</c:v>
                </c:pt>
                <c:pt idx="13" formatCode="General">
                  <c:v>1.1000000000000001</c:v>
                </c:pt>
                <c:pt idx="14" formatCode="General">
                  <c:v>2</c:v>
                </c:pt>
              </c:numCache>
            </c:numRef>
          </c:val>
          <c:smooth val="0"/>
          <c:extLst>
            <c:ext xmlns:c16="http://schemas.microsoft.com/office/drawing/2014/chart" uri="{C3380CC4-5D6E-409C-BE32-E72D297353CC}">
              <c16:uniqueId val="{00000002-D78B-4669-A2C2-D083B6F52B5A}"/>
            </c:ext>
          </c:extLst>
        </c:ser>
        <c:ser>
          <c:idx val="3"/>
          <c:order val="3"/>
          <c:tx>
            <c:strRef>
              <c:f>'míra materiální deprivace'!$R$13</c:f>
              <c:strCache>
                <c:ptCount val="1"/>
                <c:pt idx="0">
                  <c:v>Severozápad</c:v>
                </c:pt>
              </c:strCache>
            </c:strRef>
          </c:tx>
          <c:spPr>
            <a:ln w="19050" cap="rnd">
              <a:solidFill>
                <a:schemeClr val="accent4"/>
              </a:solidFill>
              <a:round/>
            </a:ln>
            <a:effectLst/>
          </c:spPr>
          <c:marker>
            <c:symbol val="none"/>
          </c:marker>
          <c:cat>
            <c:strRef>
              <c:f>'míra materiální deprivace'!$S$9:$AG$9</c:f>
              <c:strCache>
                <c:ptCount val="15"/>
                <c:pt idx="0">
                  <c:v>2005</c:v>
                </c:pt>
                <c:pt idx="1">
                  <c:v>2006</c:v>
                </c:pt>
                <c:pt idx="2">
                  <c:v>2007</c:v>
                </c:pt>
                <c:pt idx="3">
                  <c:v>2008</c:v>
                </c:pt>
                <c:pt idx="4">
                  <c:v>2009</c:v>
                </c:pt>
                <c:pt idx="5">
                  <c:v>2010</c:v>
                </c:pt>
                <c:pt idx="6">
                  <c:v>2011</c:v>
                </c:pt>
                <c:pt idx="7">
                  <c:v>2012</c:v>
                </c:pt>
                <c:pt idx="8">
                  <c:v>2013</c:v>
                </c:pt>
                <c:pt idx="9">
                  <c:v>2014</c:v>
                </c:pt>
                <c:pt idx="10">
                  <c:v>2015</c:v>
                </c:pt>
                <c:pt idx="11">
                  <c:v>2016</c:v>
                </c:pt>
                <c:pt idx="12">
                  <c:v>2017</c:v>
                </c:pt>
                <c:pt idx="13">
                  <c:v>2018</c:v>
                </c:pt>
                <c:pt idx="14">
                  <c:v>2019</c:v>
                </c:pt>
              </c:strCache>
            </c:strRef>
          </c:cat>
          <c:val>
            <c:numRef>
              <c:f>'míra materiální deprivace'!$S$13:$AG$13</c:f>
              <c:numCache>
                <c:formatCode>#,##0.0</c:formatCode>
                <c:ptCount val="15"/>
                <c:pt idx="0">
                  <c:v>16</c:v>
                </c:pt>
                <c:pt idx="1">
                  <c:v>11.5</c:v>
                </c:pt>
                <c:pt idx="2">
                  <c:v>12.1</c:v>
                </c:pt>
                <c:pt idx="3">
                  <c:v>12.2</c:v>
                </c:pt>
                <c:pt idx="4">
                  <c:v>9.8000000000000007</c:v>
                </c:pt>
                <c:pt idx="5">
                  <c:v>9.3000000000000007</c:v>
                </c:pt>
                <c:pt idx="6">
                  <c:v>9.8000000000000007</c:v>
                </c:pt>
                <c:pt idx="7">
                  <c:v>11.6</c:v>
                </c:pt>
                <c:pt idx="8">
                  <c:v>13.4</c:v>
                </c:pt>
                <c:pt idx="9">
                  <c:v>13.5</c:v>
                </c:pt>
                <c:pt idx="10">
                  <c:v>12.1</c:v>
                </c:pt>
                <c:pt idx="11">
                  <c:v>9.8000000000000007</c:v>
                </c:pt>
                <c:pt idx="12" formatCode="General">
                  <c:v>9.1999999999999993</c:v>
                </c:pt>
                <c:pt idx="13" formatCode="General">
                  <c:v>7.7</c:v>
                </c:pt>
                <c:pt idx="14" formatCode="General">
                  <c:v>7.8</c:v>
                </c:pt>
              </c:numCache>
            </c:numRef>
          </c:val>
          <c:smooth val="0"/>
          <c:extLst>
            <c:ext xmlns:c16="http://schemas.microsoft.com/office/drawing/2014/chart" uri="{C3380CC4-5D6E-409C-BE32-E72D297353CC}">
              <c16:uniqueId val="{00000003-D78B-4669-A2C2-D083B6F52B5A}"/>
            </c:ext>
          </c:extLst>
        </c:ser>
        <c:ser>
          <c:idx val="4"/>
          <c:order val="4"/>
          <c:tx>
            <c:strRef>
              <c:f>'míra materiální deprivace'!$R$14</c:f>
              <c:strCache>
                <c:ptCount val="1"/>
                <c:pt idx="0">
                  <c:v>Severovýchod</c:v>
                </c:pt>
              </c:strCache>
            </c:strRef>
          </c:tx>
          <c:spPr>
            <a:ln w="19050" cap="rnd">
              <a:solidFill>
                <a:schemeClr val="accent5"/>
              </a:solidFill>
              <a:round/>
            </a:ln>
            <a:effectLst/>
          </c:spPr>
          <c:marker>
            <c:symbol val="none"/>
          </c:marker>
          <c:cat>
            <c:strRef>
              <c:f>'míra materiální deprivace'!$S$9:$AG$9</c:f>
              <c:strCache>
                <c:ptCount val="15"/>
                <c:pt idx="0">
                  <c:v>2005</c:v>
                </c:pt>
                <c:pt idx="1">
                  <c:v>2006</c:v>
                </c:pt>
                <c:pt idx="2">
                  <c:v>2007</c:v>
                </c:pt>
                <c:pt idx="3">
                  <c:v>2008</c:v>
                </c:pt>
                <c:pt idx="4">
                  <c:v>2009</c:v>
                </c:pt>
                <c:pt idx="5">
                  <c:v>2010</c:v>
                </c:pt>
                <c:pt idx="6">
                  <c:v>2011</c:v>
                </c:pt>
                <c:pt idx="7">
                  <c:v>2012</c:v>
                </c:pt>
                <c:pt idx="8">
                  <c:v>2013</c:v>
                </c:pt>
                <c:pt idx="9">
                  <c:v>2014</c:v>
                </c:pt>
                <c:pt idx="10">
                  <c:v>2015</c:v>
                </c:pt>
                <c:pt idx="11">
                  <c:v>2016</c:v>
                </c:pt>
                <c:pt idx="12">
                  <c:v>2017</c:v>
                </c:pt>
                <c:pt idx="13">
                  <c:v>2018</c:v>
                </c:pt>
                <c:pt idx="14">
                  <c:v>2019</c:v>
                </c:pt>
              </c:strCache>
            </c:strRef>
          </c:cat>
          <c:val>
            <c:numRef>
              <c:f>'míra materiální deprivace'!$S$14:$AG$14</c:f>
              <c:numCache>
                <c:formatCode>#,##0.0</c:formatCode>
                <c:ptCount val="15"/>
                <c:pt idx="0">
                  <c:v>13.1</c:v>
                </c:pt>
                <c:pt idx="1">
                  <c:v>8.5</c:v>
                </c:pt>
                <c:pt idx="2">
                  <c:v>7</c:v>
                </c:pt>
                <c:pt idx="3">
                  <c:v>6.1</c:v>
                </c:pt>
                <c:pt idx="4">
                  <c:v>4.9000000000000004</c:v>
                </c:pt>
                <c:pt idx="5">
                  <c:v>3.8</c:v>
                </c:pt>
                <c:pt idx="6">
                  <c:v>6.1</c:v>
                </c:pt>
                <c:pt idx="7">
                  <c:v>5.0999999999999996</c:v>
                </c:pt>
                <c:pt idx="8">
                  <c:v>4.9000000000000004</c:v>
                </c:pt>
                <c:pt idx="9">
                  <c:v>5.3</c:v>
                </c:pt>
                <c:pt idx="10">
                  <c:v>2.2999999999999998</c:v>
                </c:pt>
                <c:pt idx="11">
                  <c:v>3.2</c:v>
                </c:pt>
                <c:pt idx="12" formatCode="General">
                  <c:v>1.5</c:v>
                </c:pt>
                <c:pt idx="13" formatCode="General">
                  <c:v>1.9</c:v>
                </c:pt>
                <c:pt idx="14" formatCode="General">
                  <c:v>1.8</c:v>
                </c:pt>
              </c:numCache>
            </c:numRef>
          </c:val>
          <c:smooth val="0"/>
          <c:extLst>
            <c:ext xmlns:c16="http://schemas.microsoft.com/office/drawing/2014/chart" uri="{C3380CC4-5D6E-409C-BE32-E72D297353CC}">
              <c16:uniqueId val="{00000004-D78B-4669-A2C2-D083B6F52B5A}"/>
            </c:ext>
          </c:extLst>
        </c:ser>
        <c:ser>
          <c:idx val="5"/>
          <c:order val="5"/>
          <c:tx>
            <c:strRef>
              <c:f>'míra materiální deprivace'!$R$15</c:f>
              <c:strCache>
                <c:ptCount val="1"/>
                <c:pt idx="0">
                  <c:v>Jihovýchod</c:v>
                </c:pt>
              </c:strCache>
            </c:strRef>
          </c:tx>
          <c:spPr>
            <a:ln w="19050" cap="rnd">
              <a:solidFill>
                <a:schemeClr val="accent6"/>
              </a:solidFill>
              <a:round/>
            </a:ln>
            <a:effectLst/>
          </c:spPr>
          <c:marker>
            <c:symbol val="none"/>
          </c:marker>
          <c:cat>
            <c:strRef>
              <c:f>'míra materiální deprivace'!$S$9:$AG$9</c:f>
              <c:strCache>
                <c:ptCount val="15"/>
                <c:pt idx="0">
                  <c:v>2005</c:v>
                </c:pt>
                <c:pt idx="1">
                  <c:v>2006</c:v>
                </c:pt>
                <c:pt idx="2">
                  <c:v>2007</c:v>
                </c:pt>
                <c:pt idx="3">
                  <c:v>2008</c:v>
                </c:pt>
                <c:pt idx="4">
                  <c:v>2009</c:v>
                </c:pt>
                <c:pt idx="5">
                  <c:v>2010</c:v>
                </c:pt>
                <c:pt idx="6">
                  <c:v>2011</c:v>
                </c:pt>
                <c:pt idx="7">
                  <c:v>2012</c:v>
                </c:pt>
                <c:pt idx="8">
                  <c:v>2013</c:v>
                </c:pt>
                <c:pt idx="9">
                  <c:v>2014</c:v>
                </c:pt>
                <c:pt idx="10">
                  <c:v>2015</c:v>
                </c:pt>
                <c:pt idx="11">
                  <c:v>2016</c:v>
                </c:pt>
                <c:pt idx="12">
                  <c:v>2017</c:v>
                </c:pt>
                <c:pt idx="13">
                  <c:v>2018</c:v>
                </c:pt>
                <c:pt idx="14">
                  <c:v>2019</c:v>
                </c:pt>
              </c:strCache>
            </c:strRef>
          </c:cat>
          <c:val>
            <c:numRef>
              <c:f>'míra materiální deprivace'!$S$15:$AG$15</c:f>
              <c:numCache>
                <c:formatCode>#,##0.0</c:formatCode>
                <c:ptCount val="15"/>
                <c:pt idx="0">
                  <c:v>8.1999999999999993</c:v>
                </c:pt>
                <c:pt idx="1">
                  <c:v>7.9</c:v>
                </c:pt>
                <c:pt idx="2">
                  <c:v>5.8</c:v>
                </c:pt>
                <c:pt idx="3">
                  <c:v>5.3</c:v>
                </c:pt>
                <c:pt idx="4">
                  <c:v>4.4000000000000004</c:v>
                </c:pt>
                <c:pt idx="5">
                  <c:v>5</c:v>
                </c:pt>
                <c:pt idx="6">
                  <c:v>3.7</c:v>
                </c:pt>
                <c:pt idx="7">
                  <c:v>5.0999999999999996</c:v>
                </c:pt>
                <c:pt idx="8">
                  <c:v>4.9000000000000004</c:v>
                </c:pt>
                <c:pt idx="9">
                  <c:v>4.5</c:v>
                </c:pt>
                <c:pt idx="10">
                  <c:v>3.8</c:v>
                </c:pt>
                <c:pt idx="11">
                  <c:v>3.7</c:v>
                </c:pt>
                <c:pt idx="12" formatCode="General">
                  <c:v>2.5</c:v>
                </c:pt>
                <c:pt idx="13" formatCode="General">
                  <c:v>2.7</c:v>
                </c:pt>
                <c:pt idx="14" formatCode="General">
                  <c:v>2.6</c:v>
                </c:pt>
              </c:numCache>
            </c:numRef>
          </c:val>
          <c:smooth val="0"/>
          <c:extLst>
            <c:ext xmlns:c16="http://schemas.microsoft.com/office/drawing/2014/chart" uri="{C3380CC4-5D6E-409C-BE32-E72D297353CC}">
              <c16:uniqueId val="{00000005-D78B-4669-A2C2-D083B6F52B5A}"/>
            </c:ext>
          </c:extLst>
        </c:ser>
        <c:ser>
          <c:idx val="6"/>
          <c:order val="6"/>
          <c:tx>
            <c:strRef>
              <c:f>'míra materiální deprivace'!$R$16</c:f>
              <c:strCache>
                <c:ptCount val="1"/>
                <c:pt idx="0">
                  <c:v>Strední Morava</c:v>
                </c:pt>
              </c:strCache>
            </c:strRef>
          </c:tx>
          <c:spPr>
            <a:ln w="19050" cap="rnd">
              <a:solidFill>
                <a:schemeClr val="accent1">
                  <a:lumMod val="60000"/>
                </a:schemeClr>
              </a:solidFill>
              <a:round/>
            </a:ln>
            <a:effectLst/>
          </c:spPr>
          <c:marker>
            <c:symbol val="none"/>
          </c:marker>
          <c:cat>
            <c:strRef>
              <c:f>'míra materiální deprivace'!$S$9:$AG$9</c:f>
              <c:strCache>
                <c:ptCount val="15"/>
                <c:pt idx="0">
                  <c:v>2005</c:v>
                </c:pt>
                <c:pt idx="1">
                  <c:v>2006</c:v>
                </c:pt>
                <c:pt idx="2">
                  <c:v>2007</c:v>
                </c:pt>
                <c:pt idx="3">
                  <c:v>2008</c:v>
                </c:pt>
                <c:pt idx="4">
                  <c:v>2009</c:v>
                </c:pt>
                <c:pt idx="5">
                  <c:v>2010</c:v>
                </c:pt>
                <c:pt idx="6">
                  <c:v>2011</c:v>
                </c:pt>
                <c:pt idx="7">
                  <c:v>2012</c:v>
                </c:pt>
                <c:pt idx="8">
                  <c:v>2013</c:v>
                </c:pt>
                <c:pt idx="9">
                  <c:v>2014</c:v>
                </c:pt>
                <c:pt idx="10">
                  <c:v>2015</c:v>
                </c:pt>
                <c:pt idx="11">
                  <c:v>2016</c:v>
                </c:pt>
                <c:pt idx="12">
                  <c:v>2017</c:v>
                </c:pt>
                <c:pt idx="13">
                  <c:v>2018</c:v>
                </c:pt>
                <c:pt idx="14">
                  <c:v>2019</c:v>
                </c:pt>
              </c:strCache>
            </c:strRef>
          </c:cat>
          <c:val>
            <c:numRef>
              <c:f>'míra materiální deprivace'!$S$16:$AG$16</c:f>
              <c:numCache>
                <c:formatCode>#,##0.0</c:formatCode>
                <c:ptCount val="15"/>
                <c:pt idx="0">
                  <c:v>13.6</c:v>
                </c:pt>
                <c:pt idx="1">
                  <c:v>12.4</c:v>
                </c:pt>
                <c:pt idx="2">
                  <c:v>6.7</c:v>
                </c:pt>
                <c:pt idx="3">
                  <c:v>6.9</c:v>
                </c:pt>
                <c:pt idx="4">
                  <c:v>6.7</c:v>
                </c:pt>
                <c:pt idx="5">
                  <c:v>6.1</c:v>
                </c:pt>
                <c:pt idx="6">
                  <c:v>6.5</c:v>
                </c:pt>
                <c:pt idx="7">
                  <c:v>7</c:v>
                </c:pt>
                <c:pt idx="8">
                  <c:v>6.7</c:v>
                </c:pt>
                <c:pt idx="9">
                  <c:v>7.7</c:v>
                </c:pt>
                <c:pt idx="10">
                  <c:v>6</c:v>
                </c:pt>
                <c:pt idx="11">
                  <c:v>3.4</c:v>
                </c:pt>
                <c:pt idx="12" formatCode="General">
                  <c:v>2.9</c:v>
                </c:pt>
                <c:pt idx="13" formatCode="General">
                  <c:v>1.8</c:v>
                </c:pt>
                <c:pt idx="14" formatCode="General">
                  <c:v>1.6</c:v>
                </c:pt>
              </c:numCache>
            </c:numRef>
          </c:val>
          <c:smooth val="0"/>
          <c:extLst>
            <c:ext xmlns:c16="http://schemas.microsoft.com/office/drawing/2014/chart" uri="{C3380CC4-5D6E-409C-BE32-E72D297353CC}">
              <c16:uniqueId val="{00000006-D78B-4669-A2C2-D083B6F52B5A}"/>
            </c:ext>
          </c:extLst>
        </c:ser>
        <c:ser>
          <c:idx val="7"/>
          <c:order val="7"/>
          <c:tx>
            <c:strRef>
              <c:f>'míra materiální deprivace'!$R$17</c:f>
              <c:strCache>
                <c:ptCount val="1"/>
                <c:pt idx="0">
                  <c:v>Moravskoslezsko</c:v>
                </c:pt>
              </c:strCache>
            </c:strRef>
          </c:tx>
          <c:spPr>
            <a:ln w="19050" cap="rnd">
              <a:solidFill>
                <a:schemeClr val="accent2">
                  <a:lumMod val="60000"/>
                </a:schemeClr>
              </a:solidFill>
              <a:round/>
            </a:ln>
            <a:effectLst/>
          </c:spPr>
          <c:marker>
            <c:symbol val="none"/>
          </c:marker>
          <c:cat>
            <c:strRef>
              <c:f>'míra materiální deprivace'!$S$9:$AG$9</c:f>
              <c:strCache>
                <c:ptCount val="15"/>
                <c:pt idx="0">
                  <c:v>2005</c:v>
                </c:pt>
                <c:pt idx="1">
                  <c:v>2006</c:v>
                </c:pt>
                <c:pt idx="2">
                  <c:v>2007</c:v>
                </c:pt>
                <c:pt idx="3">
                  <c:v>2008</c:v>
                </c:pt>
                <c:pt idx="4">
                  <c:v>2009</c:v>
                </c:pt>
                <c:pt idx="5">
                  <c:v>2010</c:v>
                </c:pt>
                <c:pt idx="6">
                  <c:v>2011</c:v>
                </c:pt>
                <c:pt idx="7">
                  <c:v>2012</c:v>
                </c:pt>
                <c:pt idx="8">
                  <c:v>2013</c:v>
                </c:pt>
                <c:pt idx="9">
                  <c:v>2014</c:v>
                </c:pt>
                <c:pt idx="10">
                  <c:v>2015</c:v>
                </c:pt>
                <c:pt idx="11">
                  <c:v>2016</c:v>
                </c:pt>
                <c:pt idx="12">
                  <c:v>2017</c:v>
                </c:pt>
                <c:pt idx="13">
                  <c:v>2018</c:v>
                </c:pt>
                <c:pt idx="14">
                  <c:v>2019</c:v>
                </c:pt>
              </c:strCache>
            </c:strRef>
          </c:cat>
          <c:val>
            <c:numRef>
              <c:f>'míra materiální deprivace'!$S$17:$AG$17</c:f>
              <c:numCache>
                <c:formatCode>#,##0.0</c:formatCode>
                <c:ptCount val="15"/>
                <c:pt idx="0">
                  <c:v>19.899999999999999</c:v>
                </c:pt>
                <c:pt idx="1">
                  <c:v>13.9</c:v>
                </c:pt>
                <c:pt idx="2">
                  <c:v>11.7</c:v>
                </c:pt>
                <c:pt idx="3">
                  <c:v>10.5</c:v>
                </c:pt>
                <c:pt idx="4">
                  <c:v>8.5</c:v>
                </c:pt>
                <c:pt idx="5">
                  <c:v>10.199999999999999</c:v>
                </c:pt>
                <c:pt idx="6">
                  <c:v>10.199999999999999</c:v>
                </c:pt>
                <c:pt idx="7">
                  <c:v>9.3000000000000007</c:v>
                </c:pt>
                <c:pt idx="8">
                  <c:v>10.6</c:v>
                </c:pt>
                <c:pt idx="9">
                  <c:v>11.9</c:v>
                </c:pt>
                <c:pt idx="10">
                  <c:v>9.5</c:v>
                </c:pt>
                <c:pt idx="11">
                  <c:v>9.8000000000000007</c:v>
                </c:pt>
                <c:pt idx="12" formatCode="General">
                  <c:v>6.6</c:v>
                </c:pt>
                <c:pt idx="13" formatCode="0.0">
                  <c:v>4</c:v>
                </c:pt>
                <c:pt idx="14" formatCode="General">
                  <c:v>3.5</c:v>
                </c:pt>
              </c:numCache>
            </c:numRef>
          </c:val>
          <c:smooth val="0"/>
          <c:extLst>
            <c:ext xmlns:c16="http://schemas.microsoft.com/office/drawing/2014/chart" uri="{C3380CC4-5D6E-409C-BE32-E72D297353CC}">
              <c16:uniqueId val="{00000007-D78B-4669-A2C2-D083B6F52B5A}"/>
            </c:ext>
          </c:extLst>
        </c:ser>
        <c:dLbls>
          <c:showLegendKey val="0"/>
          <c:showVal val="0"/>
          <c:showCatName val="0"/>
          <c:showSerName val="0"/>
          <c:showPercent val="0"/>
          <c:showBubbleSize val="0"/>
        </c:dLbls>
        <c:smooth val="0"/>
        <c:axId val="493518640"/>
        <c:axId val="1"/>
      </c:lineChart>
      <c:catAx>
        <c:axId val="493518640"/>
        <c:scaling>
          <c:orientation val="minMax"/>
        </c:scaling>
        <c:delete val="0"/>
        <c:axPos val="b"/>
        <c:title>
          <c:tx>
            <c:rich>
              <a:bodyPr/>
              <a:lstStyle/>
              <a:p>
                <a:pPr>
                  <a:defRPr sz="800" b="0" i="0" u="none" strike="noStrike" baseline="0">
                    <a:solidFill>
                      <a:srgbClr val="333333"/>
                    </a:solidFill>
                    <a:latin typeface="Calibri"/>
                    <a:ea typeface="Calibri"/>
                    <a:cs typeface="Calibri"/>
                  </a:defRPr>
                </a:pPr>
                <a:r>
                  <a:rPr lang="cs-CZ" sz="800"/>
                  <a:t>Rok</a:t>
                </a:r>
              </a:p>
            </c:rich>
          </c:tx>
          <c:overlay val="0"/>
          <c:spPr>
            <a:noFill/>
            <a:ln w="25400">
              <a:noFill/>
            </a:ln>
          </c:spPr>
        </c:title>
        <c:numFmt formatCode="General" sourceLinked="1"/>
        <c:majorTickMark val="out"/>
        <c:minorTickMark val="none"/>
        <c:tickLblPos val="nextTo"/>
        <c:spPr>
          <a:noFill/>
          <a:ln w="9525" cap="flat" cmpd="sng" algn="ctr">
            <a:solidFill>
              <a:schemeClr val="tx1">
                <a:lumMod val="15000"/>
                <a:lumOff val="85000"/>
              </a:schemeClr>
            </a:solidFill>
            <a:round/>
          </a:ln>
          <a:effectLst/>
        </c:spPr>
        <c:txPr>
          <a:bodyPr rot="0" vert="horz"/>
          <a:lstStyle/>
          <a:p>
            <a:pPr>
              <a:defRPr sz="800" b="0" i="0" u="none" strike="noStrike" baseline="0">
                <a:solidFill>
                  <a:srgbClr val="333333"/>
                </a:solidFill>
                <a:latin typeface="Calibri"/>
                <a:ea typeface="Calibri"/>
                <a:cs typeface="Calibri"/>
              </a:defRPr>
            </a:pPr>
            <a:endParaRPr lang="cs-CZ"/>
          </a:p>
        </c:txPr>
        <c:crossAx val="1"/>
        <c:crosses val="autoZero"/>
        <c:auto val="1"/>
        <c:lblAlgn val="ctr"/>
        <c:lblOffset val="100"/>
        <c:noMultiLvlLbl val="0"/>
      </c:catAx>
      <c:valAx>
        <c:axId val="1"/>
        <c:scaling>
          <c:orientation val="minMax"/>
        </c:scaling>
        <c:delete val="0"/>
        <c:axPos val="l"/>
        <c:majorGridlines>
          <c:spPr>
            <a:ln w="9525" cap="flat" cmpd="sng" algn="ctr">
              <a:solidFill>
                <a:schemeClr val="tx1">
                  <a:lumMod val="15000"/>
                  <a:lumOff val="85000"/>
                </a:schemeClr>
              </a:solidFill>
              <a:round/>
            </a:ln>
            <a:effectLst/>
          </c:spPr>
        </c:majorGridlines>
        <c:title>
          <c:tx>
            <c:rich>
              <a:bodyPr/>
              <a:lstStyle/>
              <a:p>
                <a:pPr>
                  <a:defRPr sz="800" b="0" i="0" u="none" strike="noStrike" baseline="0">
                    <a:solidFill>
                      <a:srgbClr val="333333"/>
                    </a:solidFill>
                    <a:latin typeface="Calibri"/>
                    <a:ea typeface="Calibri"/>
                    <a:cs typeface="Calibri"/>
                  </a:defRPr>
                </a:pPr>
                <a:r>
                  <a:rPr lang="cs-CZ" sz="800"/>
                  <a:t>Míra materiální deprivace (v %)</a:t>
                </a:r>
              </a:p>
            </c:rich>
          </c:tx>
          <c:layout>
            <c:manualLayout>
              <c:xMode val="edge"/>
              <c:yMode val="edge"/>
              <c:x val="2.2045855379188711E-3"/>
              <c:y val="0.24977577201647388"/>
            </c:manualLayout>
          </c:layout>
          <c:overlay val="0"/>
          <c:spPr>
            <a:noFill/>
            <a:ln w="25400">
              <a:noFill/>
            </a:ln>
          </c:spPr>
        </c:title>
        <c:numFmt formatCode="#,##0.0" sourceLinked="1"/>
        <c:majorTickMark val="out"/>
        <c:minorTickMark val="none"/>
        <c:tickLblPos val="nextTo"/>
        <c:spPr>
          <a:ln w="6350">
            <a:solidFill>
              <a:schemeClr val="bg1">
                <a:lumMod val="85000"/>
              </a:schemeClr>
            </a:solidFill>
          </a:ln>
        </c:spPr>
        <c:txPr>
          <a:bodyPr rot="0" vert="horz"/>
          <a:lstStyle/>
          <a:p>
            <a:pPr>
              <a:defRPr sz="800" b="0" i="0" u="none" strike="noStrike" baseline="0">
                <a:solidFill>
                  <a:srgbClr val="333333"/>
                </a:solidFill>
                <a:latin typeface="Calibri"/>
                <a:ea typeface="Calibri"/>
                <a:cs typeface="Calibri"/>
              </a:defRPr>
            </a:pPr>
            <a:endParaRPr lang="cs-CZ"/>
          </a:p>
        </c:txPr>
        <c:crossAx val="493518640"/>
        <c:crosses val="autoZero"/>
        <c:crossBetween val="between"/>
      </c:valAx>
      <c:spPr>
        <a:noFill/>
        <a:ln w="25400">
          <a:noFill/>
        </a:ln>
      </c:spPr>
    </c:plotArea>
    <c:legend>
      <c:legendPos val="r"/>
      <c:layout>
        <c:manualLayout>
          <c:xMode val="edge"/>
          <c:yMode val="edge"/>
          <c:x val="0.82309242594675669"/>
          <c:y val="0.25747147838985063"/>
          <c:w val="0.17470298851532448"/>
          <c:h val="0.48505704322029886"/>
        </c:manualLayout>
      </c:layout>
      <c:overlay val="0"/>
      <c:spPr>
        <a:noFill/>
        <a:ln w="25400">
          <a:noFill/>
        </a:ln>
      </c:spPr>
      <c:txPr>
        <a:bodyPr/>
        <a:lstStyle/>
        <a:p>
          <a:pPr>
            <a:defRPr sz="755" b="0" i="0" u="none" strike="noStrike" baseline="0">
              <a:solidFill>
                <a:srgbClr val="333333"/>
              </a:solidFill>
              <a:latin typeface="Calibri"/>
              <a:ea typeface="Calibri"/>
              <a:cs typeface="Calibri"/>
            </a:defRPr>
          </a:pPr>
          <a:endParaRPr lang="cs-CZ"/>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1000" b="0" i="0" u="none" strike="noStrike" baseline="0">
          <a:solidFill>
            <a:srgbClr val="000000"/>
          </a:solidFill>
          <a:latin typeface="Calibri"/>
          <a:ea typeface="Calibri"/>
          <a:cs typeface="Calibri"/>
        </a:defRPr>
      </a:pPr>
      <a:endParaRPr lang="cs-CZ"/>
    </a:p>
  </c:txPr>
  <c:externalData r:id="rId1">
    <c:autoUpdate val="0"/>
  </c:externalData>
</c:chartSpace>
</file>

<file path=word/charts/chart3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9.5985918426863312E-2"/>
          <c:y val="5.0493458801927932E-2"/>
          <c:w val="0.87976364065602908"/>
          <c:h val="0.80535548732332241"/>
        </c:manualLayout>
      </c:layout>
      <c:barChart>
        <c:barDir val="col"/>
        <c:grouping val="clustered"/>
        <c:varyColors val="0"/>
        <c:ser>
          <c:idx val="0"/>
          <c:order val="0"/>
          <c:tx>
            <c:strRef>
              <c:f>'pracovní intenzita domácností'!$A$24</c:f>
              <c:strCache>
                <c:ptCount val="1"/>
                <c:pt idx="0">
                  <c:v>Czech Republic</c:v>
                </c:pt>
              </c:strCache>
            </c:strRef>
          </c:tx>
          <c:spPr>
            <a:solidFill>
              <a:schemeClr val="accent1"/>
            </a:solidFill>
            <a:ln w="25400">
              <a:noFill/>
            </a:ln>
          </c:spPr>
          <c:invertIfNegative val="0"/>
          <c:dLbls>
            <c:spPr>
              <a:noFill/>
              <a:ln w="25400">
                <a:noFill/>
              </a:ln>
            </c:spPr>
            <c:txPr>
              <a:bodyPr wrap="square" lIns="38100" tIns="19050" rIns="38100" bIns="19050" anchor="ctr">
                <a:spAutoFit/>
              </a:bodyPr>
              <a:lstStyle/>
              <a:p>
                <a:pPr>
                  <a:defRPr sz="800" b="0" i="0" u="none" strike="noStrike" baseline="0">
                    <a:solidFill>
                      <a:srgbClr val="333333"/>
                    </a:solidFill>
                    <a:latin typeface="Calibri"/>
                    <a:ea typeface="Calibri"/>
                    <a:cs typeface="Calibri"/>
                  </a:defRPr>
                </a:pPr>
                <a:endParaRPr lang="cs-CZ"/>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'pracovní intenzita domácností'!$B$23:$P$23</c:f>
              <c:strCache>
                <c:ptCount val="15"/>
                <c:pt idx="0">
                  <c:v>2005</c:v>
                </c:pt>
                <c:pt idx="1">
                  <c:v>2006</c:v>
                </c:pt>
                <c:pt idx="2">
                  <c:v>2007</c:v>
                </c:pt>
                <c:pt idx="3">
                  <c:v>2008</c:v>
                </c:pt>
                <c:pt idx="4">
                  <c:v>2009</c:v>
                </c:pt>
                <c:pt idx="5">
                  <c:v>2010</c:v>
                </c:pt>
                <c:pt idx="6">
                  <c:v>2011</c:v>
                </c:pt>
                <c:pt idx="7">
                  <c:v>2012</c:v>
                </c:pt>
                <c:pt idx="8">
                  <c:v>2013</c:v>
                </c:pt>
                <c:pt idx="9">
                  <c:v>2014</c:v>
                </c:pt>
                <c:pt idx="10">
                  <c:v>2015</c:v>
                </c:pt>
                <c:pt idx="11">
                  <c:v>2016</c:v>
                </c:pt>
                <c:pt idx="12">
                  <c:v>2017</c:v>
                </c:pt>
                <c:pt idx="13">
                  <c:v>2018</c:v>
                </c:pt>
                <c:pt idx="14">
                  <c:v>2019</c:v>
                </c:pt>
              </c:strCache>
            </c:strRef>
          </c:cat>
          <c:val>
            <c:numRef>
              <c:f>'pracovní intenzita domácností'!$B$24:$P$24</c:f>
              <c:numCache>
                <c:formatCode>#,##0.0</c:formatCode>
                <c:ptCount val="15"/>
                <c:pt idx="0">
                  <c:v>8.8000000000000007</c:v>
                </c:pt>
                <c:pt idx="1">
                  <c:v>8.9</c:v>
                </c:pt>
                <c:pt idx="2">
                  <c:v>8.6</c:v>
                </c:pt>
                <c:pt idx="3">
                  <c:v>7.2</c:v>
                </c:pt>
                <c:pt idx="4">
                  <c:v>6</c:v>
                </c:pt>
                <c:pt idx="5">
                  <c:v>6.4</c:v>
                </c:pt>
                <c:pt idx="6">
                  <c:v>6.6</c:v>
                </c:pt>
                <c:pt idx="7">
                  <c:v>6.8</c:v>
                </c:pt>
                <c:pt idx="8">
                  <c:v>6.9</c:v>
                </c:pt>
                <c:pt idx="9">
                  <c:v>7.6</c:v>
                </c:pt>
                <c:pt idx="10">
                  <c:v>6.8</c:v>
                </c:pt>
                <c:pt idx="11">
                  <c:v>6.7</c:v>
                </c:pt>
                <c:pt idx="12">
                  <c:v>5.5</c:v>
                </c:pt>
                <c:pt idx="13" formatCode="General">
                  <c:v>4.5</c:v>
                </c:pt>
                <c:pt idx="14" formatCode="General">
                  <c:v>4.2</c:v>
                </c:pt>
              </c:numCache>
            </c:numRef>
          </c:val>
          <c:extLst>
            <c:ext xmlns:c16="http://schemas.microsoft.com/office/drawing/2014/chart" uri="{C3380CC4-5D6E-409C-BE32-E72D297353CC}">
              <c16:uniqueId val="{00000000-21D7-4117-BCE8-E0D3C4465B46}"/>
            </c:ext>
          </c:extLst>
        </c:ser>
        <c:dLbls>
          <c:showLegendKey val="0"/>
          <c:showVal val="0"/>
          <c:showCatName val="0"/>
          <c:showSerName val="0"/>
          <c:showPercent val="0"/>
          <c:showBubbleSize val="0"/>
        </c:dLbls>
        <c:gapWidth val="219"/>
        <c:overlap val="-27"/>
        <c:axId val="483417632"/>
        <c:axId val="1"/>
      </c:barChart>
      <c:catAx>
        <c:axId val="483417632"/>
        <c:scaling>
          <c:orientation val="minMax"/>
        </c:scaling>
        <c:delete val="0"/>
        <c:axPos val="b"/>
        <c:title>
          <c:tx>
            <c:rich>
              <a:bodyPr/>
              <a:lstStyle/>
              <a:p>
                <a:pPr>
                  <a:defRPr sz="800" b="0" i="0" u="none" strike="noStrike" baseline="0">
                    <a:solidFill>
                      <a:srgbClr val="333333"/>
                    </a:solidFill>
                    <a:latin typeface="Calibri"/>
                    <a:ea typeface="Calibri"/>
                    <a:cs typeface="Calibri"/>
                  </a:defRPr>
                </a:pPr>
                <a:r>
                  <a:rPr lang="cs-CZ" sz="800"/>
                  <a:t>Rok</a:t>
                </a:r>
              </a:p>
            </c:rich>
          </c:tx>
          <c:overlay val="0"/>
          <c:spPr>
            <a:noFill/>
            <a:ln w="25400">
              <a:noFill/>
            </a:ln>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0" vert="horz"/>
          <a:lstStyle/>
          <a:p>
            <a:pPr>
              <a:defRPr sz="800" b="0" i="0" u="none" strike="noStrike" baseline="0">
                <a:solidFill>
                  <a:srgbClr val="333333"/>
                </a:solidFill>
                <a:latin typeface="Calibri"/>
                <a:ea typeface="Calibri"/>
                <a:cs typeface="Calibri"/>
              </a:defRPr>
            </a:pPr>
            <a:endParaRPr lang="cs-CZ"/>
          </a:p>
        </c:txPr>
        <c:crossAx val="1"/>
        <c:crosses val="autoZero"/>
        <c:auto val="1"/>
        <c:lblAlgn val="ctr"/>
        <c:lblOffset val="100"/>
        <c:noMultiLvlLbl val="0"/>
      </c:catAx>
      <c:valAx>
        <c:axId val="1"/>
        <c:scaling>
          <c:orientation val="minMax"/>
        </c:scaling>
        <c:delete val="0"/>
        <c:axPos val="l"/>
        <c:title>
          <c:tx>
            <c:rich>
              <a:bodyPr/>
              <a:lstStyle/>
              <a:p>
                <a:pPr>
                  <a:defRPr sz="800" b="0" i="0" u="none" strike="noStrike" baseline="0">
                    <a:solidFill>
                      <a:srgbClr val="333333"/>
                    </a:solidFill>
                    <a:latin typeface="Calibri"/>
                    <a:ea typeface="Calibri"/>
                    <a:cs typeface="Calibri"/>
                  </a:defRPr>
                </a:pPr>
                <a:r>
                  <a:rPr lang="cs-CZ" sz="800"/>
                  <a:t>Míra nízké pracovní intenzity (v%)</a:t>
                </a:r>
              </a:p>
            </c:rich>
          </c:tx>
          <c:layout>
            <c:manualLayout>
              <c:xMode val="edge"/>
              <c:yMode val="edge"/>
              <c:x val="6.6137566137566134E-3"/>
              <c:y val="0.22177327099662233"/>
            </c:manualLayout>
          </c:layout>
          <c:overlay val="0"/>
          <c:spPr>
            <a:noFill/>
            <a:ln w="25400">
              <a:noFill/>
            </a:ln>
          </c:spPr>
        </c:title>
        <c:numFmt formatCode="#,##0.0" sourceLinked="1"/>
        <c:majorTickMark val="none"/>
        <c:minorTickMark val="none"/>
        <c:tickLblPos val="nextTo"/>
        <c:spPr>
          <a:ln w="6350">
            <a:solidFill>
              <a:schemeClr val="bg1">
                <a:lumMod val="85000"/>
              </a:schemeClr>
            </a:solidFill>
          </a:ln>
        </c:spPr>
        <c:txPr>
          <a:bodyPr rot="0" vert="horz"/>
          <a:lstStyle/>
          <a:p>
            <a:pPr>
              <a:defRPr sz="800" b="0" i="0" u="none" strike="noStrike" baseline="0">
                <a:solidFill>
                  <a:srgbClr val="333333"/>
                </a:solidFill>
                <a:latin typeface="Calibri"/>
                <a:ea typeface="Calibri"/>
                <a:cs typeface="Calibri"/>
              </a:defRPr>
            </a:pPr>
            <a:endParaRPr lang="cs-CZ"/>
          </a:p>
        </c:txPr>
        <c:crossAx val="483417632"/>
        <c:crosses val="autoZero"/>
        <c:crossBetween val="between"/>
      </c:valAx>
      <c:spPr>
        <a:noFill/>
        <a:ln w="25400">
          <a:noFill/>
        </a:ln>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1000" b="0" i="0" u="none" strike="noStrike" baseline="0">
          <a:solidFill>
            <a:srgbClr val="000000"/>
          </a:solidFill>
          <a:latin typeface="Calibri"/>
          <a:ea typeface="Calibri"/>
          <a:cs typeface="Calibri"/>
        </a:defRPr>
      </a:pPr>
      <a:endParaRPr lang="cs-CZ"/>
    </a:p>
  </c:txPr>
  <c:externalData r:id="rId1">
    <c:autoUpdate val="0"/>
  </c:externalData>
</c:chartSpace>
</file>

<file path=word/charts/chart3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9.2253225291283034E-2"/>
          <c:y val="4.9438202247191011E-2"/>
          <c:w val="0.74072667999833375"/>
          <c:h val="0.82873361054587258"/>
        </c:manualLayout>
      </c:layout>
      <c:lineChart>
        <c:grouping val="standard"/>
        <c:varyColors val="0"/>
        <c:ser>
          <c:idx val="0"/>
          <c:order val="0"/>
          <c:tx>
            <c:strRef>
              <c:f>'pracovní intenzita domácností'!$S$10</c:f>
              <c:strCache>
                <c:ptCount val="1"/>
                <c:pt idx="0">
                  <c:v>Praha</c:v>
                </c:pt>
              </c:strCache>
            </c:strRef>
          </c:tx>
          <c:spPr>
            <a:ln w="19050" cap="rnd">
              <a:solidFill>
                <a:schemeClr val="accent1"/>
              </a:solidFill>
              <a:round/>
            </a:ln>
            <a:effectLst/>
          </c:spPr>
          <c:marker>
            <c:symbol val="none"/>
          </c:marker>
          <c:cat>
            <c:strRef>
              <c:f>'pracovní intenzita domácností'!$T$9:$AH$9</c:f>
              <c:strCache>
                <c:ptCount val="15"/>
                <c:pt idx="0">
                  <c:v>2005</c:v>
                </c:pt>
                <c:pt idx="1">
                  <c:v>2006</c:v>
                </c:pt>
                <c:pt idx="2">
                  <c:v>2007</c:v>
                </c:pt>
                <c:pt idx="3">
                  <c:v>2008</c:v>
                </c:pt>
                <c:pt idx="4">
                  <c:v>2009</c:v>
                </c:pt>
                <c:pt idx="5">
                  <c:v>2010</c:v>
                </c:pt>
                <c:pt idx="6">
                  <c:v>2011</c:v>
                </c:pt>
                <c:pt idx="7">
                  <c:v>2012</c:v>
                </c:pt>
                <c:pt idx="8">
                  <c:v>2013</c:v>
                </c:pt>
                <c:pt idx="9">
                  <c:v>2014</c:v>
                </c:pt>
                <c:pt idx="10">
                  <c:v>2015</c:v>
                </c:pt>
                <c:pt idx="11">
                  <c:v>2016</c:v>
                </c:pt>
                <c:pt idx="12">
                  <c:v>2017</c:v>
                </c:pt>
                <c:pt idx="13">
                  <c:v>2018</c:v>
                </c:pt>
                <c:pt idx="14">
                  <c:v>2019</c:v>
                </c:pt>
              </c:strCache>
            </c:strRef>
          </c:cat>
          <c:val>
            <c:numRef>
              <c:f>'pracovní intenzita domácností'!$T$10:$AH$10</c:f>
              <c:numCache>
                <c:formatCode>#,##0.0</c:formatCode>
                <c:ptCount val="15"/>
                <c:pt idx="0">
                  <c:v>2.8</c:v>
                </c:pt>
                <c:pt idx="1">
                  <c:v>4.7</c:v>
                </c:pt>
                <c:pt idx="2">
                  <c:v>4.5999999999999996</c:v>
                </c:pt>
                <c:pt idx="3">
                  <c:v>2.7</c:v>
                </c:pt>
                <c:pt idx="4">
                  <c:v>4.7</c:v>
                </c:pt>
                <c:pt idx="5">
                  <c:v>2.2999999999999998</c:v>
                </c:pt>
                <c:pt idx="6">
                  <c:v>3.7</c:v>
                </c:pt>
                <c:pt idx="7">
                  <c:v>4.5</c:v>
                </c:pt>
                <c:pt idx="8">
                  <c:v>5.9</c:v>
                </c:pt>
                <c:pt idx="9">
                  <c:v>5.7</c:v>
                </c:pt>
                <c:pt idx="10">
                  <c:v>4</c:v>
                </c:pt>
                <c:pt idx="11">
                  <c:v>2.1</c:v>
                </c:pt>
                <c:pt idx="12">
                  <c:v>2.5</c:v>
                </c:pt>
                <c:pt idx="13">
                  <c:v>2.2999999999999998</c:v>
                </c:pt>
                <c:pt idx="14">
                  <c:v>3.9</c:v>
                </c:pt>
              </c:numCache>
            </c:numRef>
          </c:val>
          <c:smooth val="0"/>
          <c:extLst>
            <c:ext xmlns:c16="http://schemas.microsoft.com/office/drawing/2014/chart" uri="{C3380CC4-5D6E-409C-BE32-E72D297353CC}">
              <c16:uniqueId val="{00000000-636E-4FBD-AB98-D9124EA2BD6B}"/>
            </c:ext>
          </c:extLst>
        </c:ser>
        <c:ser>
          <c:idx val="1"/>
          <c:order val="1"/>
          <c:tx>
            <c:strRef>
              <c:f>'pracovní intenzita domácností'!$S$11</c:f>
              <c:strCache>
                <c:ptCount val="1"/>
                <c:pt idx="0">
                  <c:v>Strední Cechy</c:v>
                </c:pt>
              </c:strCache>
            </c:strRef>
          </c:tx>
          <c:spPr>
            <a:ln w="19050" cap="rnd">
              <a:solidFill>
                <a:schemeClr val="accent2"/>
              </a:solidFill>
              <a:round/>
            </a:ln>
            <a:effectLst/>
          </c:spPr>
          <c:marker>
            <c:symbol val="none"/>
          </c:marker>
          <c:cat>
            <c:strRef>
              <c:f>'pracovní intenzita domácností'!$T$9:$AH$9</c:f>
              <c:strCache>
                <c:ptCount val="15"/>
                <c:pt idx="0">
                  <c:v>2005</c:v>
                </c:pt>
                <c:pt idx="1">
                  <c:v>2006</c:v>
                </c:pt>
                <c:pt idx="2">
                  <c:v>2007</c:v>
                </c:pt>
                <c:pt idx="3">
                  <c:v>2008</c:v>
                </c:pt>
                <c:pt idx="4">
                  <c:v>2009</c:v>
                </c:pt>
                <c:pt idx="5">
                  <c:v>2010</c:v>
                </c:pt>
                <c:pt idx="6">
                  <c:v>2011</c:v>
                </c:pt>
                <c:pt idx="7">
                  <c:v>2012</c:v>
                </c:pt>
                <c:pt idx="8">
                  <c:v>2013</c:v>
                </c:pt>
                <c:pt idx="9">
                  <c:v>2014</c:v>
                </c:pt>
                <c:pt idx="10">
                  <c:v>2015</c:v>
                </c:pt>
                <c:pt idx="11">
                  <c:v>2016</c:v>
                </c:pt>
                <c:pt idx="12">
                  <c:v>2017</c:v>
                </c:pt>
                <c:pt idx="13">
                  <c:v>2018</c:v>
                </c:pt>
                <c:pt idx="14">
                  <c:v>2019</c:v>
                </c:pt>
              </c:strCache>
            </c:strRef>
          </c:cat>
          <c:val>
            <c:numRef>
              <c:f>'pracovní intenzita domácností'!$T$11:$AH$11</c:f>
              <c:numCache>
                <c:formatCode>#,##0.0</c:formatCode>
                <c:ptCount val="15"/>
                <c:pt idx="0">
                  <c:v>5.0999999999999996</c:v>
                </c:pt>
                <c:pt idx="1">
                  <c:v>8.9</c:v>
                </c:pt>
                <c:pt idx="2">
                  <c:v>7.8</c:v>
                </c:pt>
                <c:pt idx="3">
                  <c:v>6.1</c:v>
                </c:pt>
                <c:pt idx="4">
                  <c:v>5.0999999999999996</c:v>
                </c:pt>
                <c:pt idx="5">
                  <c:v>6.1</c:v>
                </c:pt>
                <c:pt idx="6">
                  <c:v>5.5</c:v>
                </c:pt>
                <c:pt idx="7">
                  <c:v>5.0999999999999996</c:v>
                </c:pt>
                <c:pt idx="8">
                  <c:v>4.5999999999999996</c:v>
                </c:pt>
                <c:pt idx="9">
                  <c:v>3.9</c:v>
                </c:pt>
                <c:pt idx="10">
                  <c:v>4.2</c:v>
                </c:pt>
                <c:pt idx="11">
                  <c:v>3.4</c:v>
                </c:pt>
                <c:pt idx="12">
                  <c:v>3.6</c:v>
                </c:pt>
                <c:pt idx="13">
                  <c:v>4.3</c:v>
                </c:pt>
                <c:pt idx="14">
                  <c:v>2.7</c:v>
                </c:pt>
              </c:numCache>
            </c:numRef>
          </c:val>
          <c:smooth val="0"/>
          <c:extLst>
            <c:ext xmlns:c16="http://schemas.microsoft.com/office/drawing/2014/chart" uri="{C3380CC4-5D6E-409C-BE32-E72D297353CC}">
              <c16:uniqueId val="{00000001-636E-4FBD-AB98-D9124EA2BD6B}"/>
            </c:ext>
          </c:extLst>
        </c:ser>
        <c:ser>
          <c:idx val="2"/>
          <c:order val="2"/>
          <c:tx>
            <c:strRef>
              <c:f>'pracovní intenzita domácností'!$S$12</c:f>
              <c:strCache>
                <c:ptCount val="1"/>
                <c:pt idx="0">
                  <c:v>Jihozápad</c:v>
                </c:pt>
              </c:strCache>
            </c:strRef>
          </c:tx>
          <c:spPr>
            <a:ln w="19050" cap="rnd">
              <a:solidFill>
                <a:schemeClr val="accent3"/>
              </a:solidFill>
              <a:round/>
            </a:ln>
            <a:effectLst/>
          </c:spPr>
          <c:marker>
            <c:symbol val="none"/>
          </c:marker>
          <c:cat>
            <c:strRef>
              <c:f>'pracovní intenzita domácností'!$T$9:$AH$9</c:f>
              <c:strCache>
                <c:ptCount val="15"/>
                <c:pt idx="0">
                  <c:v>2005</c:v>
                </c:pt>
                <c:pt idx="1">
                  <c:v>2006</c:v>
                </c:pt>
                <c:pt idx="2">
                  <c:v>2007</c:v>
                </c:pt>
                <c:pt idx="3">
                  <c:v>2008</c:v>
                </c:pt>
                <c:pt idx="4">
                  <c:v>2009</c:v>
                </c:pt>
                <c:pt idx="5">
                  <c:v>2010</c:v>
                </c:pt>
                <c:pt idx="6">
                  <c:v>2011</c:v>
                </c:pt>
                <c:pt idx="7">
                  <c:v>2012</c:v>
                </c:pt>
                <c:pt idx="8">
                  <c:v>2013</c:v>
                </c:pt>
                <c:pt idx="9">
                  <c:v>2014</c:v>
                </c:pt>
                <c:pt idx="10">
                  <c:v>2015</c:v>
                </c:pt>
                <c:pt idx="11">
                  <c:v>2016</c:v>
                </c:pt>
                <c:pt idx="12">
                  <c:v>2017</c:v>
                </c:pt>
                <c:pt idx="13">
                  <c:v>2018</c:v>
                </c:pt>
                <c:pt idx="14">
                  <c:v>2019</c:v>
                </c:pt>
              </c:strCache>
            </c:strRef>
          </c:cat>
          <c:val>
            <c:numRef>
              <c:f>'pracovní intenzita domácností'!$T$12:$AH$12</c:f>
              <c:numCache>
                <c:formatCode>#,##0.0</c:formatCode>
                <c:ptCount val="15"/>
                <c:pt idx="0">
                  <c:v>7.9</c:v>
                </c:pt>
                <c:pt idx="1">
                  <c:v>5.7</c:v>
                </c:pt>
                <c:pt idx="2">
                  <c:v>6.7</c:v>
                </c:pt>
                <c:pt idx="3">
                  <c:v>5</c:v>
                </c:pt>
                <c:pt idx="4">
                  <c:v>3.5</c:v>
                </c:pt>
                <c:pt idx="5">
                  <c:v>4.5</c:v>
                </c:pt>
                <c:pt idx="6">
                  <c:v>3.4</c:v>
                </c:pt>
                <c:pt idx="7">
                  <c:v>4.8</c:v>
                </c:pt>
                <c:pt idx="8">
                  <c:v>5.2</c:v>
                </c:pt>
                <c:pt idx="9">
                  <c:v>5.8</c:v>
                </c:pt>
                <c:pt idx="10">
                  <c:v>5</c:v>
                </c:pt>
                <c:pt idx="11">
                  <c:v>4.9000000000000004</c:v>
                </c:pt>
                <c:pt idx="12">
                  <c:v>2.8</c:v>
                </c:pt>
                <c:pt idx="13">
                  <c:v>3.2</c:v>
                </c:pt>
                <c:pt idx="14">
                  <c:v>3.7</c:v>
                </c:pt>
              </c:numCache>
            </c:numRef>
          </c:val>
          <c:smooth val="0"/>
          <c:extLst>
            <c:ext xmlns:c16="http://schemas.microsoft.com/office/drawing/2014/chart" uri="{C3380CC4-5D6E-409C-BE32-E72D297353CC}">
              <c16:uniqueId val="{00000002-636E-4FBD-AB98-D9124EA2BD6B}"/>
            </c:ext>
          </c:extLst>
        </c:ser>
        <c:ser>
          <c:idx val="3"/>
          <c:order val="3"/>
          <c:tx>
            <c:strRef>
              <c:f>'pracovní intenzita domácností'!$S$13</c:f>
              <c:strCache>
                <c:ptCount val="1"/>
                <c:pt idx="0">
                  <c:v>Severozápad</c:v>
                </c:pt>
              </c:strCache>
            </c:strRef>
          </c:tx>
          <c:spPr>
            <a:ln w="19050" cap="rnd">
              <a:solidFill>
                <a:schemeClr val="accent4"/>
              </a:solidFill>
              <a:round/>
            </a:ln>
            <a:effectLst/>
          </c:spPr>
          <c:marker>
            <c:symbol val="none"/>
          </c:marker>
          <c:cat>
            <c:strRef>
              <c:f>'pracovní intenzita domácností'!$T$9:$AH$9</c:f>
              <c:strCache>
                <c:ptCount val="15"/>
                <c:pt idx="0">
                  <c:v>2005</c:v>
                </c:pt>
                <c:pt idx="1">
                  <c:v>2006</c:v>
                </c:pt>
                <c:pt idx="2">
                  <c:v>2007</c:v>
                </c:pt>
                <c:pt idx="3">
                  <c:v>2008</c:v>
                </c:pt>
                <c:pt idx="4">
                  <c:v>2009</c:v>
                </c:pt>
                <c:pt idx="5">
                  <c:v>2010</c:v>
                </c:pt>
                <c:pt idx="6">
                  <c:v>2011</c:v>
                </c:pt>
                <c:pt idx="7">
                  <c:v>2012</c:v>
                </c:pt>
                <c:pt idx="8">
                  <c:v>2013</c:v>
                </c:pt>
                <c:pt idx="9">
                  <c:v>2014</c:v>
                </c:pt>
                <c:pt idx="10">
                  <c:v>2015</c:v>
                </c:pt>
                <c:pt idx="11">
                  <c:v>2016</c:v>
                </c:pt>
                <c:pt idx="12">
                  <c:v>2017</c:v>
                </c:pt>
                <c:pt idx="13">
                  <c:v>2018</c:v>
                </c:pt>
                <c:pt idx="14">
                  <c:v>2019</c:v>
                </c:pt>
              </c:strCache>
            </c:strRef>
          </c:cat>
          <c:val>
            <c:numRef>
              <c:f>'pracovní intenzita domácností'!$T$13:$AH$13</c:f>
              <c:numCache>
                <c:formatCode>#,##0.0</c:formatCode>
                <c:ptCount val="15"/>
                <c:pt idx="0">
                  <c:v>14.9</c:v>
                </c:pt>
                <c:pt idx="1">
                  <c:v>11.1</c:v>
                </c:pt>
                <c:pt idx="2">
                  <c:v>13.6</c:v>
                </c:pt>
                <c:pt idx="3">
                  <c:v>10.199999999999999</c:v>
                </c:pt>
                <c:pt idx="4">
                  <c:v>9.6</c:v>
                </c:pt>
                <c:pt idx="5">
                  <c:v>11.1</c:v>
                </c:pt>
                <c:pt idx="6">
                  <c:v>14.1</c:v>
                </c:pt>
                <c:pt idx="7">
                  <c:v>13.5</c:v>
                </c:pt>
                <c:pt idx="8">
                  <c:v>14</c:v>
                </c:pt>
                <c:pt idx="9">
                  <c:v>18.100000000000001</c:v>
                </c:pt>
                <c:pt idx="10">
                  <c:v>14</c:v>
                </c:pt>
                <c:pt idx="11">
                  <c:v>14.6</c:v>
                </c:pt>
                <c:pt idx="12">
                  <c:v>11.1</c:v>
                </c:pt>
                <c:pt idx="13">
                  <c:v>8.5</c:v>
                </c:pt>
                <c:pt idx="14">
                  <c:v>8</c:v>
                </c:pt>
              </c:numCache>
            </c:numRef>
          </c:val>
          <c:smooth val="0"/>
          <c:extLst>
            <c:ext xmlns:c16="http://schemas.microsoft.com/office/drawing/2014/chart" uri="{C3380CC4-5D6E-409C-BE32-E72D297353CC}">
              <c16:uniqueId val="{00000003-636E-4FBD-AB98-D9124EA2BD6B}"/>
            </c:ext>
          </c:extLst>
        </c:ser>
        <c:ser>
          <c:idx val="4"/>
          <c:order val="4"/>
          <c:tx>
            <c:strRef>
              <c:f>'pracovní intenzita domácností'!$S$14</c:f>
              <c:strCache>
                <c:ptCount val="1"/>
                <c:pt idx="0">
                  <c:v>Severovýchod</c:v>
                </c:pt>
              </c:strCache>
            </c:strRef>
          </c:tx>
          <c:spPr>
            <a:ln w="19050" cap="rnd">
              <a:solidFill>
                <a:schemeClr val="accent5"/>
              </a:solidFill>
              <a:round/>
            </a:ln>
            <a:effectLst/>
          </c:spPr>
          <c:marker>
            <c:symbol val="none"/>
          </c:marker>
          <c:cat>
            <c:strRef>
              <c:f>'pracovní intenzita domácností'!$T$9:$AH$9</c:f>
              <c:strCache>
                <c:ptCount val="15"/>
                <c:pt idx="0">
                  <c:v>2005</c:v>
                </c:pt>
                <c:pt idx="1">
                  <c:v>2006</c:v>
                </c:pt>
                <c:pt idx="2">
                  <c:v>2007</c:v>
                </c:pt>
                <c:pt idx="3">
                  <c:v>2008</c:v>
                </c:pt>
                <c:pt idx="4">
                  <c:v>2009</c:v>
                </c:pt>
                <c:pt idx="5">
                  <c:v>2010</c:v>
                </c:pt>
                <c:pt idx="6">
                  <c:v>2011</c:v>
                </c:pt>
                <c:pt idx="7">
                  <c:v>2012</c:v>
                </c:pt>
                <c:pt idx="8">
                  <c:v>2013</c:v>
                </c:pt>
                <c:pt idx="9">
                  <c:v>2014</c:v>
                </c:pt>
                <c:pt idx="10">
                  <c:v>2015</c:v>
                </c:pt>
                <c:pt idx="11">
                  <c:v>2016</c:v>
                </c:pt>
                <c:pt idx="12">
                  <c:v>2017</c:v>
                </c:pt>
                <c:pt idx="13">
                  <c:v>2018</c:v>
                </c:pt>
                <c:pt idx="14">
                  <c:v>2019</c:v>
                </c:pt>
              </c:strCache>
            </c:strRef>
          </c:cat>
          <c:val>
            <c:numRef>
              <c:f>'pracovní intenzita domácností'!$T$14:$AH$14</c:f>
              <c:numCache>
                <c:formatCode>#,##0.0</c:formatCode>
                <c:ptCount val="15"/>
                <c:pt idx="0">
                  <c:v>7.9</c:v>
                </c:pt>
                <c:pt idx="1">
                  <c:v>7.2</c:v>
                </c:pt>
                <c:pt idx="2">
                  <c:v>8</c:v>
                </c:pt>
                <c:pt idx="3">
                  <c:v>7.3</c:v>
                </c:pt>
                <c:pt idx="4">
                  <c:v>5.3</c:v>
                </c:pt>
                <c:pt idx="5">
                  <c:v>4.5999999999999996</c:v>
                </c:pt>
                <c:pt idx="6">
                  <c:v>4.7</c:v>
                </c:pt>
                <c:pt idx="7">
                  <c:v>6.4</c:v>
                </c:pt>
                <c:pt idx="8">
                  <c:v>5.7</c:v>
                </c:pt>
                <c:pt idx="9">
                  <c:v>6.2</c:v>
                </c:pt>
                <c:pt idx="10">
                  <c:v>3.8</c:v>
                </c:pt>
                <c:pt idx="11">
                  <c:v>5.2</c:v>
                </c:pt>
                <c:pt idx="12">
                  <c:v>3.1</c:v>
                </c:pt>
                <c:pt idx="13">
                  <c:v>2.7</c:v>
                </c:pt>
                <c:pt idx="14">
                  <c:v>3.5</c:v>
                </c:pt>
              </c:numCache>
            </c:numRef>
          </c:val>
          <c:smooth val="0"/>
          <c:extLst>
            <c:ext xmlns:c16="http://schemas.microsoft.com/office/drawing/2014/chart" uri="{C3380CC4-5D6E-409C-BE32-E72D297353CC}">
              <c16:uniqueId val="{00000004-636E-4FBD-AB98-D9124EA2BD6B}"/>
            </c:ext>
          </c:extLst>
        </c:ser>
        <c:ser>
          <c:idx val="5"/>
          <c:order val="5"/>
          <c:tx>
            <c:strRef>
              <c:f>'pracovní intenzita domácností'!$S$15</c:f>
              <c:strCache>
                <c:ptCount val="1"/>
                <c:pt idx="0">
                  <c:v>Jihovýchod</c:v>
                </c:pt>
              </c:strCache>
            </c:strRef>
          </c:tx>
          <c:spPr>
            <a:ln w="19050" cap="rnd">
              <a:solidFill>
                <a:schemeClr val="accent6"/>
              </a:solidFill>
              <a:round/>
            </a:ln>
            <a:effectLst/>
          </c:spPr>
          <c:marker>
            <c:symbol val="none"/>
          </c:marker>
          <c:cat>
            <c:strRef>
              <c:f>'pracovní intenzita domácností'!$T$9:$AH$9</c:f>
              <c:strCache>
                <c:ptCount val="15"/>
                <c:pt idx="0">
                  <c:v>2005</c:v>
                </c:pt>
                <c:pt idx="1">
                  <c:v>2006</c:v>
                </c:pt>
                <c:pt idx="2">
                  <c:v>2007</c:v>
                </c:pt>
                <c:pt idx="3">
                  <c:v>2008</c:v>
                </c:pt>
                <c:pt idx="4">
                  <c:v>2009</c:v>
                </c:pt>
                <c:pt idx="5">
                  <c:v>2010</c:v>
                </c:pt>
                <c:pt idx="6">
                  <c:v>2011</c:v>
                </c:pt>
                <c:pt idx="7">
                  <c:v>2012</c:v>
                </c:pt>
                <c:pt idx="8">
                  <c:v>2013</c:v>
                </c:pt>
                <c:pt idx="9">
                  <c:v>2014</c:v>
                </c:pt>
                <c:pt idx="10">
                  <c:v>2015</c:v>
                </c:pt>
                <c:pt idx="11">
                  <c:v>2016</c:v>
                </c:pt>
                <c:pt idx="12">
                  <c:v>2017</c:v>
                </c:pt>
                <c:pt idx="13">
                  <c:v>2018</c:v>
                </c:pt>
                <c:pt idx="14">
                  <c:v>2019</c:v>
                </c:pt>
              </c:strCache>
            </c:strRef>
          </c:cat>
          <c:val>
            <c:numRef>
              <c:f>'pracovní intenzita domácností'!$T$15:$AH$15</c:f>
              <c:numCache>
                <c:formatCode>#,##0.0</c:formatCode>
                <c:ptCount val="15"/>
                <c:pt idx="0">
                  <c:v>6</c:v>
                </c:pt>
                <c:pt idx="1">
                  <c:v>7.2</c:v>
                </c:pt>
                <c:pt idx="2">
                  <c:v>5.9</c:v>
                </c:pt>
                <c:pt idx="3">
                  <c:v>6.3</c:v>
                </c:pt>
                <c:pt idx="4">
                  <c:v>4.0999999999999996</c:v>
                </c:pt>
                <c:pt idx="5">
                  <c:v>6.2</c:v>
                </c:pt>
                <c:pt idx="6">
                  <c:v>5.3</c:v>
                </c:pt>
                <c:pt idx="7">
                  <c:v>4.9000000000000004</c:v>
                </c:pt>
                <c:pt idx="8">
                  <c:v>3.2</c:v>
                </c:pt>
                <c:pt idx="9">
                  <c:v>4.3</c:v>
                </c:pt>
                <c:pt idx="10">
                  <c:v>4.5</c:v>
                </c:pt>
                <c:pt idx="11">
                  <c:v>4.8</c:v>
                </c:pt>
                <c:pt idx="12">
                  <c:v>6.2</c:v>
                </c:pt>
                <c:pt idx="13">
                  <c:v>4.9000000000000004</c:v>
                </c:pt>
                <c:pt idx="14">
                  <c:v>4.8</c:v>
                </c:pt>
              </c:numCache>
            </c:numRef>
          </c:val>
          <c:smooth val="0"/>
          <c:extLst>
            <c:ext xmlns:c16="http://schemas.microsoft.com/office/drawing/2014/chart" uri="{C3380CC4-5D6E-409C-BE32-E72D297353CC}">
              <c16:uniqueId val="{00000005-636E-4FBD-AB98-D9124EA2BD6B}"/>
            </c:ext>
          </c:extLst>
        </c:ser>
        <c:ser>
          <c:idx val="6"/>
          <c:order val="6"/>
          <c:tx>
            <c:strRef>
              <c:f>'pracovní intenzita domácností'!$S$16</c:f>
              <c:strCache>
                <c:ptCount val="1"/>
                <c:pt idx="0">
                  <c:v>Strední Morava</c:v>
                </c:pt>
              </c:strCache>
            </c:strRef>
          </c:tx>
          <c:spPr>
            <a:ln w="19050" cap="rnd">
              <a:solidFill>
                <a:schemeClr val="accent1">
                  <a:lumMod val="60000"/>
                </a:schemeClr>
              </a:solidFill>
              <a:round/>
            </a:ln>
            <a:effectLst/>
          </c:spPr>
          <c:marker>
            <c:symbol val="none"/>
          </c:marker>
          <c:cat>
            <c:strRef>
              <c:f>'pracovní intenzita domácností'!$T$9:$AH$9</c:f>
              <c:strCache>
                <c:ptCount val="15"/>
                <c:pt idx="0">
                  <c:v>2005</c:v>
                </c:pt>
                <c:pt idx="1">
                  <c:v>2006</c:v>
                </c:pt>
                <c:pt idx="2">
                  <c:v>2007</c:v>
                </c:pt>
                <c:pt idx="3">
                  <c:v>2008</c:v>
                </c:pt>
                <c:pt idx="4">
                  <c:v>2009</c:v>
                </c:pt>
                <c:pt idx="5">
                  <c:v>2010</c:v>
                </c:pt>
                <c:pt idx="6">
                  <c:v>2011</c:v>
                </c:pt>
                <c:pt idx="7">
                  <c:v>2012</c:v>
                </c:pt>
                <c:pt idx="8">
                  <c:v>2013</c:v>
                </c:pt>
                <c:pt idx="9">
                  <c:v>2014</c:v>
                </c:pt>
                <c:pt idx="10">
                  <c:v>2015</c:v>
                </c:pt>
                <c:pt idx="11">
                  <c:v>2016</c:v>
                </c:pt>
                <c:pt idx="12">
                  <c:v>2017</c:v>
                </c:pt>
                <c:pt idx="13">
                  <c:v>2018</c:v>
                </c:pt>
                <c:pt idx="14">
                  <c:v>2019</c:v>
                </c:pt>
              </c:strCache>
            </c:strRef>
          </c:cat>
          <c:val>
            <c:numRef>
              <c:f>'pracovní intenzita domácností'!$T$16:$AH$16</c:f>
              <c:numCache>
                <c:formatCode>#,##0.0</c:formatCode>
                <c:ptCount val="15"/>
                <c:pt idx="0">
                  <c:v>8.4</c:v>
                </c:pt>
                <c:pt idx="1">
                  <c:v>8.8000000000000007</c:v>
                </c:pt>
                <c:pt idx="2">
                  <c:v>8.6999999999999993</c:v>
                </c:pt>
                <c:pt idx="3">
                  <c:v>7.9</c:v>
                </c:pt>
                <c:pt idx="4">
                  <c:v>7.1</c:v>
                </c:pt>
                <c:pt idx="5">
                  <c:v>6.8</c:v>
                </c:pt>
                <c:pt idx="6">
                  <c:v>7.3</c:v>
                </c:pt>
                <c:pt idx="7">
                  <c:v>7.1</c:v>
                </c:pt>
                <c:pt idx="8">
                  <c:v>6.8</c:v>
                </c:pt>
                <c:pt idx="9">
                  <c:v>6.2</c:v>
                </c:pt>
                <c:pt idx="10">
                  <c:v>6.1</c:v>
                </c:pt>
                <c:pt idx="11">
                  <c:v>5</c:v>
                </c:pt>
                <c:pt idx="12">
                  <c:v>5.3</c:v>
                </c:pt>
                <c:pt idx="13">
                  <c:v>3.4</c:v>
                </c:pt>
                <c:pt idx="14">
                  <c:v>2</c:v>
                </c:pt>
              </c:numCache>
            </c:numRef>
          </c:val>
          <c:smooth val="0"/>
          <c:extLst>
            <c:ext xmlns:c16="http://schemas.microsoft.com/office/drawing/2014/chart" uri="{C3380CC4-5D6E-409C-BE32-E72D297353CC}">
              <c16:uniqueId val="{00000006-636E-4FBD-AB98-D9124EA2BD6B}"/>
            </c:ext>
          </c:extLst>
        </c:ser>
        <c:ser>
          <c:idx val="7"/>
          <c:order val="7"/>
          <c:tx>
            <c:strRef>
              <c:f>'pracovní intenzita domácností'!$S$17</c:f>
              <c:strCache>
                <c:ptCount val="1"/>
                <c:pt idx="0">
                  <c:v>Moravskoslezsko</c:v>
                </c:pt>
              </c:strCache>
            </c:strRef>
          </c:tx>
          <c:spPr>
            <a:ln w="19050" cap="rnd">
              <a:solidFill>
                <a:schemeClr val="accent2">
                  <a:lumMod val="60000"/>
                </a:schemeClr>
              </a:solidFill>
              <a:round/>
            </a:ln>
            <a:effectLst/>
          </c:spPr>
          <c:marker>
            <c:symbol val="none"/>
          </c:marker>
          <c:cat>
            <c:strRef>
              <c:f>'pracovní intenzita domácností'!$T$9:$AH$9</c:f>
              <c:strCache>
                <c:ptCount val="15"/>
                <c:pt idx="0">
                  <c:v>2005</c:v>
                </c:pt>
                <c:pt idx="1">
                  <c:v>2006</c:v>
                </c:pt>
                <c:pt idx="2">
                  <c:v>2007</c:v>
                </c:pt>
                <c:pt idx="3">
                  <c:v>2008</c:v>
                </c:pt>
                <c:pt idx="4">
                  <c:v>2009</c:v>
                </c:pt>
                <c:pt idx="5">
                  <c:v>2010</c:v>
                </c:pt>
                <c:pt idx="6">
                  <c:v>2011</c:v>
                </c:pt>
                <c:pt idx="7">
                  <c:v>2012</c:v>
                </c:pt>
                <c:pt idx="8">
                  <c:v>2013</c:v>
                </c:pt>
                <c:pt idx="9">
                  <c:v>2014</c:v>
                </c:pt>
                <c:pt idx="10">
                  <c:v>2015</c:v>
                </c:pt>
                <c:pt idx="11">
                  <c:v>2016</c:v>
                </c:pt>
                <c:pt idx="12">
                  <c:v>2017</c:v>
                </c:pt>
                <c:pt idx="13">
                  <c:v>2018</c:v>
                </c:pt>
                <c:pt idx="14">
                  <c:v>2019</c:v>
                </c:pt>
              </c:strCache>
            </c:strRef>
          </c:cat>
          <c:val>
            <c:numRef>
              <c:f>'pracovní intenzita domácností'!$T$17:$AH$17</c:f>
              <c:numCache>
                <c:formatCode>#,##0.0</c:formatCode>
                <c:ptCount val="15"/>
                <c:pt idx="0">
                  <c:v>18.3</c:v>
                </c:pt>
                <c:pt idx="1">
                  <c:v>17.600000000000001</c:v>
                </c:pt>
                <c:pt idx="2">
                  <c:v>14.5</c:v>
                </c:pt>
                <c:pt idx="3">
                  <c:v>11.9</c:v>
                </c:pt>
                <c:pt idx="4">
                  <c:v>9.1999999999999993</c:v>
                </c:pt>
                <c:pt idx="5">
                  <c:v>10</c:v>
                </c:pt>
                <c:pt idx="6">
                  <c:v>9.6999999999999993</c:v>
                </c:pt>
                <c:pt idx="7">
                  <c:v>9.5</c:v>
                </c:pt>
                <c:pt idx="8">
                  <c:v>12.1</c:v>
                </c:pt>
                <c:pt idx="9">
                  <c:v>12.9</c:v>
                </c:pt>
                <c:pt idx="10">
                  <c:v>15.3</c:v>
                </c:pt>
                <c:pt idx="11">
                  <c:v>15.4</c:v>
                </c:pt>
                <c:pt idx="12">
                  <c:v>10.5</c:v>
                </c:pt>
                <c:pt idx="13">
                  <c:v>7.4</c:v>
                </c:pt>
                <c:pt idx="14">
                  <c:v>5.9</c:v>
                </c:pt>
              </c:numCache>
            </c:numRef>
          </c:val>
          <c:smooth val="0"/>
          <c:extLst>
            <c:ext xmlns:c16="http://schemas.microsoft.com/office/drawing/2014/chart" uri="{C3380CC4-5D6E-409C-BE32-E72D297353CC}">
              <c16:uniqueId val="{00000007-636E-4FBD-AB98-D9124EA2BD6B}"/>
            </c:ext>
          </c:extLst>
        </c:ser>
        <c:dLbls>
          <c:showLegendKey val="0"/>
          <c:showVal val="0"/>
          <c:showCatName val="0"/>
          <c:showSerName val="0"/>
          <c:showPercent val="0"/>
          <c:showBubbleSize val="0"/>
        </c:dLbls>
        <c:smooth val="0"/>
        <c:axId val="594466496"/>
        <c:axId val="1"/>
      </c:lineChart>
      <c:catAx>
        <c:axId val="594466496"/>
        <c:scaling>
          <c:orientation val="minMax"/>
        </c:scaling>
        <c:delete val="0"/>
        <c:axPos val="b"/>
        <c:title>
          <c:tx>
            <c:rich>
              <a:bodyPr/>
              <a:lstStyle/>
              <a:p>
                <a:pPr>
                  <a:defRPr sz="800" b="0" i="0" u="none" strike="noStrike" baseline="0">
                    <a:solidFill>
                      <a:srgbClr val="333333"/>
                    </a:solidFill>
                    <a:latin typeface="Calibri"/>
                    <a:ea typeface="Calibri"/>
                    <a:cs typeface="Calibri"/>
                  </a:defRPr>
                </a:pPr>
                <a:r>
                  <a:rPr lang="cs-CZ" sz="800"/>
                  <a:t>Rok</a:t>
                </a:r>
              </a:p>
            </c:rich>
          </c:tx>
          <c:overlay val="0"/>
          <c:spPr>
            <a:noFill/>
            <a:ln w="25400">
              <a:noFill/>
            </a:ln>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0" vert="horz"/>
          <a:lstStyle/>
          <a:p>
            <a:pPr>
              <a:defRPr sz="800" b="0" i="0" u="none" strike="noStrike" baseline="0">
                <a:solidFill>
                  <a:srgbClr val="333333"/>
                </a:solidFill>
                <a:latin typeface="Calibri"/>
                <a:ea typeface="Calibri"/>
                <a:cs typeface="Calibri"/>
              </a:defRPr>
            </a:pPr>
            <a:endParaRPr lang="cs-CZ"/>
          </a:p>
        </c:txPr>
        <c:crossAx val="1"/>
        <c:crosses val="autoZero"/>
        <c:auto val="1"/>
        <c:lblAlgn val="ctr"/>
        <c:lblOffset val="100"/>
        <c:noMultiLvlLbl val="0"/>
      </c:catAx>
      <c:valAx>
        <c:axId val="1"/>
        <c:scaling>
          <c:orientation val="minMax"/>
        </c:scaling>
        <c:delete val="0"/>
        <c:axPos val="l"/>
        <c:majorGridlines>
          <c:spPr>
            <a:ln w="9525" cap="flat" cmpd="sng" algn="ctr">
              <a:solidFill>
                <a:schemeClr val="tx1">
                  <a:lumMod val="15000"/>
                  <a:lumOff val="85000"/>
                </a:schemeClr>
              </a:solidFill>
              <a:round/>
            </a:ln>
            <a:effectLst/>
          </c:spPr>
        </c:majorGridlines>
        <c:title>
          <c:tx>
            <c:rich>
              <a:bodyPr/>
              <a:lstStyle/>
              <a:p>
                <a:pPr>
                  <a:defRPr sz="800" b="0" i="0" u="none" strike="noStrike" baseline="0">
                    <a:solidFill>
                      <a:srgbClr val="333333"/>
                    </a:solidFill>
                    <a:latin typeface="Calibri"/>
                    <a:ea typeface="Calibri"/>
                    <a:cs typeface="Calibri"/>
                  </a:defRPr>
                </a:pPr>
                <a:r>
                  <a:rPr lang="cs-CZ" sz="800"/>
                  <a:t>Míra nízké pracovní intenzity (%)</a:t>
                </a:r>
              </a:p>
            </c:rich>
          </c:tx>
          <c:layout>
            <c:manualLayout>
              <c:xMode val="edge"/>
              <c:yMode val="edge"/>
              <c:x val="8.8183421516754845E-3"/>
              <c:y val="0.221215960364505"/>
            </c:manualLayout>
          </c:layout>
          <c:overlay val="0"/>
          <c:spPr>
            <a:noFill/>
            <a:ln w="25400">
              <a:noFill/>
            </a:ln>
          </c:spPr>
        </c:title>
        <c:numFmt formatCode="#,##0.0" sourceLinked="1"/>
        <c:majorTickMark val="none"/>
        <c:minorTickMark val="none"/>
        <c:tickLblPos val="nextTo"/>
        <c:spPr>
          <a:ln w="6350">
            <a:solidFill>
              <a:schemeClr val="bg1">
                <a:lumMod val="85000"/>
              </a:schemeClr>
            </a:solidFill>
          </a:ln>
        </c:spPr>
        <c:txPr>
          <a:bodyPr rot="0" vert="horz"/>
          <a:lstStyle/>
          <a:p>
            <a:pPr>
              <a:defRPr sz="800" b="0" i="0" u="none" strike="noStrike" baseline="0">
                <a:solidFill>
                  <a:srgbClr val="333333"/>
                </a:solidFill>
                <a:latin typeface="Calibri"/>
                <a:ea typeface="Calibri"/>
                <a:cs typeface="Calibri"/>
              </a:defRPr>
            </a:pPr>
            <a:endParaRPr lang="cs-CZ"/>
          </a:p>
        </c:txPr>
        <c:crossAx val="594466496"/>
        <c:crosses val="autoZero"/>
        <c:crossBetween val="between"/>
      </c:valAx>
      <c:spPr>
        <a:noFill/>
        <a:ln w="25400">
          <a:noFill/>
        </a:ln>
      </c:spPr>
    </c:plotArea>
    <c:legend>
      <c:legendPos val="r"/>
      <c:layout>
        <c:manualLayout>
          <c:xMode val="edge"/>
          <c:yMode val="edge"/>
          <c:x val="0.83297990528961663"/>
          <c:y val="0.24218950721047511"/>
          <c:w val="0.16481550917246457"/>
          <c:h val="0.51562098557904978"/>
        </c:manualLayout>
      </c:layout>
      <c:overlay val="0"/>
      <c:spPr>
        <a:noFill/>
        <a:ln w="25400">
          <a:noFill/>
        </a:ln>
      </c:spPr>
      <c:txPr>
        <a:bodyPr/>
        <a:lstStyle/>
        <a:p>
          <a:pPr>
            <a:defRPr sz="690" b="0" i="0" u="none" strike="noStrike" baseline="0">
              <a:solidFill>
                <a:srgbClr val="333333"/>
              </a:solidFill>
              <a:latin typeface="Calibri"/>
              <a:ea typeface="Calibri"/>
              <a:cs typeface="Calibri"/>
            </a:defRPr>
          </a:pPr>
          <a:endParaRPr lang="cs-CZ"/>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1000" b="0" i="0" u="none" strike="noStrike" baseline="0">
          <a:solidFill>
            <a:srgbClr val="000000"/>
          </a:solidFill>
          <a:latin typeface="Calibri"/>
          <a:ea typeface="Calibri"/>
          <a:cs typeface="Calibri"/>
        </a:defRPr>
      </a:pPr>
      <a:endParaRPr lang="cs-CZ"/>
    </a:p>
  </c:txPr>
  <c:externalData r:id="rId1">
    <c:autoUpdate val="0"/>
  </c:externalData>
</c:chartSpace>
</file>

<file path=word/charts/chart3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List1!$I$76</c:f>
              <c:strCache>
                <c:ptCount val="1"/>
                <c:pt idx="0">
                  <c:v>Počet ZSJ s pokrytím NGA menším, než 40/50%:</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cs-CZ"/>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dk1">
                          <a:lumMod val="35000"/>
                          <a:lumOff val="65000"/>
                        </a:schemeClr>
                      </a:solidFill>
                      <a:round/>
                    </a:ln>
                    <a:effectLst/>
                  </c:spPr>
                </c15:leaderLines>
              </c:ext>
            </c:extLst>
          </c:dLbls>
          <c:cat>
            <c:strRef>
              <c:f>List1!$H$77:$H$79</c:f>
              <c:strCache>
                <c:ptCount val="3"/>
                <c:pt idx="0">
                  <c:v>Převážně městské</c:v>
                </c:pt>
                <c:pt idx="1">
                  <c:v>Převážně venkovské</c:v>
                </c:pt>
                <c:pt idx="2">
                  <c:v>Smíšené</c:v>
                </c:pt>
              </c:strCache>
            </c:strRef>
          </c:cat>
          <c:val>
            <c:numRef>
              <c:f>List1!$I$77:$I$79</c:f>
              <c:numCache>
                <c:formatCode>#,##0</c:formatCode>
                <c:ptCount val="3"/>
                <c:pt idx="0">
                  <c:v>2273</c:v>
                </c:pt>
                <c:pt idx="1">
                  <c:v>4432</c:v>
                </c:pt>
                <c:pt idx="2">
                  <c:v>4908</c:v>
                </c:pt>
              </c:numCache>
            </c:numRef>
          </c:val>
          <c:extLst>
            <c:ext xmlns:c16="http://schemas.microsoft.com/office/drawing/2014/chart" uri="{C3380CC4-5D6E-409C-BE32-E72D297353CC}">
              <c16:uniqueId val="{00000000-29FD-4D96-B9F1-B1272AD22FAF}"/>
            </c:ext>
          </c:extLst>
        </c:ser>
        <c:dLbls>
          <c:dLblPos val="outEnd"/>
          <c:showLegendKey val="0"/>
          <c:showVal val="1"/>
          <c:showCatName val="0"/>
          <c:showSerName val="0"/>
          <c:showPercent val="0"/>
          <c:showBubbleSize val="0"/>
        </c:dLbls>
        <c:gapWidth val="267"/>
        <c:overlap val="-43"/>
        <c:axId val="115296128"/>
        <c:axId val="115319552"/>
      </c:barChart>
      <c:catAx>
        <c:axId val="115296128"/>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cap="none" spc="0" normalizeH="0" baseline="0">
                <a:solidFill>
                  <a:schemeClr val="dk1">
                    <a:lumMod val="65000"/>
                    <a:lumOff val="35000"/>
                  </a:schemeClr>
                </a:solidFill>
                <a:latin typeface="+mn-lt"/>
                <a:ea typeface="+mn-ea"/>
                <a:cs typeface="+mn-cs"/>
              </a:defRPr>
            </a:pPr>
            <a:endParaRPr lang="cs-CZ"/>
          </a:p>
        </c:txPr>
        <c:crossAx val="115319552"/>
        <c:crosses val="autoZero"/>
        <c:auto val="1"/>
        <c:lblAlgn val="ctr"/>
        <c:lblOffset val="100"/>
        <c:noMultiLvlLbl val="0"/>
      </c:catAx>
      <c:valAx>
        <c:axId val="115319552"/>
        <c:scaling>
          <c:orientation val="minMax"/>
        </c:scaling>
        <c:delete val="0"/>
        <c:axPos val="l"/>
        <c:majorGridlines>
          <c:spPr>
            <a:ln w="9525" cap="flat" cmpd="sng" algn="ctr">
              <a:solidFill>
                <a:schemeClr val="dk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cs-CZ"/>
          </a:p>
        </c:txPr>
        <c:crossAx val="115296128"/>
        <c:crosses val="autoZero"/>
        <c:crossBetween val="between"/>
      </c:valAx>
      <c:spPr>
        <a:pattFill prst="ltDnDiag">
          <a:fgClr>
            <a:schemeClr val="dk1">
              <a:lumMod val="15000"/>
              <a:lumOff val="85000"/>
            </a:schemeClr>
          </a:fgClr>
          <a:bgClr>
            <a:schemeClr val="lt1"/>
          </a:bgClr>
        </a:pattFill>
        <a:ln>
          <a:noFill/>
        </a:ln>
        <a:effectLst/>
      </c:spPr>
    </c:plotArea>
    <c:plotVisOnly val="1"/>
    <c:dispBlanksAs val="gap"/>
    <c:showDLblsOverMax val="0"/>
  </c:chart>
  <c:spPr>
    <a:solidFill>
      <a:schemeClr val="lt1"/>
    </a:solidFill>
    <a:ln w="9525" cap="flat" cmpd="sng" algn="ctr">
      <a:solidFill>
        <a:schemeClr val="dk1">
          <a:lumMod val="15000"/>
          <a:lumOff val="85000"/>
        </a:schemeClr>
      </a:solidFill>
      <a:round/>
    </a:ln>
    <a:effectLst/>
  </c:spPr>
  <c:txPr>
    <a:bodyPr/>
    <a:lstStyle/>
    <a:p>
      <a:pPr>
        <a:defRPr/>
      </a:pPr>
      <a:endParaRPr lang="cs-CZ"/>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stacked"/>
        <c:varyColors val="0"/>
        <c:ser>
          <c:idx val="0"/>
          <c:order val="0"/>
          <c:tx>
            <c:strRef>
              <c:f>List2!$B$44</c:f>
              <c:strCache>
                <c:ptCount val="1"/>
                <c:pt idx="0">
                  <c:v>Podíl obcí s přírůstkem obyvatelstva (%)</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cs-CZ"/>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List2!$A$45:$A$60</c:f>
              <c:strCache>
                <c:ptCount val="16"/>
                <c:pt idx="0">
                  <c:v>Hl. m. Praha (M)</c:v>
                </c:pt>
                <c:pt idx="1">
                  <c:v>Středočeský kraj (M)</c:v>
                </c:pt>
                <c:pt idx="2">
                  <c:v>Ústecký kraj</c:v>
                </c:pt>
                <c:pt idx="3">
                  <c:v>Liberecký kraj</c:v>
                </c:pt>
                <c:pt idx="4">
                  <c:v>Královéhradecký kraj</c:v>
                </c:pt>
                <c:pt idx="5">
                  <c:v>Jihomoravský kraj</c:v>
                </c:pt>
                <c:pt idx="6">
                  <c:v>Plzeňský kraj (V)</c:v>
                </c:pt>
                <c:pt idx="7">
                  <c:v>Pardubický kraj (V)</c:v>
                </c:pt>
                <c:pt idx="8">
                  <c:v>Jihočeský kraj (V)</c:v>
                </c:pt>
                <c:pt idx="9">
                  <c:v>Moravskoslezský kraj</c:v>
                </c:pt>
                <c:pt idx="10">
                  <c:v>Zlínský kraj (V)</c:v>
                </c:pt>
                <c:pt idx="11">
                  <c:v>Karlovarský kraj</c:v>
                </c:pt>
                <c:pt idx="12">
                  <c:v>Kraj Vysočina (V)</c:v>
                </c:pt>
                <c:pt idx="13">
                  <c:v>Olomoucký kraj (V)</c:v>
                </c:pt>
                <c:pt idx="15">
                  <c:v>ČR celkem</c:v>
                </c:pt>
              </c:strCache>
            </c:strRef>
          </c:cat>
          <c:val>
            <c:numRef>
              <c:f>List2!$B$45:$B$60</c:f>
              <c:numCache>
                <c:formatCode>0.0</c:formatCode>
                <c:ptCount val="16"/>
                <c:pt idx="0">
                  <c:v>100</c:v>
                </c:pt>
                <c:pt idx="1">
                  <c:v>88.811188811188813</c:v>
                </c:pt>
                <c:pt idx="2">
                  <c:v>78.813559322033896</c:v>
                </c:pt>
                <c:pt idx="3">
                  <c:v>75.813953488372093</c:v>
                </c:pt>
                <c:pt idx="4">
                  <c:v>72.767857142857139</c:v>
                </c:pt>
                <c:pt idx="5">
                  <c:v>70.876671619613674</c:v>
                </c:pt>
                <c:pt idx="6">
                  <c:v>67.265469061876246</c:v>
                </c:pt>
                <c:pt idx="7">
                  <c:v>66.740576496674052</c:v>
                </c:pt>
                <c:pt idx="8">
                  <c:v>66.506410256410248</c:v>
                </c:pt>
                <c:pt idx="9">
                  <c:v>63.666666666666671</c:v>
                </c:pt>
                <c:pt idx="10">
                  <c:v>61.563517915309454</c:v>
                </c:pt>
                <c:pt idx="11">
                  <c:v>61.194029850746269</c:v>
                </c:pt>
                <c:pt idx="12">
                  <c:v>57.67045454545454</c:v>
                </c:pt>
                <c:pt idx="13">
                  <c:v>56.965174129353237</c:v>
                </c:pt>
                <c:pt idx="15">
                  <c:v>70.501757750079889</c:v>
                </c:pt>
              </c:numCache>
            </c:numRef>
          </c:val>
          <c:extLst>
            <c:ext xmlns:c16="http://schemas.microsoft.com/office/drawing/2014/chart" uri="{C3380CC4-5D6E-409C-BE32-E72D297353CC}">
              <c16:uniqueId val="{00000000-DEE5-4C83-A7DD-819BACFA8374}"/>
            </c:ext>
          </c:extLst>
        </c:ser>
        <c:ser>
          <c:idx val="1"/>
          <c:order val="1"/>
          <c:tx>
            <c:strRef>
              <c:f>List2!$C$44</c:f>
              <c:strCache>
                <c:ptCount val="1"/>
                <c:pt idx="0">
                  <c:v>s úbytkem obyvatelstva (%)</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cs-CZ"/>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List2!$A$45:$A$60</c:f>
              <c:strCache>
                <c:ptCount val="16"/>
                <c:pt idx="0">
                  <c:v>Hl. m. Praha (M)</c:v>
                </c:pt>
                <c:pt idx="1">
                  <c:v>Středočeský kraj (M)</c:v>
                </c:pt>
                <c:pt idx="2">
                  <c:v>Ústecký kraj</c:v>
                </c:pt>
                <c:pt idx="3">
                  <c:v>Liberecký kraj</c:v>
                </c:pt>
                <c:pt idx="4">
                  <c:v>Královéhradecký kraj</c:v>
                </c:pt>
                <c:pt idx="5">
                  <c:v>Jihomoravský kraj</c:v>
                </c:pt>
                <c:pt idx="6">
                  <c:v>Plzeňský kraj (V)</c:v>
                </c:pt>
                <c:pt idx="7">
                  <c:v>Pardubický kraj (V)</c:v>
                </c:pt>
                <c:pt idx="8">
                  <c:v>Jihočeský kraj (V)</c:v>
                </c:pt>
                <c:pt idx="9">
                  <c:v>Moravskoslezský kraj</c:v>
                </c:pt>
                <c:pt idx="10">
                  <c:v>Zlínský kraj (V)</c:v>
                </c:pt>
                <c:pt idx="11">
                  <c:v>Karlovarský kraj</c:v>
                </c:pt>
                <c:pt idx="12">
                  <c:v>Kraj Vysočina (V)</c:v>
                </c:pt>
                <c:pt idx="13">
                  <c:v>Olomoucký kraj (V)</c:v>
                </c:pt>
                <c:pt idx="15">
                  <c:v>ČR celkem</c:v>
                </c:pt>
              </c:strCache>
            </c:strRef>
          </c:cat>
          <c:val>
            <c:numRef>
              <c:f>List2!$C$45:$C$60</c:f>
              <c:numCache>
                <c:formatCode>0.0</c:formatCode>
                <c:ptCount val="16"/>
                <c:pt idx="0">
                  <c:v>0</c:v>
                </c:pt>
                <c:pt idx="1">
                  <c:v>11.188811188811188</c:v>
                </c:pt>
                <c:pt idx="2">
                  <c:v>21.1864406779661</c:v>
                </c:pt>
                <c:pt idx="3">
                  <c:v>24.186046511627907</c:v>
                </c:pt>
                <c:pt idx="4">
                  <c:v>27.232142857142854</c:v>
                </c:pt>
                <c:pt idx="5">
                  <c:v>29.123328380386333</c:v>
                </c:pt>
                <c:pt idx="6">
                  <c:v>32.734530938123754</c:v>
                </c:pt>
                <c:pt idx="7">
                  <c:v>33.259423503325941</c:v>
                </c:pt>
                <c:pt idx="8">
                  <c:v>33.493589743589745</c:v>
                </c:pt>
                <c:pt idx="9">
                  <c:v>36.333333333333336</c:v>
                </c:pt>
                <c:pt idx="10">
                  <c:v>38.436482084690553</c:v>
                </c:pt>
                <c:pt idx="11">
                  <c:v>38.805970149253731</c:v>
                </c:pt>
                <c:pt idx="12">
                  <c:v>42.329545454545453</c:v>
                </c:pt>
                <c:pt idx="13">
                  <c:v>43.034825870646763</c:v>
                </c:pt>
                <c:pt idx="15">
                  <c:v>29.498242249920104</c:v>
                </c:pt>
              </c:numCache>
            </c:numRef>
          </c:val>
          <c:extLst>
            <c:ext xmlns:c16="http://schemas.microsoft.com/office/drawing/2014/chart" uri="{C3380CC4-5D6E-409C-BE32-E72D297353CC}">
              <c16:uniqueId val="{00000001-DEE5-4C83-A7DD-819BACFA8374}"/>
            </c:ext>
          </c:extLst>
        </c:ser>
        <c:dLbls>
          <c:showLegendKey val="0"/>
          <c:showVal val="0"/>
          <c:showCatName val="0"/>
          <c:showSerName val="0"/>
          <c:showPercent val="0"/>
          <c:showBubbleSize val="0"/>
        </c:dLbls>
        <c:gapWidth val="150"/>
        <c:overlap val="100"/>
        <c:axId val="94024448"/>
        <c:axId val="94025984"/>
      </c:barChart>
      <c:catAx>
        <c:axId val="9402444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94025984"/>
        <c:crosses val="autoZero"/>
        <c:auto val="1"/>
        <c:lblAlgn val="ctr"/>
        <c:lblOffset val="100"/>
        <c:noMultiLvlLbl val="0"/>
      </c:catAx>
      <c:valAx>
        <c:axId val="94025984"/>
        <c:scaling>
          <c:orientation val="minMax"/>
          <c:max val="100"/>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94024448"/>
        <c:crosses val="autoZero"/>
        <c:crossBetween val="between"/>
      </c:valAx>
      <c:spPr>
        <a:noFill/>
        <a:ln>
          <a:noFill/>
        </a:ln>
        <a:effectLst/>
      </c:spPr>
    </c:plotArea>
    <c:legend>
      <c:legendPos val="b"/>
      <c:layout>
        <c:manualLayout>
          <c:xMode val="edge"/>
          <c:yMode val="edge"/>
          <c:x val="7.5226210346724829E-3"/>
          <c:y val="0.88128856534442623"/>
          <c:w val="0.97027478141861745"/>
          <c:h val="8.0975585598969946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cs-CZ"/>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percentStacked"/>
        <c:varyColors val="0"/>
        <c:ser>
          <c:idx val="0"/>
          <c:order val="0"/>
          <c:tx>
            <c:strRef>
              <c:f>'IS 2018'!$M$59</c:f>
              <c:strCache>
                <c:ptCount val="1"/>
                <c:pt idx="0">
                  <c:v>0-14 let </c:v>
                </c:pt>
              </c:strCache>
            </c:strRef>
          </c:tx>
          <c:spPr>
            <a:solidFill>
              <a:schemeClr val="accent1">
                <a:lumMod val="60000"/>
                <a:lumOff val="4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cs-CZ"/>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'IS 2018'!$L$60:$L$70</c:f>
              <c:strCache>
                <c:ptCount val="11"/>
                <c:pt idx="0">
                  <c:v>do 99</c:v>
                </c:pt>
                <c:pt idx="1">
                  <c:v>100 -199</c:v>
                </c:pt>
                <c:pt idx="2">
                  <c:v>200 - 499</c:v>
                </c:pt>
                <c:pt idx="3">
                  <c:v>500 -999</c:v>
                </c:pt>
                <c:pt idx="4">
                  <c:v>1000 - 1999</c:v>
                </c:pt>
                <c:pt idx="5">
                  <c:v>2 000 - 9 999</c:v>
                </c:pt>
                <c:pt idx="6">
                  <c:v>10 000 - 19 999</c:v>
                </c:pt>
                <c:pt idx="7">
                  <c:v>20 000 - 49 999</c:v>
                </c:pt>
                <c:pt idx="8">
                  <c:v>50 000 - 99 999</c:v>
                </c:pt>
                <c:pt idx="9">
                  <c:v>100 000 a více</c:v>
                </c:pt>
                <c:pt idx="10">
                  <c:v>ČŘ</c:v>
                </c:pt>
              </c:strCache>
            </c:strRef>
          </c:cat>
          <c:val>
            <c:numRef>
              <c:f>'IS 2018'!$M$60:$M$70</c:f>
              <c:numCache>
                <c:formatCode>0.0</c:formatCode>
                <c:ptCount val="11"/>
                <c:pt idx="0">
                  <c:v>14.320900774102743</c:v>
                </c:pt>
                <c:pt idx="1">
                  <c:v>15.176962567572161</c:v>
                </c:pt>
                <c:pt idx="2">
                  <c:v>15.933831212735877</c:v>
                </c:pt>
                <c:pt idx="3">
                  <c:v>16.42613072749598</c:v>
                </c:pt>
                <c:pt idx="4">
                  <c:v>16.700703081514522</c:v>
                </c:pt>
                <c:pt idx="5">
                  <c:v>16.053603990048796</c:v>
                </c:pt>
                <c:pt idx="6">
                  <c:v>15.634963107446076</c:v>
                </c:pt>
                <c:pt idx="7">
                  <c:v>15.015594346555883</c:v>
                </c:pt>
                <c:pt idx="8">
                  <c:v>15.139265574689469</c:v>
                </c:pt>
                <c:pt idx="9">
                  <c:v>15.422417805212959</c:v>
                </c:pt>
                <c:pt idx="10">
                  <c:v>15.746167197059771</c:v>
                </c:pt>
              </c:numCache>
            </c:numRef>
          </c:val>
          <c:extLst>
            <c:ext xmlns:c16="http://schemas.microsoft.com/office/drawing/2014/chart" uri="{C3380CC4-5D6E-409C-BE32-E72D297353CC}">
              <c16:uniqueId val="{00000000-EED8-4697-82D9-2FE74CD6B753}"/>
            </c:ext>
          </c:extLst>
        </c:ser>
        <c:ser>
          <c:idx val="1"/>
          <c:order val="1"/>
          <c:tx>
            <c:strRef>
              <c:f>'IS 2018'!$N$59</c:f>
              <c:strCache>
                <c:ptCount val="1"/>
                <c:pt idx="0">
                  <c:v>15-64 let </c:v>
                </c:pt>
              </c:strCache>
            </c:strRef>
          </c:tx>
          <c:spPr>
            <a:solidFill>
              <a:schemeClr val="accent2">
                <a:lumMod val="60000"/>
                <a:lumOff val="4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cs-CZ"/>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'IS 2018'!$L$60:$L$70</c:f>
              <c:strCache>
                <c:ptCount val="11"/>
                <c:pt idx="0">
                  <c:v>do 99</c:v>
                </c:pt>
                <c:pt idx="1">
                  <c:v>100 -199</c:v>
                </c:pt>
                <c:pt idx="2">
                  <c:v>200 - 499</c:v>
                </c:pt>
                <c:pt idx="3">
                  <c:v>500 -999</c:v>
                </c:pt>
                <c:pt idx="4">
                  <c:v>1000 - 1999</c:v>
                </c:pt>
                <c:pt idx="5">
                  <c:v>2 000 - 9 999</c:v>
                </c:pt>
                <c:pt idx="6">
                  <c:v>10 000 - 19 999</c:v>
                </c:pt>
                <c:pt idx="7">
                  <c:v>20 000 - 49 999</c:v>
                </c:pt>
                <c:pt idx="8">
                  <c:v>50 000 - 99 999</c:v>
                </c:pt>
                <c:pt idx="9">
                  <c:v>100 000 a více</c:v>
                </c:pt>
                <c:pt idx="10">
                  <c:v>ČŘ</c:v>
                </c:pt>
              </c:strCache>
            </c:strRef>
          </c:cat>
          <c:val>
            <c:numRef>
              <c:f>'IS 2018'!$N$60:$N$70</c:f>
              <c:numCache>
                <c:formatCode>0.0</c:formatCode>
                <c:ptCount val="11"/>
                <c:pt idx="0">
                  <c:v>63.303691382509122</c:v>
                </c:pt>
                <c:pt idx="1">
                  <c:v>64.784279060279474</c:v>
                </c:pt>
                <c:pt idx="2">
                  <c:v>65.612975597762613</c:v>
                </c:pt>
                <c:pt idx="3">
                  <c:v>65.616097870720949</c:v>
                </c:pt>
                <c:pt idx="4">
                  <c:v>65.495908981244185</c:v>
                </c:pt>
                <c:pt idx="5">
                  <c:v>64.824828584424694</c:v>
                </c:pt>
                <c:pt idx="6">
                  <c:v>64.668380260882316</c:v>
                </c:pt>
                <c:pt idx="7">
                  <c:v>64.734987214761645</c:v>
                </c:pt>
                <c:pt idx="8">
                  <c:v>64.304430284504505</c:v>
                </c:pt>
                <c:pt idx="9">
                  <c:v>65.213754952671039</c:v>
                </c:pt>
                <c:pt idx="10">
                  <c:v>65.025063489303307</c:v>
                </c:pt>
              </c:numCache>
            </c:numRef>
          </c:val>
          <c:extLst>
            <c:ext xmlns:c16="http://schemas.microsoft.com/office/drawing/2014/chart" uri="{C3380CC4-5D6E-409C-BE32-E72D297353CC}">
              <c16:uniqueId val="{00000001-EED8-4697-82D9-2FE74CD6B753}"/>
            </c:ext>
          </c:extLst>
        </c:ser>
        <c:ser>
          <c:idx val="2"/>
          <c:order val="2"/>
          <c:tx>
            <c:strRef>
              <c:f>'IS 2018'!$O$59</c:f>
              <c:strCache>
                <c:ptCount val="1"/>
                <c:pt idx="0">
                  <c:v>65 a více let</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cs-CZ"/>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'IS 2018'!$L$60:$L$70</c:f>
              <c:strCache>
                <c:ptCount val="11"/>
                <c:pt idx="0">
                  <c:v>do 99</c:v>
                </c:pt>
                <c:pt idx="1">
                  <c:v>100 -199</c:v>
                </c:pt>
                <c:pt idx="2">
                  <c:v>200 - 499</c:v>
                </c:pt>
                <c:pt idx="3">
                  <c:v>500 -999</c:v>
                </c:pt>
                <c:pt idx="4">
                  <c:v>1000 - 1999</c:v>
                </c:pt>
                <c:pt idx="5">
                  <c:v>2 000 - 9 999</c:v>
                </c:pt>
                <c:pt idx="6">
                  <c:v>10 000 - 19 999</c:v>
                </c:pt>
                <c:pt idx="7">
                  <c:v>20 000 - 49 999</c:v>
                </c:pt>
                <c:pt idx="8">
                  <c:v>50 000 - 99 999</c:v>
                </c:pt>
                <c:pt idx="9">
                  <c:v>100 000 a více</c:v>
                </c:pt>
                <c:pt idx="10">
                  <c:v>ČŘ</c:v>
                </c:pt>
              </c:strCache>
            </c:strRef>
          </c:cat>
          <c:val>
            <c:numRef>
              <c:f>'IS 2018'!$O$60:$O$70</c:f>
              <c:numCache>
                <c:formatCode>0.0</c:formatCode>
                <c:ptCount val="11"/>
                <c:pt idx="0">
                  <c:v>22.375407843388139</c:v>
                </c:pt>
                <c:pt idx="1">
                  <c:v>20.038758372148369</c:v>
                </c:pt>
                <c:pt idx="2">
                  <c:v>18.453193189501508</c:v>
                </c:pt>
                <c:pt idx="3">
                  <c:v>17.957771401783067</c:v>
                </c:pt>
                <c:pt idx="4">
                  <c:v>17.803387937241283</c:v>
                </c:pt>
                <c:pt idx="5">
                  <c:v>19.121567425526514</c:v>
                </c:pt>
                <c:pt idx="6">
                  <c:v>19.696656631671601</c:v>
                </c:pt>
                <c:pt idx="7">
                  <c:v>20.249418438682483</c:v>
                </c:pt>
                <c:pt idx="8">
                  <c:v>20.556304140806013</c:v>
                </c:pt>
                <c:pt idx="9">
                  <c:v>19.363827242116006</c:v>
                </c:pt>
                <c:pt idx="10">
                  <c:v>19.228769313636924</c:v>
                </c:pt>
              </c:numCache>
            </c:numRef>
          </c:val>
          <c:extLst>
            <c:ext xmlns:c16="http://schemas.microsoft.com/office/drawing/2014/chart" uri="{C3380CC4-5D6E-409C-BE32-E72D297353CC}">
              <c16:uniqueId val="{00000002-EED8-4697-82D9-2FE74CD6B753}"/>
            </c:ext>
          </c:extLst>
        </c:ser>
        <c:dLbls>
          <c:showLegendKey val="0"/>
          <c:showVal val="0"/>
          <c:showCatName val="0"/>
          <c:showSerName val="0"/>
          <c:showPercent val="0"/>
          <c:showBubbleSize val="0"/>
        </c:dLbls>
        <c:gapWidth val="219"/>
        <c:overlap val="100"/>
        <c:axId val="95790976"/>
        <c:axId val="95792512"/>
      </c:barChart>
      <c:lineChart>
        <c:grouping val="stacked"/>
        <c:varyColors val="0"/>
        <c:ser>
          <c:idx val="3"/>
          <c:order val="3"/>
          <c:tx>
            <c:strRef>
              <c:f>'IS 2018'!$P$59</c:f>
              <c:strCache>
                <c:ptCount val="1"/>
                <c:pt idx="0">
                  <c:v>Index stáří </c:v>
                </c:pt>
              </c:strCache>
            </c:strRef>
          </c:tx>
          <c:spPr>
            <a:ln w="28575" cap="rnd">
              <a:solidFill>
                <a:srgbClr val="FF0000"/>
              </a:solidFill>
              <a:round/>
            </a:ln>
            <a:effectLst/>
          </c:spPr>
          <c:marker>
            <c:symbol val="circle"/>
            <c:size val="5"/>
            <c:spPr>
              <a:solidFill>
                <a:schemeClr val="accent4"/>
              </a:solidFill>
              <a:ln w="9525">
                <a:solidFill>
                  <a:srgbClr val="FF0000"/>
                </a:solidFill>
              </a:ln>
              <a:effectLst/>
            </c:spPr>
          </c:marker>
          <c:dLbls>
            <c:dLbl>
              <c:idx val="3"/>
              <c:layout>
                <c:manualLayout>
                  <c:x val="-3.9920169723193545E-2"/>
                  <c:y val="4.050141051944810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EED8-4697-82D9-2FE74CD6B753}"/>
                </c:ext>
              </c:extLst>
            </c:dLbl>
            <c:dLbl>
              <c:idx val="4"/>
              <c:layout>
                <c:manualLayout>
                  <c:x val="-3.9920169723193545E-2"/>
                  <c:y val="3.623474456949164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EED8-4697-82D9-2FE74CD6B753}"/>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rgbClr val="FF0000"/>
                    </a:solidFill>
                    <a:latin typeface="+mn-lt"/>
                    <a:ea typeface="+mn-ea"/>
                    <a:cs typeface="+mn-cs"/>
                  </a:defRPr>
                </a:pPr>
                <a:endParaRPr lang="cs-CZ"/>
              </a:p>
            </c:txPr>
            <c:dLblPos val="b"/>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'IS 2018'!$L$60:$L$70</c:f>
              <c:strCache>
                <c:ptCount val="11"/>
                <c:pt idx="0">
                  <c:v>do 99</c:v>
                </c:pt>
                <c:pt idx="1">
                  <c:v>100 -199</c:v>
                </c:pt>
                <c:pt idx="2">
                  <c:v>200 - 499</c:v>
                </c:pt>
                <c:pt idx="3">
                  <c:v>500 -999</c:v>
                </c:pt>
                <c:pt idx="4">
                  <c:v>1000 - 1999</c:v>
                </c:pt>
                <c:pt idx="5">
                  <c:v>2 000 - 9 999</c:v>
                </c:pt>
                <c:pt idx="6">
                  <c:v>10 000 - 19 999</c:v>
                </c:pt>
                <c:pt idx="7">
                  <c:v>20 000 - 49 999</c:v>
                </c:pt>
                <c:pt idx="8">
                  <c:v>50 000 - 99 999</c:v>
                </c:pt>
                <c:pt idx="9">
                  <c:v>100 000 a více</c:v>
                </c:pt>
                <c:pt idx="10">
                  <c:v>ČŘ</c:v>
                </c:pt>
              </c:strCache>
            </c:strRef>
          </c:cat>
          <c:val>
            <c:numRef>
              <c:f>'IS 2018'!$P$60:$P$70</c:f>
              <c:numCache>
                <c:formatCode>0.0</c:formatCode>
                <c:ptCount val="11"/>
                <c:pt idx="0">
                  <c:v>156.24301987938352</c:v>
                </c:pt>
                <c:pt idx="1">
                  <c:v>132.03405017921145</c:v>
                </c:pt>
                <c:pt idx="2">
                  <c:v>115.81140118235913</c:v>
                </c:pt>
                <c:pt idx="3">
                  <c:v>109.3244154676259</c:v>
                </c:pt>
                <c:pt idx="4">
                  <c:v>106.60262535262535</c:v>
                </c:pt>
                <c:pt idx="5">
                  <c:v>119.11074570781408</c:v>
                </c:pt>
                <c:pt idx="6">
                  <c:v>125.9782737977243</c:v>
                </c:pt>
                <c:pt idx="7">
                  <c:v>134.85592359071074</c:v>
                </c:pt>
                <c:pt idx="8">
                  <c:v>135.78138278499455</c:v>
                </c:pt>
                <c:pt idx="9">
                  <c:v>125.5563653292469</c:v>
                </c:pt>
                <c:pt idx="10">
                  <c:v>122.1171417335607</c:v>
                </c:pt>
              </c:numCache>
            </c:numRef>
          </c:val>
          <c:smooth val="0"/>
          <c:extLst>
            <c:ext xmlns:c16="http://schemas.microsoft.com/office/drawing/2014/chart" uri="{C3380CC4-5D6E-409C-BE32-E72D297353CC}">
              <c16:uniqueId val="{00000005-EED8-4697-82D9-2FE74CD6B753}"/>
            </c:ext>
          </c:extLst>
        </c:ser>
        <c:dLbls>
          <c:showLegendKey val="0"/>
          <c:showVal val="0"/>
          <c:showCatName val="0"/>
          <c:showSerName val="0"/>
          <c:showPercent val="0"/>
          <c:showBubbleSize val="0"/>
        </c:dLbls>
        <c:marker val="1"/>
        <c:smooth val="0"/>
        <c:axId val="95812224"/>
        <c:axId val="95810688"/>
      </c:lineChart>
      <c:catAx>
        <c:axId val="9579097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95792512"/>
        <c:crosses val="autoZero"/>
        <c:auto val="1"/>
        <c:lblAlgn val="ctr"/>
        <c:lblOffset val="100"/>
        <c:noMultiLvlLbl val="0"/>
      </c:catAx>
      <c:valAx>
        <c:axId val="95792512"/>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95790976"/>
        <c:crosses val="autoZero"/>
        <c:crossBetween val="between"/>
      </c:valAx>
      <c:valAx>
        <c:axId val="95810688"/>
        <c:scaling>
          <c:orientation val="minMax"/>
        </c:scaling>
        <c:delete val="0"/>
        <c:axPos val="r"/>
        <c:numFmt formatCode="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95812224"/>
        <c:crosses val="max"/>
        <c:crossBetween val="between"/>
      </c:valAx>
      <c:catAx>
        <c:axId val="95812224"/>
        <c:scaling>
          <c:orientation val="minMax"/>
        </c:scaling>
        <c:delete val="1"/>
        <c:axPos val="b"/>
        <c:numFmt formatCode="General" sourceLinked="1"/>
        <c:majorTickMark val="out"/>
        <c:minorTickMark val="none"/>
        <c:tickLblPos val="nextTo"/>
        <c:crossAx val="95810688"/>
        <c:crosses val="autoZero"/>
        <c:auto val="1"/>
        <c:lblAlgn val="ctr"/>
        <c:lblOffset val="100"/>
        <c:noMultiLvlLbl val="0"/>
      </c:cat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cs-CZ"/>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'IS 2018'!$I$89</c:f>
              <c:strCache>
                <c:ptCount val="1"/>
                <c:pt idx="0">
                  <c:v>Index stáří - město</c:v>
                </c:pt>
              </c:strCache>
            </c:strRef>
          </c:tx>
          <c:spPr>
            <a:solidFill>
              <a:srgbClr val="FF0000"/>
            </a:solidFill>
            <a:ln>
              <a:noFill/>
            </a:ln>
            <a:effectLst/>
          </c:spPr>
          <c:invertIfNegative val="0"/>
          <c:dLbls>
            <c:dLbl>
              <c:idx val="0"/>
              <c:layout>
                <c:manualLayout>
                  <c:x val="2.0898641588296568E-3"/>
                  <c:y val="-3.0188679245283019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A83F-4844-8533-700E8F90045C}"/>
                </c:ext>
              </c:extLst>
            </c:dLbl>
            <c:dLbl>
              <c:idx val="4"/>
              <c:layout>
                <c:manualLayout>
                  <c:x val="0"/>
                  <c:y val="-1.5094339622641515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A83F-4844-8533-700E8F90045C}"/>
                </c:ext>
              </c:extLst>
            </c:dLbl>
            <c:dLbl>
              <c:idx val="6"/>
              <c:layout>
                <c:manualLayout>
                  <c:x val="2.0898641588296763E-3"/>
                  <c:y val="-3.0188679245283019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A83F-4844-8533-700E8F90045C}"/>
                </c:ext>
              </c:extLst>
            </c:dLbl>
            <c:dLbl>
              <c:idx val="7"/>
              <c:layout>
                <c:manualLayout>
                  <c:x val="-7.6627467283380521E-17"/>
                  <c:y val="-2.5157232704402527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A83F-4844-8533-700E8F90045C}"/>
                </c:ext>
              </c:extLst>
            </c:dLbl>
            <c:dLbl>
              <c:idx val="12"/>
              <c:layout>
                <c:manualLayout>
                  <c:x val="0"/>
                  <c:y val="-4.5283018867924525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A83F-4844-8533-700E8F90045C}"/>
                </c:ext>
              </c:extLst>
            </c:dLbl>
            <c:spPr>
              <a:noFill/>
              <a:ln>
                <a:noFill/>
              </a:ln>
              <a:effectLst/>
            </c:spPr>
            <c:txPr>
              <a:bodyPr rot="0" spcFirstLastPara="1" vertOverflow="overflow" horzOverflow="overflow" vert="horz" wrap="none" lIns="38100" tIns="19050" rIns="38100" bIns="19050" anchor="t" anchorCtr="0">
                <a:spAutoFit/>
              </a:bodyPr>
              <a:lstStyle/>
              <a:p>
                <a:pPr>
                  <a:defRPr sz="900" b="0" i="0" u="none" strike="noStrike" kern="1200" baseline="0">
                    <a:solidFill>
                      <a:srgbClr val="FF0000"/>
                    </a:solidFill>
                    <a:latin typeface="+mn-lt"/>
                    <a:ea typeface="+mn-ea"/>
                    <a:cs typeface="+mn-cs"/>
                  </a:defRPr>
                </a:pPr>
                <a:endParaRPr lang="cs-CZ"/>
              </a:p>
            </c:txPr>
            <c:dLblPos val="outEnd"/>
            <c:showLegendKey val="0"/>
            <c:showVal val="1"/>
            <c:showCatName val="0"/>
            <c:showSerName val="0"/>
            <c:showPercent val="0"/>
            <c:showBubbleSize val="0"/>
            <c:showLeaderLines val="0"/>
            <c:extLst>
              <c:ext xmlns:c15="http://schemas.microsoft.com/office/drawing/2012/chart" uri="{CE6537A1-D6FC-4f65-9D91-7224C49458BB}">
                <c15:spPr xmlns:c15="http://schemas.microsoft.com/office/drawing/2012/chart">
                  <a:prstGeom prst="rect">
                    <a:avLst/>
                  </a:prstGeom>
                  <a:noFill/>
                  <a:ln>
                    <a:noFill/>
                  </a:ln>
                </c15:spPr>
                <c15:showLeaderLines val="1"/>
                <c15:leaderLines>
                  <c:spPr>
                    <a:ln w="9525" cap="flat" cmpd="sng" algn="ctr">
                      <a:solidFill>
                        <a:schemeClr val="tx1">
                          <a:lumMod val="35000"/>
                          <a:lumOff val="65000"/>
                        </a:schemeClr>
                      </a:solidFill>
                      <a:round/>
                    </a:ln>
                    <a:effectLst/>
                  </c:spPr>
                </c15:leaderLines>
              </c:ext>
            </c:extLst>
          </c:dLbls>
          <c:cat>
            <c:strRef>
              <c:f>'IS 2018'!$H$90:$H$104</c:f>
              <c:strCache>
                <c:ptCount val="15"/>
                <c:pt idx="0">
                  <c:v>Královéhradecký kraj</c:v>
                </c:pt>
                <c:pt idx="1">
                  <c:v>Zlínský kraj (V)</c:v>
                </c:pt>
                <c:pt idx="2">
                  <c:v>Karlovarský kraj</c:v>
                </c:pt>
                <c:pt idx="3">
                  <c:v>Kraj Vysočina (V)</c:v>
                </c:pt>
                <c:pt idx="4">
                  <c:v>Pardubický kraj (V)</c:v>
                </c:pt>
                <c:pt idx="5">
                  <c:v>Olomoucký kraj (V)</c:v>
                </c:pt>
                <c:pt idx="6">
                  <c:v>Plzeňský kraj (V)</c:v>
                </c:pt>
                <c:pt idx="7">
                  <c:v>Jihočeský kraj (V)</c:v>
                </c:pt>
                <c:pt idx="8">
                  <c:v>Moravskoslezský kraj</c:v>
                </c:pt>
                <c:pt idx="9">
                  <c:v>Jihomoravský kraj</c:v>
                </c:pt>
                <c:pt idx="10">
                  <c:v>Liberecký kraj</c:v>
                </c:pt>
                <c:pt idx="11">
                  <c:v>Ústecký kraj</c:v>
                </c:pt>
                <c:pt idx="12">
                  <c:v>Středočeský kraj (M)</c:v>
                </c:pt>
                <c:pt idx="13">
                  <c:v>Hl. m. Praha (M)</c:v>
                </c:pt>
                <c:pt idx="14">
                  <c:v>ČR celkem</c:v>
                </c:pt>
              </c:strCache>
            </c:strRef>
          </c:cat>
          <c:val>
            <c:numRef>
              <c:f>'IS 2018'!$I$90:$I$104</c:f>
              <c:numCache>
                <c:formatCode>0.0</c:formatCode>
                <c:ptCount val="15"/>
                <c:pt idx="0">
                  <c:v>147.30842894066458</c:v>
                </c:pt>
                <c:pt idx="1">
                  <c:v>143.45158164913056</c:v>
                </c:pt>
                <c:pt idx="2">
                  <c:v>139.23489349369657</c:v>
                </c:pt>
                <c:pt idx="3">
                  <c:v>138.18553503454109</c:v>
                </c:pt>
                <c:pt idx="4">
                  <c:v>136.16462881207659</c:v>
                </c:pt>
                <c:pt idx="5">
                  <c:v>136.10198027739921</c:v>
                </c:pt>
                <c:pt idx="6">
                  <c:v>133.36167752249111</c:v>
                </c:pt>
                <c:pt idx="7">
                  <c:v>132.74044695294026</c:v>
                </c:pt>
                <c:pt idx="8">
                  <c:v>132.57333862251502</c:v>
                </c:pt>
                <c:pt idx="9">
                  <c:v>129.51375741512055</c:v>
                </c:pt>
                <c:pt idx="10">
                  <c:v>124.72292309129989</c:v>
                </c:pt>
                <c:pt idx="11">
                  <c:v>122.15857394856559</c:v>
                </c:pt>
                <c:pt idx="12">
                  <c:v>105.82584529236117</c:v>
                </c:pt>
                <c:pt idx="13">
                  <c:v>119.56277701434183</c:v>
                </c:pt>
                <c:pt idx="14">
                  <c:v>127.53457808987842</c:v>
                </c:pt>
              </c:numCache>
            </c:numRef>
          </c:val>
          <c:extLst>
            <c:ext xmlns:c16="http://schemas.microsoft.com/office/drawing/2014/chart" uri="{C3380CC4-5D6E-409C-BE32-E72D297353CC}">
              <c16:uniqueId val="{00000005-A83F-4844-8533-700E8F90045C}"/>
            </c:ext>
          </c:extLst>
        </c:ser>
        <c:ser>
          <c:idx val="1"/>
          <c:order val="1"/>
          <c:tx>
            <c:strRef>
              <c:f>'IS 2018'!$J$89</c:f>
              <c:strCache>
                <c:ptCount val="1"/>
                <c:pt idx="0">
                  <c:v>Index stáří - venkov</c:v>
                </c:pt>
              </c:strCache>
            </c:strRef>
          </c:tx>
          <c:spPr>
            <a:solidFill>
              <a:srgbClr val="00B050"/>
            </a:solidFill>
            <a:ln>
              <a:noFill/>
            </a:ln>
            <a:effectLst/>
          </c:spPr>
          <c:invertIfNegative val="0"/>
          <c:dLbls>
            <c:dLbl>
              <c:idx val="1"/>
              <c:layout>
                <c:manualLayout>
                  <c:x val="8.3594566353187051E-3"/>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A83F-4844-8533-700E8F90045C}"/>
                </c:ext>
              </c:extLst>
            </c:dLbl>
            <c:dLbl>
              <c:idx val="2"/>
              <c:layout>
                <c:manualLayout>
                  <c:x val="1.4629049111807733E-2"/>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A83F-4844-8533-700E8F90045C}"/>
                </c:ext>
              </c:extLst>
            </c:dLbl>
            <c:dLbl>
              <c:idx val="3"/>
              <c:layout>
                <c:manualLayout>
                  <c:x val="1.0449320794148342E-2"/>
                  <c:y val="-4.6121060496978085E-17"/>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A83F-4844-8533-700E8F90045C}"/>
                </c:ext>
              </c:extLst>
            </c:dLbl>
            <c:dLbl>
              <c:idx val="4"/>
              <c:layout>
                <c:manualLayout>
                  <c:x val="1.2539184952978056E-2"/>
                  <c:y val="-4.6121060496978085E-17"/>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A83F-4844-8533-700E8F90045C}"/>
                </c:ext>
              </c:extLst>
            </c:dLbl>
            <c:dLbl>
              <c:idx val="5"/>
              <c:layout>
                <c:manualLayout>
                  <c:x val="1.0449320794148381E-2"/>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A83F-4844-8533-700E8F90045C}"/>
                </c:ext>
              </c:extLst>
            </c:dLbl>
            <c:dLbl>
              <c:idx val="6"/>
              <c:layout>
                <c:manualLayout>
                  <c:x val="1.0449320794148381E-2"/>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A83F-4844-8533-700E8F90045C}"/>
                </c:ext>
              </c:extLst>
            </c:dLbl>
            <c:dLbl>
              <c:idx val="8"/>
              <c:layout>
                <c:manualLayout>
                  <c:x val="8.3594566353187814E-3"/>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A83F-4844-8533-700E8F90045C}"/>
                </c:ext>
              </c:extLst>
            </c:dLbl>
            <c:dLbl>
              <c:idx val="9"/>
              <c:layout>
                <c:manualLayout>
                  <c:x val="6.2695924764889516E-3"/>
                  <c:y val="-4.6121060496978085E-17"/>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A83F-4844-8533-700E8F90045C}"/>
                </c:ext>
              </c:extLst>
            </c:dLbl>
            <c:dLbl>
              <c:idx val="10"/>
              <c:layout>
                <c:manualLayout>
                  <c:x val="8.3594566353187051E-3"/>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A83F-4844-8533-700E8F90045C}"/>
                </c:ext>
              </c:extLst>
            </c:dLbl>
            <c:dLbl>
              <c:idx val="11"/>
              <c:layout>
                <c:manualLayout>
                  <c:x val="1.0449320794148381E-2"/>
                  <c:y val="-4.6121060496978085E-17"/>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A83F-4844-8533-700E8F90045C}"/>
                </c:ext>
              </c:extLst>
            </c:dLbl>
            <c:dLbl>
              <c:idx val="12"/>
              <c:layout>
                <c:manualLayout>
                  <c:x val="4.1797283176593526E-3"/>
                  <c:y val="-4.6121060496978085E-17"/>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A83F-4844-8533-700E8F90045C}"/>
                </c:ext>
              </c:extLst>
            </c:dLbl>
            <c:dLbl>
              <c:idx val="14"/>
              <c:layout>
                <c:manualLayout>
                  <c:x val="1.2539184952977903E-2"/>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A83F-4844-8533-700E8F90045C}"/>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rgbClr val="00B050"/>
                    </a:solidFill>
                    <a:latin typeface="+mn-lt"/>
                    <a:ea typeface="+mn-ea"/>
                    <a:cs typeface="+mn-cs"/>
                  </a:defRPr>
                </a:pPr>
                <a:endParaRPr lang="cs-CZ"/>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'IS 2018'!$H$90:$H$104</c:f>
              <c:strCache>
                <c:ptCount val="15"/>
                <c:pt idx="0">
                  <c:v>Královéhradecký kraj</c:v>
                </c:pt>
                <c:pt idx="1">
                  <c:v>Zlínský kraj (V)</c:v>
                </c:pt>
                <c:pt idx="2">
                  <c:v>Karlovarský kraj</c:v>
                </c:pt>
                <c:pt idx="3">
                  <c:v>Kraj Vysočina (V)</c:v>
                </c:pt>
                <c:pt idx="4">
                  <c:v>Pardubický kraj (V)</c:v>
                </c:pt>
                <c:pt idx="5">
                  <c:v>Olomoucký kraj (V)</c:v>
                </c:pt>
                <c:pt idx="6">
                  <c:v>Plzeňský kraj (V)</c:v>
                </c:pt>
                <c:pt idx="7">
                  <c:v>Jihočeský kraj (V)</c:v>
                </c:pt>
                <c:pt idx="8">
                  <c:v>Moravskoslezský kraj</c:v>
                </c:pt>
                <c:pt idx="9">
                  <c:v>Jihomoravský kraj</c:v>
                </c:pt>
                <c:pt idx="10">
                  <c:v>Liberecký kraj</c:v>
                </c:pt>
                <c:pt idx="11">
                  <c:v>Ústecký kraj</c:v>
                </c:pt>
                <c:pt idx="12">
                  <c:v>Středočeský kraj (M)</c:v>
                </c:pt>
                <c:pt idx="13">
                  <c:v>Hl. m. Praha (M)</c:v>
                </c:pt>
                <c:pt idx="14">
                  <c:v>ČR celkem</c:v>
                </c:pt>
              </c:strCache>
            </c:strRef>
          </c:cat>
          <c:val>
            <c:numRef>
              <c:f>'IS 2018'!$J$90:$J$104</c:f>
              <c:numCache>
                <c:formatCode>0.0</c:formatCode>
                <c:ptCount val="15"/>
                <c:pt idx="0">
                  <c:v>116.34065202927479</c:v>
                </c:pt>
                <c:pt idx="1">
                  <c:v>116.90809279263325</c:v>
                </c:pt>
                <c:pt idx="2">
                  <c:v>109.14554743063208</c:v>
                </c:pt>
                <c:pt idx="3">
                  <c:v>121.1357164579359</c:v>
                </c:pt>
                <c:pt idx="4">
                  <c:v>111.78477611038981</c:v>
                </c:pt>
                <c:pt idx="5">
                  <c:v>119.78376589348262</c:v>
                </c:pt>
                <c:pt idx="6">
                  <c:v>122.21284058065145</c:v>
                </c:pt>
                <c:pt idx="7">
                  <c:v>116.65063882401429</c:v>
                </c:pt>
                <c:pt idx="8">
                  <c:v>109.49817147501015</c:v>
                </c:pt>
                <c:pt idx="9">
                  <c:v>110.54820224149297</c:v>
                </c:pt>
                <c:pt idx="10">
                  <c:v>116.51346027577149</c:v>
                </c:pt>
                <c:pt idx="11">
                  <c:v>114.1430765854729</c:v>
                </c:pt>
                <c:pt idx="12">
                  <c:v>99.763061968408266</c:v>
                </c:pt>
                <c:pt idx="14">
                  <c:v>112.21650354370571</c:v>
                </c:pt>
              </c:numCache>
            </c:numRef>
          </c:val>
          <c:extLst>
            <c:ext xmlns:c16="http://schemas.microsoft.com/office/drawing/2014/chart" uri="{C3380CC4-5D6E-409C-BE32-E72D297353CC}">
              <c16:uniqueId val="{00000012-A83F-4844-8533-700E8F90045C}"/>
            </c:ext>
          </c:extLst>
        </c:ser>
        <c:dLbls>
          <c:showLegendKey val="0"/>
          <c:showVal val="0"/>
          <c:showCatName val="0"/>
          <c:showSerName val="0"/>
          <c:showPercent val="0"/>
          <c:showBubbleSize val="0"/>
        </c:dLbls>
        <c:gapWidth val="219"/>
        <c:overlap val="-30"/>
        <c:axId val="1146771120"/>
        <c:axId val="813907688"/>
      </c:barChart>
      <c:catAx>
        <c:axId val="114677112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813907688"/>
        <c:crosses val="autoZero"/>
        <c:auto val="1"/>
        <c:lblAlgn val="ctr"/>
        <c:lblOffset val="100"/>
        <c:noMultiLvlLbl val="0"/>
      </c:catAx>
      <c:valAx>
        <c:axId val="813907688"/>
        <c:scaling>
          <c:orientation val="minMax"/>
          <c:min val="90"/>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114677112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cs-CZ"/>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'IS 2018'!$I$89</c:f>
              <c:strCache>
                <c:ptCount val="1"/>
                <c:pt idx="0">
                  <c:v>Index stáří města</c:v>
                </c:pt>
              </c:strCache>
            </c:strRef>
          </c:tx>
          <c:spPr>
            <a:solidFill>
              <a:srgbClr val="FF0000"/>
            </a:solidFill>
            <a:ln>
              <a:noFill/>
            </a:ln>
            <a:effectLst/>
          </c:spPr>
          <c:invertIfNegative val="0"/>
          <c:dLbls>
            <c:dLbl>
              <c:idx val="0"/>
              <c:layout>
                <c:manualLayout>
                  <c:x val="2.0898641588296568E-3"/>
                  <c:y val="-3.0188679245283019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8068-4965-A886-F78D9FFCB9E8}"/>
                </c:ext>
              </c:extLst>
            </c:dLbl>
            <c:dLbl>
              <c:idx val="4"/>
              <c:layout>
                <c:manualLayout>
                  <c:x val="0"/>
                  <c:y val="-1.5094339622641515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8068-4965-A886-F78D9FFCB9E8}"/>
                </c:ext>
              </c:extLst>
            </c:dLbl>
            <c:dLbl>
              <c:idx val="6"/>
              <c:layout>
                <c:manualLayout>
                  <c:x val="2.0898641588296763E-3"/>
                  <c:y val="-3.0188679245283019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8068-4965-A886-F78D9FFCB9E8}"/>
                </c:ext>
              </c:extLst>
            </c:dLbl>
            <c:dLbl>
              <c:idx val="7"/>
              <c:layout>
                <c:manualLayout>
                  <c:x val="-7.6627467283380521E-17"/>
                  <c:y val="-2.5157232704402527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8068-4965-A886-F78D9FFCB9E8}"/>
                </c:ext>
              </c:extLst>
            </c:dLbl>
            <c:dLbl>
              <c:idx val="12"/>
              <c:layout>
                <c:manualLayout>
                  <c:x val="0"/>
                  <c:y val="-4.5283018867924525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8068-4965-A886-F78D9FFCB9E8}"/>
                </c:ext>
              </c:extLst>
            </c:dLbl>
            <c:spPr>
              <a:noFill/>
              <a:ln>
                <a:noFill/>
              </a:ln>
              <a:effectLst/>
            </c:spPr>
            <c:txPr>
              <a:bodyPr rot="0" spcFirstLastPara="1" vertOverflow="overflow" horzOverflow="overflow" vert="horz" wrap="none" lIns="38100" tIns="19050" rIns="38100" bIns="19050" anchor="t" anchorCtr="0">
                <a:spAutoFit/>
              </a:bodyPr>
              <a:lstStyle/>
              <a:p>
                <a:pPr>
                  <a:defRPr sz="900" b="0" i="0" u="none" strike="noStrike" kern="1200" baseline="0">
                    <a:solidFill>
                      <a:srgbClr val="FF0000"/>
                    </a:solidFill>
                    <a:latin typeface="+mn-lt"/>
                    <a:ea typeface="+mn-ea"/>
                    <a:cs typeface="+mn-cs"/>
                  </a:defRPr>
                </a:pPr>
                <a:endParaRPr lang="cs-CZ"/>
              </a:p>
            </c:txPr>
            <c:dLblPos val="outEnd"/>
            <c:showLegendKey val="0"/>
            <c:showVal val="1"/>
            <c:showCatName val="0"/>
            <c:showSerName val="0"/>
            <c:showPercent val="0"/>
            <c:showBubbleSize val="0"/>
            <c:showLeaderLines val="0"/>
            <c:extLst>
              <c:ext xmlns:c15="http://schemas.microsoft.com/office/drawing/2012/chart" uri="{CE6537A1-D6FC-4f65-9D91-7224C49458BB}">
                <c15:spPr xmlns:c15="http://schemas.microsoft.com/office/drawing/2012/chart">
                  <a:prstGeom prst="rect">
                    <a:avLst/>
                  </a:prstGeom>
                </c15:spPr>
                <c15:showLeaderLines val="1"/>
                <c15:leaderLines>
                  <c:spPr>
                    <a:ln w="9525" cap="flat" cmpd="sng" algn="ctr">
                      <a:solidFill>
                        <a:schemeClr val="tx1">
                          <a:lumMod val="35000"/>
                          <a:lumOff val="65000"/>
                        </a:schemeClr>
                      </a:solidFill>
                      <a:round/>
                    </a:ln>
                    <a:effectLst/>
                  </c:spPr>
                </c15:leaderLines>
              </c:ext>
            </c:extLst>
          </c:dLbls>
          <c:cat>
            <c:strRef>
              <c:f>'IS 2018'!$H$90:$H$104</c:f>
              <c:strCache>
                <c:ptCount val="15"/>
                <c:pt idx="0">
                  <c:v>Plzeňský kraj (V)</c:v>
                </c:pt>
                <c:pt idx="1">
                  <c:v>Kraj Vysočina (V)</c:v>
                </c:pt>
                <c:pt idx="2">
                  <c:v>Olomoucký kraj (V)</c:v>
                </c:pt>
                <c:pt idx="3">
                  <c:v>Zlínský kraj (V)</c:v>
                </c:pt>
                <c:pt idx="4">
                  <c:v>Jihočeský kraj (V)</c:v>
                </c:pt>
                <c:pt idx="5">
                  <c:v>Královéhradecký kraj</c:v>
                </c:pt>
                <c:pt idx="6">
                  <c:v>Liberecký kraj</c:v>
                </c:pt>
                <c:pt idx="7">
                  <c:v>Ústecký kraj</c:v>
                </c:pt>
                <c:pt idx="8">
                  <c:v>Pardubický kraj (V)</c:v>
                </c:pt>
                <c:pt idx="9">
                  <c:v>Jihomoravský kraj</c:v>
                </c:pt>
                <c:pt idx="10">
                  <c:v>Moravskoslezský kraj</c:v>
                </c:pt>
                <c:pt idx="11">
                  <c:v>Karlovarský kraj</c:v>
                </c:pt>
                <c:pt idx="12">
                  <c:v>Středočeský kraj (M)</c:v>
                </c:pt>
                <c:pt idx="13">
                  <c:v>Hl. m. Praha (M)</c:v>
                </c:pt>
                <c:pt idx="14">
                  <c:v>ČR </c:v>
                </c:pt>
              </c:strCache>
            </c:strRef>
          </c:cat>
          <c:val>
            <c:numRef>
              <c:f>'IS 2018'!$I$90:$I$104</c:f>
              <c:numCache>
                <c:formatCode>0.0</c:formatCode>
                <c:ptCount val="15"/>
                <c:pt idx="0">
                  <c:v>131.42876496587695</c:v>
                </c:pt>
                <c:pt idx="1">
                  <c:v>135.50726343794881</c:v>
                </c:pt>
                <c:pt idx="2">
                  <c:v>134.11246503552712</c:v>
                </c:pt>
                <c:pt idx="3">
                  <c:v>140.49668596358757</c:v>
                </c:pt>
                <c:pt idx="4">
                  <c:v>130.42819427303829</c:v>
                </c:pt>
                <c:pt idx="5">
                  <c:v>144.67923983989039</c:v>
                </c:pt>
                <c:pt idx="6">
                  <c:v>122.83710936027444</c:v>
                </c:pt>
                <c:pt idx="7">
                  <c:v>119.01734602882374</c:v>
                </c:pt>
                <c:pt idx="8">
                  <c:v>134.63359407163443</c:v>
                </c:pt>
                <c:pt idx="9">
                  <c:v>129.49386034338195</c:v>
                </c:pt>
                <c:pt idx="10">
                  <c:v>130.57044322725457</c:v>
                </c:pt>
                <c:pt idx="11">
                  <c:v>136.28362573099415</c:v>
                </c:pt>
                <c:pt idx="12">
                  <c:v>104.37497314869179</c:v>
                </c:pt>
                <c:pt idx="13">
                  <c:v>120.87391667329253</c:v>
                </c:pt>
                <c:pt idx="14">
                  <c:v>126.31566709875214</c:v>
                </c:pt>
              </c:numCache>
            </c:numRef>
          </c:val>
          <c:extLst>
            <c:ext xmlns:c16="http://schemas.microsoft.com/office/drawing/2014/chart" uri="{C3380CC4-5D6E-409C-BE32-E72D297353CC}">
              <c16:uniqueId val="{00000005-8068-4965-A886-F78D9FFCB9E8}"/>
            </c:ext>
          </c:extLst>
        </c:ser>
        <c:ser>
          <c:idx val="1"/>
          <c:order val="1"/>
          <c:tx>
            <c:strRef>
              <c:f>'IS 2018'!$J$89</c:f>
              <c:strCache>
                <c:ptCount val="1"/>
                <c:pt idx="0">
                  <c:v>Index stáří venkov</c:v>
                </c:pt>
              </c:strCache>
            </c:strRef>
          </c:tx>
          <c:spPr>
            <a:solidFill>
              <a:srgbClr val="00B050"/>
            </a:solidFill>
            <a:ln>
              <a:noFill/>
            </a:ln>
            <a:effectLst/>
          </c:spPr>
          <c:invertIfNegative val="0"/>
          <c:dLbls>
            <c:dLbl>
              <c:idx val="1"/>
              <c:layout>
                <c:manualLayout>
                  <c:x val="8.3594566353187051E-3"/>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8068-4965-A886-F78D9FFCB9E8}"/>
                </c:ext>
              </c:extLst>
            </c:dLbl>
            <c:dLbl>
              <c:idx val="2"/>
              <c:layout>
                <c:manualLayout>
                  <c:x val="1.4629049111807733E-2"/>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8068-4965-A886-F78D9FFCB9E8}"/>
                </c:ext>
              </c:extLst>
            </c:dLbl>
            <c:dLbl>
              <c:idx val="3"/>
              <c:layout>
                <c:manualLayout>
                  <c:x val="1.0449320794148342E-2"/>
                  <c:y val="-4.6121060496978085E-17"/>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8068-4965-A886-F78D9FFCB9E8}"/>
                </c:ext>
              </c:extLst>
            </c:dLbl>
            <c:dLbl>
              <c:idx val="4"/>
              <c:layout>
                <c:manualLayout>
                  <c:x val="1.2539184952978056E-2"/>
                  <c:y val="-4.6121060496978085E-17"/>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8068-4965-A886-F78D9FFCB9E8}"/>
                </c:ext>
              </c:extLst>
            </c:dLbl>
            <c:dLbl>
              <c:idx val="5"/>
              <c:layout>
                <c:manualLayout>
                  <c:x val="1.0449320794148381E-2"/>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8068-4965-A886-F78D9FFCB9E8}"/>
                </c:ext>
              </c:extLst>
            </c:dLbl>
            <c:dLbl>
              <c:idx val="6"/>
              <c:layout>
                <c:manualLayout>
                  <c:x val="1.0449320794148381E-2"/>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8068-4965-A886-F78D9FFCB9E8}"/>
                </c:ext>
              </c:extLst>
            </c:dLbl>
            <c:dLbl>
              <c:idx val="8"/>
              <c:layout>
                <c:manualLayout>
                  <c:x val="8.3594566353187814E-3"/>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8068-4965-A886-F78D9FFCB9E8}"/>
                </c:ext>
              </c:extLst>
            </c:dLbl>
            <c:dLbl>
              <c:idx val="9"/>
              <c:layout>
                <c:manualLayout>
                  <c:x val="6.2695924764889516E-3"/>
                  <c:y val="-4.6121060496978085E-17"/>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8068-4965-A886-F78D9FFCB9E8}"/>
                </c:ext>
              </c:extLst>
            </c:dLbl>
            <c:dLbl>
              <c:idx val="10"/>
              <c:layout>
                <c:manualLayout>
                  <c:x val="8.3594566353187051E-3"/>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8068-4965-A886-F78D9FFCB9E8}"/>
                </c:ext>
              </c:extLst>
            </c:dLbl>
            <c:dLbl>
              <c:idx val="11"/>
              <c:layout>
                <c:manualLayout>
                  <c:x val="1.0449320794148381E-2"/>
                  <c:y val="-4.6121060496978085E-17"/>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8068-4965-A886-F78D9FFCB9E8}"/>
                </c:ext>
              </c:extLst>
            </c:dLbl>
            <c:dLbl>
              <c:idx val="12"/>
              <c:layout>
                <c:manualLayout>
                  <c:x val="4.1797283176593526E-3"/>
                  <c:y val="-4.6121060496978085E-17"/>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8068-4965-A886-F78D9FFCB9E8}"/>
                </c:ext>
              </c:extLst>
            </c:dLbl>
            <c:dLbl>
              <c:idx val="14"/>
              <c:layout>
                <c:manualLayout>
                  <c:x val="1.2539184952977903E-2"/>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8068-4965-A886-F78D9FFCB9E8}"/>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rgbClr val="00B050"/>
                    </a:solidFill>
                    <a:latin typeface="+mn-lt"/>
                    <a:ea typeface="+mn-ea"/>
                    <a:cs typeface="+mn-cs"/>
                  </a:defRPr>
                </a:pPr>
                <a:endParaRPr lang="cs-CZ"/>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'IS 2018'!$H$90:$H$104</c:f>
              <c:strCache>
                <c:ptCount val="15"/>
                <c:pt idx="0">
                  <c:v>Plzeňský kraj (V)</c:v>
                </c:pt>
                <c:pt idx="1">
                  <c:v>Kraj Vysočina (V)</c:v>
                </c:pt>
                <c:pt idx="2">
                  <c:v>Olomoucký kraj (V)</c:v>
                </c:pt>
                <c:pt idx="3">
                  <c:v>Zlínský kraj (V)</c:v>
                </c:pt>
                <c:pt idx="4">
                  <c:v>Jihočeský kraj (V)</c:v>
                </c:pt>
                <c:pt idx="5">
                  <c:v>Královéhradecký kraj</c:v>
                </c:pt>
                <c:pt idx="6">
                  <c:v>Liberecký kraj</c:v>
                </c:pt>
                <c:pt idx="7">
                  <c:v>Ústecký kraj</c:v>
                </c:pt>
                <c:pt idx="8">
                  <c:v>Pardubický kraj (V)</c:v>
                </c:pt>
                <c:pt idx="9">
                  <c:v>Jihomoravský kraj</c:v>
                </c:pt>
                <c:pt idx="10">
                  <c:v>Moravskoslezský kraj</c:v>
                </c:pt>
                <c:pt idx="11">
                  <c:v>Karlovarský kraj</c:v>
                </c:pt>
                <c:pt idx="12">
                  <c:v>Středočeský kraj (M)</c:v>
                </c:pt>
                <c:pt idx="13">
                  <c:v>Hl. m. Praha (M)</c:v>
                </c:pt>
                <c:pt idx="14">
                  <c:v>ČR </c:v>
                </c:pt>
              </c:strCache>
            </c:strRef>
          </c:cat>
          <c:val>
            <c:numRef>
              <c:f>'IS 2018'!$J$90:$J$104</c:f>
              <c:numCache>
                <c:formatCode>0.0</c:formatCode>
                <c:ptCount val="15"/>
                <c:pt idx="0">
                  <c:v>122.16682838692408</c:v>
                </c:pt>
                <c:pt idx="1">
                  <c:v>120.52430027594751</c:v>
                </c:pt>
                <c:pt idx="2">
                  <c:v>117.48683135686319</c:v>
                </c:pt>
                <c:pt idx="3">
                  <c:v>116.75088152968121</c:v>
                </c:pt>
                <c:pt idx="4">
                  <c:v>115.27823874322381</c:v>
                </c:pt>
                <c:pt idx="5">
                  <c:v>115.09823848238483</c:v>
                </c:pt>
                <c:pt idx="6">
                  <c:v>114.73276100803102</c:v>
                </c:pt>
                <c:pt idx="7">
                  <c:v>111.66220330899885</c:v>
                </c:pt>
                <c:pt idx="8">
                  <c:v>110.47112368534351</c:v>
                </c:pt>
                <c:pt idx="9">
                  <c:v>110.215859562079</c:v>
                </c:pt>
                <c:pt idx="10">
                  <c:v>107.77087033747779</c:v>
                </c:pt>
                <c:pt idx="11">
                  <c:v>106.95429472025218</c:v>
                </c:pt>
                <c:pt idx="12">
                  <c:v>99.728994497454821</c:v>
                </c:pt>
                <c:pt idx="14">
                  <c:v>111.27754909527485</c:v>
                </c:pt>
              </c:numCache>
            </c:numRef>
          </c:val>
          <c:extLst>
            <c:ext xmlns:c16="http://schemas.microsoft.com/office/drawing/2014/chart" uri="{C3380CC4-5D6E-409C-BE32-E72D297353CC}">
              <c16:uniqueId val="{00000012-8068-4965-A886-F78D9FFCB9E8}"/>
            </c:ext>
          </c:extLst>
        </c:ser>
        <c:dLbls>
          <c:showLegendKey val="0"/>
          <c:showVal val="0"/>
          <c:showCatName val="0"/>
          <c:showSerName val="0"/>
          <c:showPercent val="0"/>
          <c:showBubbleSize val="0"/>
        </c:dLbls>
        <c:gapWidth val="219"/>
        <c:overlap val="-30"/>
        <c:axId val="96877184"/>
        <c:axId val="96915840"/>
      </c:barChart>
      <c:catAx>
        <c:axId val="9687718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96915840"/>
        <c:crosses val="autoZero"/>
        <c:auto val="1"/>
        <c:lblAlgn val="ctr"/>
        <c:lblOffset val="100"/>
        <c:noMultiLvlLbl val="0"/>
      </c:catAx>
      <c:valAx>
        <c:axId val="96915840"/>
        <c:scaling>
          <c:orientation val="minMax"/>
          <c:min val="90"/>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9687718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cs-CZ"/>
    </a:p>
  </c:txPr>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7.7311604706128148E-2"/>
          <c:y val="5.4931335830212237E-2"/>
          <c:w val="0.89173206583007969"/>
          <c:h val="0.70312856960295689"/>
        </c:manualLayout>
      </c:layout>
      <c:barChart>
        <c:barDir val="col"/>
        <c:grouping val="percentStacked"/>
        <c:varyColors val="0"/>
        <c:ser>
          <c:idx val="0"/>
          <c:order val="0"/>
          <c:tx>
            <c:strRef>
              <c:f>List4!$R$85</c:f>
              <c:strCache>
                <c:ptCount val="1"/>
                <c:pt idx="0">
                  <c:v>nejvýše základní</c:v>
                </c:pt>
              </c:strCache>
            </c:strRef>
          </c:tx>
          <c:spPr>
            <a:solidFill>
              <a:schemeClr val="accent1"/>
            </a:solidFill>
            <a:ln>
              <a:noFill/>
            </a:ln>
            <a:effectLst/>
          </c:spPr>
          <c:invertIfNegative val="0"/>
          <c:dLbls>
            <c:numFmt formatCode="#,##0.0" sourceLinked="0"/>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List4!$Q$86:$Q$91</c:f>
              <c:strCache>
                <c:ptCount val="6"/>
                <c:pt idx="0">
                  <c:v>do 199</c:v>
                </c:pt>
                <c:pt idx="1">
                  <c:v>200 - 499</c:v>
                </c:pt>
                <c:pt idx="2">
                  <c:v>500 - 999</c:v>
                </c:pt>
                <c:pt idx="3">
                  <c:v>1 000 -1 999</c:v>
                </c:pt>
                <c:pt idx="4">
                  <c:v>venkov</c:v>
                </c:pt>
                <c:pt idx="5">
                  <c:v>ČR</c:v>
                </c:pt>
              </c:strCache>
            </c:strRef>
          </c:cat>
          <c:val>
            <c:numRef>
              <c:f>List4!$R$86:$R$91</c:f>
              <c:numCache>
                <c:formatCode>0.0</c:formatCode>
                <c:ptCount val="6"/>
                <c:pt idx="0">
                  <c:v>23.3414556497037</c:v>
                </c:pt>
                <c:pt idx="1">
                  <c:v>22.093516824322251</c:v>
                </c:pt>
                <c:pt idx="2">
                  <c:v>21.098828584453493</c:v>
                </c:pt>
                <c:pt idx="3">
                  <c:v>20.697891662429495</c:v>
                </c:pt>
                <c:pt idx="4" formatCode="General">
                  <c:v>21.344050958505836</c:v>
                </c:pt>
                <c:pt idx="5" formatCode="General">
                  <c:v>18.038135676567837</c:v>
                </c:pt>
              </c:numCache>
            </c:numRef>
          </c:val>
          <c:extLst>
            <c:ext xmlns:c16="http://schemas.microsoft.com/office/drawing/2014/chart" uri="{C3380CC4-5D6E-409C-BE32-E72D297353CC}">
              <c16:uniqueId val="{00000000-B56F-42AB-8EC0-345233ECBAFD}"/>
            </c:ext>
          </c:extLst>
        </c:ser>
        <c:ser>
          <c:idx val="1"/>
          <c:order val="1"/>
          <c:tx>
            <c:strRef>
              <c:f>List4!$S$85</c:f>
              <c:strCache>
                <c:ptCount val="1"/>
                <c:pt idx="0">
                  <c:v>střední vč. vyučení</c:v>
                </c:pt>
              </c:strCache>
            </c:strRef>
          </c:tx>
          <c:spPr>
            <a:solidFill>
              <a:schemeClr val="accent2"/>
            </a:solidFill>
            <a:ln>
              <a:noFill/>
            </a:ln>
            <a:effectLst/>
          </c:spPr>
          <c:invertIfNegative val="0"/>
          <c:dLbls>
            <c:numFmt formatCode="#,##0.0" sourceLinked="0"/>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List4!$Q$86:$Q$91</c:f>
              <c:strCache>
                <c:ptCount val="6"/>
                <c:pt idx="0">
                  <c:v>do 199</c:v>
                </c:pt>
                <c:pt idx="1">
                  <c:v>200 - 499</c:v>
                </c:pt>
                <c:pt idx="2">
                  <c:v>500 - 999</c:v>
                </c:pt>
                <c:pt idx="3">
                  <c:v>1 000 -1 999</c:v>
                </c:pt>
                <c:pt idx="4">
                  <c:v>venkov</c:v>
                </c:pt>
                <c:pt idx="5">
                  <c:v>ČR</c:v>
                </c:pt>
              </c:strCache>
            </c:strRef>
          </c:cat>
          <c:val>
            <c:numRef>
              <c:f>List4!$S$86:$S$91</c:f>
              <c:numCache>
                <c:formatCode>0.0</c:formatCode>
                <c:ptCount val="6"/>
                <c:pt idx="0">
                  <c:v>41.337488367536857</c:v>
                </c:pt>
                <c:pt idx="1">
                  <c:v>40.845108582761505</c:v>
                </c:pt>
                <c:pt idx="2">
                  <c:v>39.704589702322934</c:v>
                </c:pt>
                <c:pt idx="3">
                  <c:v>38.073525760030272</c:v>
                </c:pt>
                <c:pt idx="4" formatCode="General">
                  <c:v>39.500394824887422</c:v>
                </c:pt>
                <c:pt idx="5" formatCode="General">
                  <c:v>32.993220999701371</c:v>
                </c:pt>
              </c:numCache>
            </c:numRef>
          </c:val>
          <c:extLst>
            <c:ext xmlns:c16="http://schemas.microsoft.com/office/drawing/2014/chart" uri="{C3380CC4-5D6E-409C-BE32-E72D297353CC}">
              <c16:uniqueId val="{00000001-B56F-42AB-8EC0-345233ECBAFD}"/>
            </c:ext>
          </c:extLst>
        </c:ser>
        <c:ser>
          <c:idx val="2"/>
          <c:order val="2"/>
          <c:tx>
            <c:strRef>
              <c:f>List4!$T$85</c:f>
              <c:strCache>
                <c:ptCount val="1"/>
                <c:pt idx="0">
                  <c:v>úplné střední</c:v>
                </c:pt>
              </c:strCache>
            </c:strRef>
          </c:tx>
          <c:spPr>
            <a:solidFill>
              <a:schemeClr val="accent3"/>
            </a:solidFill>
            <a:ln>
              <a:noFill/>
            </a:ln>
            <a:effectLst/>
          </c:spPr>
          <c:invertIfNegative val="0"/>
          <c:dLbls>
            <c:numFmt formatCode="#,##0.0" sourceLinked="0"/>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List4!$Q$86:$Q$91</c:f>
              <c:strCache>
                <c:ptCount val="6"/>
                <c:pt idx="0">
                  <c:v>do 199</c:v>
                </c:pt>
                <c:pt idx="1">
                  <c:v>200 - 499</c:v>
                </c:pt>
                <c:pt idx="2">
                  <c:v>500 - 999</c:v>
                </c:pt>
                <c:pt idx="3">
                  <c:v>1 000 -1 999</c:v>
                </c:pt>
                <c:pt idx="4">
                  <c:v>venkov</c:v>
                </c:pt>
                <c:pt idx="5">
                  <c:v>ČR</c:v>
                </c:pt>
              </c:strCache>
            </c:strRef>
          </c:cat>
          <c:val>
            <c:numRef>
              <c:f>List4!$T$86:$T$91</c:f>
              <c:numCache>
                <c:formatCode>0.0</c:formatCode>
                <c:ptCount val="6"/>
                <c:pt idx="0">
                  <c:v>22.411470833129254</c:v>
                </c:pt>
                <c:pt idx="1">
                  <c:v>23.395101086821057</c:v>
                </c:pt>
                <c:pt idx="2">
                  <c:v>24.344966892587919</c:v>
                </c:pt>
                <c:pt idx="3">
                  <c:v>25.166195650888621</c:v>
                </c:pt>
                <c:pt idx="4" formatCode="General">
                  <c:v>24.282515558561588</c:v>
                </c:pt>
                <c:pt idx="5" formatCode="General">
                  <c:v>27.102858052275732</c:v>
                </c:pt>
              </c:numCache>
            </c:numRef>
          </c:val>
          <c:extLst>
            <c:ext xmlns:c16="http://schemas.microsoft.com/office/drawing/2014/chart" uri="{C3380CC4-5D6E-409C-BE32-E72D297353CC}">
              <c16:uniqueId val="{00000002-B56F-42AB-8EC0-345233ECBAFD}"/>
            </c:ext>
          </c:extLst>
        </c:ser>
        <c:ser>
          <c:idx val="3"/>
          <c:order val="3"/>
          <c:tx>
            <c:strRef>
              <c:f>List4!$U$85</c:f>
              <c:strCache>
                <c:ptCount val="1"/>
                <c:pt idx="0">
                  <c:v>nástavbové a vyšší odborné</c:v>
                </c:pt>
              </c:strCache>
            </c:strRef>
          </c:tx>
          <c:spPr>
            <a:solidFill>
              <a:schemeClr val="accent4"/>
            </a:solidFill>
            <a:ln>
              <a:noFill/>
            </a:ln>
            <a:effectLst/>
          </c:spPr>
          <c:invertIfNegative val="0"/>
          <c:dLbls>
            <c:numFmt formatCode="#,##0.0" sourceLinked="0"/>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List4!$Q$86:$Q$91</c:f>
              <c:strCache>
                <c:ptCount val="6"/>
                <c:pt idx="0">
                  <c:v>do 199</c:v>
                </c:pt>
                <c:pt idx="1">
                  <c:v>200 - 499</c:v>
                </c:pt>
                <c:pt idx="2">
                  <c:v>500 - 999</c:v>
                </c:pt>
                <c:pt idx="3">
                  <c:v>1 000 -1 999</c:v>
                </c:pt>
                <c:pt idx="4">
                  <c:v>venkov</c:v>
                </c:pt>
                <c:pt idx="5">
                  <c:v>ČR</c:v>
                </c:pt>
              </c:strCache>
            </c:strRef>
          </c:cat>
          <c:val>
            <c:numRef>
              <c:f>List4!$U$86:$U$91</c:f>
              <c:numCache>
                <c:formatCode>0.0</c:formatCode>
                <c:ptCount val="6"/>
                <c:pt idx="0">
                  <c:v>2.9864818533574962</c:v>
                </c:pt>
                <c:pt idx="1">
                  <c:v>3.0408230723240846</c:v>
                </c:pt>
                <c:pt idx="2">
                  <c:v>3.2677985396974112</c:v>
                </c:pt>
                <c:pt idx="3">
                  <c:v>3.344133193013989</c:v>
                </c:pt>
                <c:pt idx="4" formatCode="General">
                  <c:v>3.2223736083006154</c:v>
                </c:pt>
                <c:pt idx="5" formatCode="General">
                  <c:v>4.0798280483596105</c:v>
                </c:pt>
              </c:numCache>
            </c:numRef>
          </c:val>
          <c:extLst>
            <c:ext xmlns:c16="http://schemas.microsoft.com/office/drawing/2014/chart" uri="{C3380CC4-5D6E-409C-BE32-E72D297353CC}">
              <c16:uniqueId val="{00000003-B56F-42AB-8EC0-345233ECBAFD}"/>
            </c:ext>
          </c:extLst>
        </c:ser>
        <c:ser>
          <c:idx val="4"/>
          <c:order val="4"/>
          <c:tx>
            <c:strRef>
              <c:f>List4!$V$85</c:f>
              <c:strCache>
                <c:ptCount val="1"/>
                <c:pt idx="0">
                  <c:v>vysokoškolské</c:v>
                </c:pt>
              </c:strCache>
            </c:strRef>
          </c:tx>
          <c:spPr>
            <a:solidFill>
              <a:schemeClr val="accent5"/>
            </a:solidFill>
            <a:ln>
              <a:noFill/>
            </a:ln>
            <a:effectLst/>
          </c:spPr>
          <c:invertIfNegative val="0"/>
          <c:dLbls>
            <c:numFmt formatCode="#,##0.0" sourceLinked="0"/>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List4!$Q$86:$Q$91</c:f>
              <c:strCache>
                <c:ptCount val="6"/>
                <c:pt idx="0">
                  <c:v>do 199</c:v>
                </c:pt>
                <c:pt idx="1">
                  <c:v>200 - 499</c:v>
                </c:pt>
                <c:pt idx="2">
                  <c:v>500 - 999</c:v>
                </c:pt>
                <c:pt idx="3">
                  <c:v>1 000 -1 999</c:v>
                </c:pt>
                <c:pt idx="4">
                  <c:v>venkov</c:v>
                </c:pt>
                <c:pt idx="5">
                  <c:v>ČR</c:v>
                </c:pt>
              </c:strCache>
            </c:strRef>
          </c:cat>
          <c:val>
            <c:numRef>
              <c:f>List4!$V$86:$V$91</c:f>
              <c:numCache>
                <c:formatCode>0.0</c:formatCode>
                <c:ptCount val="6"/>
                <c:pt idx="0">
                  <c:v>6.2411225939168347</c:v>
                </c:pt>
                <c:pt idx="1">
                  <c:v>6.6047363506149379</c:v>
                </c:pt>
                <c:pt idx="2">
                  <c:v>7.7269098153591198</c:v>
                </c:pt>
                <c:pt idx="3">
                  <c:v>8.7118211164847636</c:v>
                </c:pt>
                <c:pt idx="4" formatCode="General">
                  <c:v>7.713745379742619</c:v>
                </c:pt>
                <c:pt idx="5" formatCode="General">
                  <c:v>12.458391225745538</c:v>
                </c:pt>
              </c:numCache>
            </c:numRef>
          </c:val>
          <c:extLst>
            <c:ext xmlns:c16="http://schemas.microsoft.com/office/drawing/2014/chart" uri="{C3380CC4-5D6E-409C-BE32-E72D297353CC}">
              <c16:uniqueId val="{00000004-B56F-42AB-8EC0-345233ECBAFD}"/>
            </c:ext>
          </c:extLst>
        </c:ser>
        <c:ser>
          <c:idx val="5"/>
          <c:order val="5"/>
          <c:tx>
            <c:strRef>
              <c:f>List4!$W$85</c:f>
              <c:strCache>
                <c:ptCount val="1"/>
                <c:pt idx="0">
                  <c:v>nezjištěno</c:v>
                </c:pt>
              </c:strCache>
            </c:strRef>
          </c:tx>
          <c:spPr>
            <a:solidFill>
              <a:schemeClr val="accent6"/>
            </a:solidFill>
            <a:ln>
              <a:noFill/>
            </a:ln>
            <a:effectLst/>
          </c:spPr>
          <c:invertIfNegative val="0"/>
          <c:dLbls>
            <c:numFmt formatCode="#,##0.0" sourceLinked="0"/>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List4!$Q$86:$Q$91</c:f>
              <c:strCache>
                <c:ptCount val="6"/>
                <c:pt idx="0">
                  <c:v>do 199</c:v>
                </c:pt>
                <c:pt idx="1">
                  <c:v>200 - 499</c:v>
                </c:pt>
                <c:pt idx="2">
                  <c:v>500 - 999</c:v>
                </c:pt>
                <c:pt idx="3">
                  <c:v>1 000 -1 999</c:v>
                </c:pt>
                <c:pt idx="4">
                  <c:v>venkov</c:v>
                </c:pt>
                <c:pt idx="5">
                  <c:v>ČR</c:v>
                </c:pt>
              </c:strCache>
            </c:strRef>
          </c:cat>
          <c:val>
            <c:numRef>
              <c:f>List4!$W$86:$W$91</c:f>
              <c:numCache>
                <c:formatCode>0.0</c:formatCode>
                <c:ptCount val="6"/>
                <c:pt idx="0">
                  <c:v>3.6819807023558795</c:v>
                </c:pt>
                <c:pt idx="1">
                  <c:v>4.0207140831561707</c:v>
                </c:pt>
                <c:pt idx="2">
                  <c:v>3.8569064655791214</c:v>
                </c:pt>
                <c:pt idx="3">
                  <c:v>4.006432617152857</c:v>
                </c:pt>
                <c:pt idx="4" formatCode="General">
                  <c:v>3.936919670001922</c:v>
                </c:pt>
                <c:pt idx="5" formatCode="General">
                  <c:v>5.3275659973499128</c:v>
                </c:pt>
              </c:numCache>
            </c:numRef>
          </c:val>
          <c:extLst>
            <c:ext xmlns:c16="http://schemas.microsoft.com/office/drawing/2014/chart" uri="{C3380CC4-5D6E-409C-BE32-E72D297353CC}">
              <c16:uniqueId val="{00000005-B56F-42AB-8EC0-345233ECBAFD}"/>
            </c:ext>
          </c:extLst>
        </c:ser>
        <c:dLbls>
          <c:showLegendKey val="0"/>
          <c:showVal val="0"/>
          <c:showCatName val="0"/>
          <c:showSerName val="0"/>
          <c:showPercent val="0"/>
          <c:showBubbleSize val="0"/>
        </c:dLbls>
        <c:gapWidth val="150"/>
        <c:overlap val="100"/>
        <c:axId val="97780096"/>
        <c:axId val="97781632"/>
      </c:barChart>
      <c:catAx>
        <c:axId val="9778009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97781632"/>
        <c:crosses val="autoZero"/>
        <c:auto val="1"/>
        <c:lblAlgn val="ctr"/>
        <c:lblOffset val="100"/>
        <c:noMultiLvlLbl val="0"/>
      </c:catAx>
      <c:valAx>
        <c:axId val="97781632"/>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97780096"/>
        <c:crosses val="autoZero"/>
        <c:crossBetween val="between"/>
      </c:valAx>
      <c:spPr>
        <a:noFill/>
        <a:ln>
          <a:noFill/>
        </a:ln>
        <a:effectLst/>
      </c:spPr>
    </c:plotArea>
    <c:legend>
      <c:legendPos val="b"/>
      <c:layout>
        <c:manualLayout>
          <c:xMode val="edge"/>
          <c:yMode val="edge"/>
          <c:x val="5.884164479440071E-2"/>
          <c:y val="0.84466503484817201"/>
          <c:w val="0.92597345729793723"/>
          <c:h val="0.12755708907173119"/>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cs-CZ"/>
    </a:p>
  </c:txPr>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vyhodnoc!$B$5</c:f>
              <c:strCache>
                <c:ptCount val="1"/>
                <c:pt idx="0">
                  <c:v>Fyzické osoby</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strRef>
              <c:f>vyhodnoc!$C$4:$N$4</c:f>
              <c:strCache>
                <c:ptCount val="12"/>
                <c:pt idx="0">
                  <c:v>2007</c:v>
                </c:pt>
                <c:pt idx="1">
                  <c:v>2008</c:v>
                </c:pt>
                <c:pt idx="2">
                  <c:v>2009</c:v>
                </c:pt>
                <c:pt idx="3">
                  <c:v>2010</c:v>
                </c:pt>
                <c:pt idx="4">
                  <c:v>2011</c:v>
                </c:pt>
                <c:pt idx="5">
                  <c:v>2012</c:v>
                </c:pt>
                <c:pt idx="6">
                  <c:v>2013</c:v>
                </c:pt>
                <c:pt idx="7">
                  <c:v>2014</c:v>
                </c:pt>
                <c:pt idx="8">
                  <c:v>2015</c:v>
                </c:pt>
                <c:pt idx="9">
                  <c:v>2016</c:v>
                </c:pt>
                <c:pt idx="10">
                  <c:v>2017</c:v>
                </c:pt>
                <c:pt idx="11">
                  <c:v>2018</c:v>
                </c:pt>
              </c:strCache>
            </c:strRef>
          </c:cat>
          <c:val>
            <c:numRef>
              <c:f>vyhodnoc!$C$5:$N$5</c:f>
              <c:numCache>
                <c:formatCode>0.0</c:formatCode>
                <c:ptCount val="12"/>
                <c:pt idx="0">
                  <c:v>2.5996361548610207</c:v>
                </c:pt>
                <c:pt idx="1">
                  <c:v>3.0529567837056342</c:v>
                </c:pt>
                <c:pt idx="2">
                  <c:v>5.3008948054074505</c:v>
                </c:pt>
                <c:pt idx="3">
                  <c:v>2.8673512216673775</c:v>
                </c:pt>
                <c:pt idx="4">
                  <c:v>4.5649838804349594</c:v>
                </c:pt>
                <c:pt idx="5">
                  <c:v>4.3687703702934595</c:v>
                </c:pt>
                <c:pt idx="6">
                  <c:v>4.6894712990532774</c:v>
                </c:pt>
                <c:pt idx="7">
                  <c:v>3.5656268910876996</c:v>
                </c:pt>
                <c:pt idx="8" formatCode="0.00">
                  <c:v>4.8742600020420204</c:v>
                </c:pt>
                <c:pt idx="9">
                  <c:v>6.9</c:v>
                </c:pt>
                <c:pt idx="10" formatCode="General">
                  <c:v>9.7712393709082708</c:v>
                </c:pt>
                <c:pt idx="11" formatCode="General">
                  <c:v>9.0986520515479192</c:v>
                </c:pt>
              </c:numCache>
            </c:numRef>
          </c:val>
          <c:smooth val="0"/>
          <c:extLst>
            <c:ext xmlns:c16="http://schemas.microsoft.com/office/drawing/2014/chart" uri="{C3380CC4-5D6E-409C-BE32-E72D297353CC}">
              <c16:uniqueId val="{00000000-8AC7-4806-AE4E-45DC6346E89C}"/>
            </c:ext>
          </c:extLst>
        </c:ser>
        <c:ser>
          <c:idx val="1"/>
          <c:order val="1"/>
          <c:tx>
            <c:strRef>
              <c:f>vyhodnoc!$B$6</c:f>
              <c:strCache>
                <c:ptCount val="1"/>
                <c:pt idx="0">
                  <c:v>Právnické osoby</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strRef>
              <c:f>vyhodnoc!$C$4:$N$4</c:f>
              <c:strCache>
                <c:ptCount val="12"/>
                <c:pt idx="0">
                  <c:v>2007</c:v>
                </c:pt>
                <c:pt idx="1">
                  <c:v>2008</c:v>
                </c:pt>
                <c:pt idx="2">
                  <c:v>2009</c:v>
                </c:pt>
                <c:pt idx="3">
                  <c:v>2010</c:v>
                </c:pt>
                <c:pt idx="4">
                  <c:v>2011</c:v>
                </c:pt>
                <c:pt idx="5">
                  <c:v>2012</c:v>
                </c:pt>
                <c:pt idx="6">
                  <c:v>2013</c:v>
                </c:pt>
                <c:pt idx="7">
                  <c:v>2014</c:v>
                </c:pt>
                <c:pt idx="8">
                  <c:v>2015</c:v>
                </c:pt>
                <c:pt idx="9">
                  <c:v>2016</c:v>
                </c:pt>
                <c:pt idx="10">
                  <c:v>2017</c:v>
                </c:pt>
                <c:pt idx="11">
                  <c:v>2018</c:v>
                </c:pt>
              </c:strCache>
            </c:strRef>
          </c:cat>
          <c:val>
            <c:numRef>
              <c:f>vyhodnoc!$C$6:$N$6</c:f>
              <c:numCache>
                <c:formatCode>0.0</c:formatCode>
                <c:ptCount val="12"/>
                <c:pt idx="0">
                  <c:v>5.6627445094359814</c:v>
                </c:pt>
                <c:pt idx="1">
                  <c:v>6.6132413358761175</c:v>
                </c:pt>
                <c:pt idx="2">
                  <c:v>8.1855086497937553</c:v>
                </c:pt>
                <c:pt idx="3">
                  <c:v>7.9611627893867913</c:v>
                </c:pt>
                <c:pt idx="4">
                  <c:v>8.4990787874076084</c:v>
                </c:pt>
                <c:pt idx="5">
                  <c:v>10.665841600295648</c:v>
                </c:pt>
                <c:pt idx="6">
                  <c:v>9.5505579185527498</c:v>
                </c:pt>
                <c:pt idx="7">
                  <c:v>12.573519508744802</c:v>
                </c:pt>
                <c:pt idx="8" formatCode="0.00">
                  <c:v>12.924076727086389</c:v>
                </c:pt>
                <c:pt idx="9">
                  <c:v>14</c:v>
                </c:pt>
                <c:pt idx="10" formatCode="General">
                  <c:v>13.605211537064394</c:v>
                </c:pt>
                <c:pt idx="11" formatCode="General">
                  <c:v>13.262268318448095</c:v>
                </c:pt>
              </c:numCache>
            </c:numRef>
          </c:val>
          <c:smooth val="0"/>
          <c:extLst>
            <c:ext xmlns:c16="http://schemas.microsoft.com/office/drawing/2014/chart" uri="{C3380CC4-5D6E-409C-BE32-E72D297353CC}">
              <c16:uniqueId val="{00000001-8AC7-4806-AE4E-45DC6346E89C}"/>
            </c:ext>
          </c:extLst>
        </c:ser>
        <c:dLbls>
          <c:showLegendKey val="0"/>
          <c:showVal val="0"/>
          <c:showCatName val="0"/>
          <c:showSerName val="0"/>
          <c:showPercent val="0"/>
          <c:showBubbleSize val="0"/>
        </c:dLbls>
        <c:marker val="1"/>
        <c:smooth val="0"/>
        <c:axId val="535216416"/>
        <c:axId val="535217400"/>
      </c:lineChart>
      <c:catAx>
        <c:axId val="53521641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535217400"/>
        <c:crosses val="autoZero"/>
        <c:auto val="1"/>
        <c:lblAlgn val="ctr"/>
        <c:lblOffset val="100"/>
        <c:noMultiLvlLbl val="0"/>
      </c:catAx>
      <c:valAx>
        <c:axId val="535217400"/>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53521641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cs-CZ"/>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102">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1">
      <cs:styleClr val="auto"/>
    </cs:lnRef>
    <cs:lineWidthScale>3</cs:lineWidthScale>
    <cs:fillRef idx="0"/>
    <cs:effectRef idx="0"/>
    <cs:fontRef idx="minor">
      <a:schemeClr val="tx1"/>
    </cs:fontRef>
    <cs:spPr>
      <a:ln cap="rnd">
        <a:round/>
      </a:ln>
    </cs:spPr>
  </cs:dataPointLine>
  <cs:dataPointMarker>
    <cs:lnRef idx="1">
      <cs:styleClr val="auto"/>
    </cs:lnRef>
    <cs:fillRef idx="1">
      <cs:styleClr val="auto"/>
    </cs:fillRef>
    <cs:effectRef idx="0"/>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a:schemeClr val="dk1">
        <a:tint val="95000"/>
      </a:schemeClr>
    </cs:fillRef>
    <cs:effectRef idx="0"/>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a:schemeClr val="dk1">
        <a:tint val="5000"/>
      </a:schemeClr>
    </cs:fillRef>
    <cs:effectRef idx="0"/>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drawings/drawing1.xml><?xml version="1.0" encoding="utf-8"?>
<c:userShapes xmlns:c="http://schemas.openxmlformats.org/drawingml/2006/chart">
  <cdr:relSizeAnchor xmlns:cdr="http://schemas.openxmlformats.org/drawingml/2006/chartDrawing">
    <cdr:from>
      <cdr:x>0.80427</cdr:x>
      <cdr:y>0.92094</cdr:y>
    </cdr:from>
    <cdr:to>
      <cdr:x>0.98143</cdr:x>
      <cdr:y>0.97816</cdr:y>
    </cdr:to>
    <cdr:sp macro="" textlink="">
      <cdr:nvSpPr>
        <cdr:cNvPr id="2" name="TextovéPole 1">
          <a:extLst xmlns:a="http://schemas.openxmlformats.org/drawingml/2006/main">
            <a:ext uri="{FF2B5EF4-FFF2-40B4-BE49-F238E27FC236}">
              <a16:creationId xmlns:a16="http://schemas.microsoft.com/office/drawing/2014/main" id="{4A84CB9F-11CB-4B27-B292-52D835EB17D9}"/>
            </a:ext>
          </a:extLst>
        </cdr:cNvPr>
        <cdr:cNvSpPr txBox="1"/>
      </cdr:nvSpPr>
      <cdr:spPr>
        <a:xfrm xmlns:a="http://schemas.openxmlformats.org/drawingml/2006/main">
          <a:off x="6794501" y="2509310"/>
          <a:ext cx="1481667" cy="211667"/>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cs-CZ"/>
        </a:p>
      </cdr:txBody>
    </cdr:sp>
  </cdr:relSizeAnchor>
  <cdr:relSizeAnchor xmlns:cdr="http://schemas.openxmlformats.org/drawingml/2006/chartDrawing">
    <cdr:from>
      <cdr:x>0.86404</cdr:x>
      <cdr:y>0.93944</cdr:y>
    </cdr:from>
    <cdr:to>
      <cdr:x>1</cdr:x>
      <cdr:y>0.99568</cdr:y>
    </cdr:to>
    <cdr:sp macro="" textlink="">
      <cdr:nvSpPr>
        <cdr:cNvPr id="3" name="TextovéPole 2">
          <a:extLst xmlns:a="http://schemas.openxmlformats.org/drawingml/2006/main">
            <a:ext uri="{FF2B5EF4-FFF2-40B4-BE49-F238E27FC236}">
              <a16:creationId xmlns:a16="http://schemas.microsoft.com/office/drawing/2014/main" id="{72F541AA-F451-4C89-B906-7B5AFB81E4B9}"/>
            </a:ext>
          </a:extLst>
        </cdr:cNvPr>
        <cdr:cNvSpPr txBox="1"/>
      </cdr:nvSpPr>
      <cdr:spPr>
        <a:xfrm xmlns:a="http://schemas.openxmlformats.org/drawingml/2006/main">
          <a:off x="7242386" y="3154000"/>
          <a:ext cx="1139614" cy="254893"/>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cs-CZ"/>
        </a:p>
      </cdr:txBody>
    </cdr:sp>
  </cdr:relSizeAnchor>
</c:userShapes>
</file>

<file path=word/drawings/drawing2.xml><?xml version="1.0" encoding="utf-8"?>
<c:userShapes xmlns:c="http://schemas.openxmlformats.org/drawingml/2006/chart">
  <cdr:relSizeAnchor xmlns:cdr="http://schemas.openxmlformats.org/drawingml/2006/chartDrawing">
    <cdr:from>
      <cdr:x>0.85485</cdr:x>
      <cdr:y>0.94314</cdr:y>
    </cdr:from>
    <cdr:to>
      <cdr:x>0.99443</cdr:x>
      <cdr:y>0.99609</cdr:y>
    </cdr:to>
    <cdr:sp macro="" textlink="">
      <cdr:nvSpPr>
        <cdr:cNvPr id="2" name="TextovéPole 1">
          <a:extLst xmlns:a="http://schemas.openxmlformats.org/drawingml/2006/main">
            <a:ext uri="{FF2B5EF4-FFF2-40B4-BE49-F238E27FC236}">
              <a16:creationId xmlns:a16="http://schemas.microsoft.com/office/drawing/2014/main" id="{E183296C-704C-4B3E-9A2D-4A299C73FBF2}"/>
            </a:ext>
          </a:extLst>
        </cdr:cNvPr>
        <cdr:cNvSpPr txBox="1"/>
      </cdr:nvSpPr>
      <cdr:spPr>
        <a:xfrm xmlns:a="http://schemas.openxmlformats.org/drawingml/2006/main">
          <a:off x="7057821" y="2979193"/>
          <a:ext cx="1138035" cy="232585"/>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cs-CZ"/>
        </a:p>
      </cdr:txBody>
    </cdr:sp>
  </cdr:relSizeAnchor>
</c:userShapes>
</file>

<file path=word/theme/theme1.xml><?xml version="1.0" encoding="utf-8"?>
<a:theme xmlns:a="http://schemas.openxmlformats.org/drawingml/2006/main" name="Motiv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825D687-23DA-477C-8A04-8B4FE1B5420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1799</TotalTime>
  <Pages>149</Pages>
  <Words>32875</Words>
  <Characters>193967</Characters>
  <Application>Microsoft Office Word</Application>
  <DocSecurity>0</DocSecurity>
  <Lines>1616</Lines>
  <Paragraphs>452</Paragraphs>
  <ScaleCrop>false</ScaleCrop>
  <HeadingPairs>
    <vt:vector size="2" baseType="variant">
      <vt:variant>
        <vt:lpstr>Název</vt:lpstr>
      </vt:variant>
      <vt:variant>
        <vt:i4>1</vt:i4>
      </vt:variant>
    </vt:vector>
  </HeadingPairs>
  <TitlesOfParts>
    <vt:vector size="1" baseType="lpstr">
      <vt:lpstr/>
    </vt:vector>
  </TitlesOfParts>
  <Company/>
  <LinksUpToDate>false</LinksUpToDate>
  <CharactersWithSpaces>226390</CharactersWithSpaces>
  <SharedDoc>false</SharedDoc>
  <HLinks>
    <vt:vector size="1104" baseType="variant">
      <vt:variant>
        <vt:i4>1441854</vt:i4>
      </vt:variant>
      <vt:variant>
        <vt:i4>1913</vt:i4>
      </vt:variant>
      <vt:variant>
        <vt:i4>0</vt:i4>
      </vt:variant>
      <vt:variant>
        <vt:i4>5</vt:i4>
      </vt:variant>
      <vt:variant>
        <vt:lpwstr/>
      </vt:variant>
      <vt:variant>
        <vt:lpwstr>_Toc25920056</vt:lpwstr>
      </vt:variant>
      <vt:variant>
        <vt:i4>1376318</vt:i4>
      </vt:variant>
      <vt:variant>
        <vt:i4>1907</vt:i4>
      </vt:variant>
      <vt:variant>
        <vt:i4>0</vt:i4>
      </vt:variant>
      <vt:variant>
        <vt:i4>5</vt:i4>
      </vt:variant>
      <vt:variant>
        <vt:lpwstr/>
      </vt:variant>
      <vt:variant>
        <vt:lpwstr>_Toc25920055</vt:lpwstr>
      </vt:variant>
      <vt:variant>
        <vt:i4>1310782</vt:i4>
      </vt:variant>
      <vt:variant>
        <vt:i4>1901</vt:i4>
      </vt:variant>
      <vt:variant>
        <vt:i4>0</vt:i4>
      </vt:variant>
      <vt:variant>
        <vt:i4>5</vt:i4>
      </vt:variant>
      <vt:variant>
        <vt:lpwstr/>
      </vt:variant>
      <vt:variant>
        <vt:lpwstr>_Toc25920054</vt:lpwstr>
      </vt:variant>
      <vt:variant>
        <vt:i4>1245246</vt:i4>
      </vt:variant>
      <vt:variant>
        <vt:i4>1895</vt:i4>
      </vt:variant>
      <vt:variant>
        <vt:i4>0</vt:i4>
      </vt:variant>
      <vt:variant>
        <vt:i4>5</vt:i4>
      </vt:variant>
      <vt:variant>
        <vt:lpwstr/>
      </vt:variant>
      <vt:variant>
        <vt:lpwstr>_Toc25920053</vt:lpwstr>
      </vt:variant>
      <vt:variant>
        <vt:i4>1179710</vt:i4>
      </vt:variant>
      <vt:variant>
        <vt:i4>1889</vt:i4>
      </vt:variant>
      <vt:variant>
        <vt:i4>0</vt:i4>
      </vt:variant>
      <vt:variant>
        <vt:i4>5</vt:i4>
      </vt:variant>
      <vt:variant>
        <vt:lpwstr/>
      </vt:variant>
      <vt:variant>
        <vt:lpwstr>_Toc25920052</vt:lpwstr>
      </vt:variant>
      <vt:variant>
        <vt:i4>1114174</vt:i4>
      </vt:variant>
      <vt:variant>
        <vt:i4>1883</vt:i4>
      </vt:variant>
      <vt:variant>
        <vt:i4>0</vt:i4>
      </vt:variant>
      <vt:variant>
        <vt:i4>5</vt:i4>
      </vt:variant>
      <vt:variant>
        <vt:lpwstr/>
      </vt:variant>
      <vt:variant>
        <vt:lpwstr>_Toc25920051</vt:lpwstr>
      </vt:variant>
      <vt:variant>
        <vt:i4>1048638</vt:i4>
      </vt:variant>
      <vt:variant>
        <vt:i4>1877</vt:i4>
      </vt:variant>
      <vt:variant>
        <vt:i4>0</vt:i4>
      </vt:variant>
      <vt:variant>
        <vt:i4>5</vt:i4>
      </vt:variant>
      <vt:variant>
        <vt:lpwstr/>
      </vt:variant>
      <vt:variant>
        <vt:lpwstr>_Toc25920050</vt:lpwstr>
      </vt:variant>
      <vt:variant>
        <vt:i4>1638463</vt:i4>
      </vt:variant>
      <vt:variant>
        <vt:i4>1871</vt:i4>
      </vt:variant>
      <vt:variant>
        <vt:i4>0</vt:i4>
      </vt:variant>
      <vt:variant>
        <vt:i4>5</vt:i4>
      </vt:variant>
      <vt:variant>
        <vt:lpwstr/>
      </vt:variant>
      <vt:variant>
        <vt:lpwstr>_Toc25920049</vt:lpwstr>
      </vt:variant>
      <vt:variant>
        <vt:i4>1572927</vt:i4>
      </vt:variant>
      <vt:variant>
        <vt:i4>1865</vt:i4>
      </vt:variant>
      <vt:variant>
        <vt:i4>0</vt:i4>
      </vt:variant>
      <vt:variant>
        <vt:i4>5</vt:i4>
      </vt:variant>
      <vt:variant>
        <vt:lpwstr/>
      </vt:variant>
      <vt:variant>
        <vt:lpwstr>_Toc25920048</vt:lpwstr>
      </vt:variant>
      <vt:variant>
        <vt:i4>1507391</vt:i4>
      </vt:variant>
      <vt:variant>
        <vt:i4>1859</vt:i4>
      </vt:variant>
      <vt:variant>
        <vt:i4>0</vt:i4>
      </vt:variant>
      <vt:variant>
        <vt:i4>5</vt:i4>
      </vt:variant>
      <vt:variant>
        <vt:lpwstr/>
      </vt:variant>
      <vt:variant>
        <vt:lpwstr>_Toc25920047</vt:lpwstr>
      </vt:variant>
      <vt:variant>
        <vt:i4>1441855</vt:i4>
      </vt:variant>
      <vt:variant>
        <vt:i4>1853</vt:i4>
      </vt:variant>
      <vt:variant>
        <vt:i4>0</vt:i4>
      </vt:variant>
      <vt:variant>
        <vt:i4>5</vt:i4>
      </vt:variant>
      <vt:variant>
        <vt:lpwstr/>
      </vt:variant>
      <vt:variant>
        <vt:lpwstr>_Toc25920046</vt:lpwstr>
      </vt:variant>
      <vt:variant>
        <vt:i4>1376319</vt:i4>
      </vt:variant>
      <vt:variant>
        <vt:i4>1847</vt:i4>
      </vt:variant>
      <vt:variant>
        <vt:i4>0</vt:i4>
      </vt:variant>
      <vt:variant>
        <vt:i4>5</vt:i4>
      </vt:variant>
      <vt:variant>
        <vt:lpwstr/>
      </vt:variant>
      <vt:variant>
        <vt:lpwstr>_Toc25920045</vt:lpwstr>
      </vt:variant>
      <vt:variant>
        <vt:i4>1310783</vt:i4>
      </vt:variant>
      <vt:variant>
        <vt:i4>1841</vt:i4>
      </vt:variant>
      <vt:variant>
        <vt:i4>0</vt:i4>
      </vt:variant>
      <vt:variant>
        <vt:i4>5</vt:i4>
      </vt:variant>
      <vt:variant>
        <vt:lpwstr/>
      </vt:variant>
      <vt:variant>
        <vt:lpwstr>_Toc25920044</vt:lpwstr>
      </vt:variant>
      <vt:variant>
        <vt:i4>1245247</vt:i4>
      </vt:variant>
      <vt:variant>
        <vt:i4>1835</vt:i4>
      </vt:variant>
      <vt:variant>
        <vt:i4>0</vt:i4>
      </vt:variant>
      <vt:variant>
        <vt:i4>5</vt:i4>
      </vt:variant>
      <vt:variant>
        <vt:lpwstr/>
      </vt:variant>
      <vt:variant>
        <vt:lpwstr>_Toc25920043</vt:lpwstr>
      </vt:variant>
      <vt:variant>
        <vt:i4>1179711</vt:i4>
      </vt:variant>
      <vt:variant>
        <vt:i4>1829</vt:i4>
      </vt:variant>
      <vt:variant>
        <vt:i4>0</vt:i4>
      </vt:variant>
      <vt:variant>
        <vt:i4>5</vt:i4>
      </vt:variant>
      <vt:variant>
        <vt:lpwstr/>
      </vt:variant>
      <vt:variant>
        <vt:lpwstr>_Toc25920042</vt:lpwstr>
      </vt:variant>
      <vt:variant>
        <vt:i4>1114175</vt:i4>
      </vt:variant>
      <vt:variant>
        <vt:i4>1823</vt:i4>
      </vt:variant>
      <vt:variant>
        <vt:i4>0</vt:i4>
      </vt:variant>
      <vt:variant>
        <vt:i4>5</vt:i4>
      </vt:variant>
      <vt:variant>
        <vt:lpwstr/>
      </vt:variant>
      <vt:variant>
        <vt:lpwstr>_Toc25920041</vt:lpwstr>
      </vt:variant>
      <vt:variant>
        <vt:i4>1048639</vt:i4>
      </vt:variant>
      <vt:variant>
        <vt:i4>1817</vt:i4>
      </vt:variant>
      <vt:variant>
        <vt:i4>0</vt:i4>
      </vt:variant>
      <vt:variant>
        <vt:i4>5</vt:i4>
      </vt:variant>
      <vt:variant>
        <vt:lpwstr/>
      </vt:variant>
      <vt:variant>
        <vt:lpwstr>_Toc25920040</vt:lpwstr>
      </vt:variant>
      <vt:variant>
        <vt:i4>1638456</vt:i4>
      </vt:variant>
      <vt:variant>
        <vt:i4>1811</vt:i4>
      </vt:variant>
      <vt:variant>
        <vt:i4>0</vt:i4>
      </vt:variant>
      <vt:variant>
        <vt:i4>5</vt:i4>
      </vt:variant>
      <vt:variant>
        <vt:lpwstr/>
      </vt:variant>
      <vt:variant>
        <vt:lpwstr>_Toc25920039</vt:lpwstr>
      </vt:variant>
      <vt:variant>
        <vt:i4>1572920</vt:i4>
      </vt:variant>
      <vt:variant>
        <vt:i4>1805</vt:i4>
      </vt:variant>
      <vt:variant>
        <vt:i4>0</vt:i4>
      </vt:variant>
      <vt:variant>
        <vt:i4>5</vt:i4>
      </vt:variant>
      <vt:variant>
        <vt:lpwstr/>
      </vt:variant>
      <vt:variant>
        <vt:lpwstr>_Toc25920038</vt:lpwstr>
      </vt:variant>
      <vt:variant>
        <vt:i4>1507384</vt:i4>
      </vt:variant>
      <vt:variant>
        <vt:i4>1799</vt:i4>
      </vt:variant>
      <vt:variant>
        <vt:i4>0</vt:i4>
      </vt:variant>
      <vt:variant>
        <vt:i4>5</vt:i4>
      </vt:variant>
      <vt:variant>
        <vt:lpwstr/>
      </vt:variant>
      <vt:variant>
        <vt:lpwstr>_Toc25920037</vt:lpwstr>
      </vt:variant>
      <vt:variant>
        <vt:i4>1441848</vt:i4>
      </vt:variant>
      <vt:variant>
        <vt:i4>1793</vt:i4>
      </vt:variant>
      <vt:variant>
        <vt:i4>0</vt:i4>
      </vt:variant>
      <vt:variant>
        <vt:i4>5</vt:i4>
      </vt:variant>
      <vt:variant>
        <vt:lpwstr/>
      </vt:variant>
      <vt:variant>
        <vt:lpwstr>_Toc25920036</vt:lpwstr>
      </vt:variant>
      <vt:variant>
        <vt:i4>1376312</vt:i4>
      </vt:variant>
      <vt:variant>
        <vt:i4>1787</vt:i4>
      </vt:variant>
      <vt:variant>
        <vt:i4>0</vt:i4>
      </vt:variant>
      <vt:variant>
        <vt:i4>5</vt:i4>
      </vt:variant>
      <vt:variant>
        <vt:lpwstr/>
      </vt:variant>
      <vt:variant>
        <vt:lpwstr>_Toc25920035</vt:lpwstr>
      </vt:variant>
      <vt:variant>
        <vt:i4>1310776</vt:i4>
      </vt:variant>
      <vt:variant>
        <vt:i4>1781</vt:i4>
      </vt:variant>
      <vt:variant>
        <vt:i4>0</vt:i4>
      </vt:variant>
      <vt:variant>
        <vt:i4>5</vt:i4>
      </vt:variant>
      <vt:variant>
        <vt:lpwstr/>
      </vt:variant>
      <vt:variant>
        <vt:lpwstr>_Toc25920034</vt:lpwstr>
      </vt:variant>
      <vt:variant>
        <vt:i4>1245240</vt:i4>
      </vt:variant>
      <vt:variant>
        <vt:i4>1775</vt:i4>
      </vt:variant>
      <vt:variant>
        <vt:i4>0</vt:i4>
      </vt:variant>
      <vt:variant>
        <vt:i4>5</vt:i4>
      </vt:variant>
      <vt:variant>
        <vt:lpwstr/>
      </vt:variant>
      <vt:variant>
        <vt:lpwstr>_Toc25920033</vt:lpwstr>
      </vt:variant>
      <vt:variant>
        <vt:i4>1179704</vt:i4>
      </vt:variant>
      <vt:variant>
        <vt:i4>1769</vt:i4>
      </vt:variant>
      <vt:variant>
        <vt:i4>0</vt:i4>
      </vt:variant>
      <vt:variant>
        <vt:i4>5</vt:i4>
      </vt:variant>
      <vt:variant>
        <vt:lpwstr/>
      </vt:variant>
      <vt:variant>
        <vt:lpwstr>_Toc25920032</vt:lpwstr>
      </vt:variant>
      <vt:variant>
        <vt:i4>1114168</vt:i4>
      </vt:variant>
      <vt:variant>
        <vt:i4>1763</vt:i4>
      </vt:variant>
      <vt:variant>
        <vt:i4>0</vt:i4>
      </vt:variant>
      <vt:variant>
        <vt:i4>5</vt:i4>
      </vt:variant>
      <vt:variant>
        <vt:lpwstr/>
      </vt:variant>
      <vt:variant>
        <vt:lpwstr>_Toc25920031</vt:lpwstr>
      </vt:variant>
      <vt:variant>
        <vt:i4>1048632</vt:i4>
      </vt:variant>
      <vt:variant>
        <vt:i4>1757</vt:i4>
      </vt:variant>
      <vt:variant>
        <vt:i4>0</vt:i4>
      </vt:variant>
      <vt:variant>
        <vt:i4>5</vt:i4>
      </vt:variant>
      <vt:variant>
        <vt:lpwstr/>
      </vt:variant>
      <vt:variant>
        <vt:lpwstr>_Toc25920030</vt:lpwstr>
      </vt:variant>
      <vt:variant>
        <vt:i4>1638457</vt:i4>
      </vt:variant>
      <vt:variant>
        <vt:i4>1751</vt:i4>
      </vt:variant>
      <vt:variant>
        <vt:i4>0</vt:i4>
      </vt:variant>
      <vt:variant>
        <vt:i4>5</vt:i4>
      </vt:variant>
      <vt:variant>
        <vt:lpwstr/>
      </vt:variant>
      <vt:variant>
        <vt:lpwstr>_Toc25920029</vt:lpwstr>
      </vt:variant>
      <vt:variant>
        <vt:i4>1572921</vt:i4>
      </vt:variant>
      <vt:variant>
        <vt:i4>1745</vt:i4>
      </vt:variant>
      <vt:variant>
        <vt:i4>0</vt:i4>
      </vt:variant>
      <vt:variant>
        <vt:i4>5</vt:i4>
      </vt:variant>
      <vt:variant>
        <vt:lpwstr/>
      </vt:variant>
      <vt:variant>
        <vt:lpwstr>_Toc25920028</vt:lpwstr>
      </vt:variant>
      <vt:variant>
        <vt:i4>1507385</vt:i4>
      </vt:variant>
      <vt:variant>
        <vt:i4>1739</vt:i4>
      </vt:variant>
      <vt:variant>
        <vt:i4>0</vt:i4>
      </vt:variant>
      <vt:variant>
        <vt:i4>5</vt:i4>
      </vt:variant>
      <vt:variant>
        <vt:lpwstr/>
      </vt:variant>
      <vt:variant>
        <vt:lpwstr>_Toc25920027</vt:lpwstr>
      </vt:variant>
      <vt:variant>
        <vt:i4>1441849</vt:i4>
      </vt:variant>
      <vt:variant>
        <vt:i4>1733</vt:i4>
      </vt:variant>
      <vt:variant>
        <vt:i4>0</vt:i4>
      </vt:variant>
      <vt:variant>
        <vt:i4>5</vt:i4>
      </vt:variant>
      <vt:variant>
        <vt:lpwstr/>
      </vt:variant>
      <vt:variant>
        <vt:lpwstr>_Toc25920026</vt:lpwstr>
      </vt:variant>
      <vt:variant>
        <vt:i4>1376313</vt:i4>
      </vt:variant>
      <vt:variant>
        <vt:i4>1727</vt:i4>
      </vt:variant>
      <vt:variant>
        <vt:i4>0</vt:i4>
      </vt:variant>
      <vt:variant>
        <vt:i4>5</vt:i4>
      </vt:variant>
      <vt:variant>
        <vt:lpwstr/>
      </vt:variant>
      <vt:variant>
        <vt:lpwstr>_Toc25920025</vt:lpwstr>
      </vt:variant>
      <vt:variant>
        <vt:i4>1310777</vt:i4>
      </vt:variant>
      <vt:variant>
        <vt:i4>1721</vt:i4>
      </vt:variant>
      <vt:variant>
        <vt:i4>0</vt:i4>
      </vt:variant>
      <vt:variant>
        <vt:i4>5</vt:i4>
      </vt:variant>
      <vt:variant>
        <vt:lpwstr/>
      </vt:variant>
      <vt:variant>
        <vt:lpwstr>_Toc25920024</vt:lpwstr>
      </vt:variant>
      <vt:variant>
        <vt:i4>1245241</vt:i4>
      </vt:variant>
      <vt:variant>
        <vt:i4>1715</vt:i4>
      </vt:variant>
      <vt:variant>
        <vt:i4>0</vt:i4>
      </vt:variant>
      <vt:variant>
        <vt:i4>5</vt:i4>
      </vt:variant>
      <vt:variant>
        <vt:lpwstr/>
      </vt:variant>
      <vt:variant>
        <vt:lpwstr>_Toc25920023</vt:lpwstr>
      </vt:variant>
      <vt:variant>
        <vt:i4>1179705</vt:i4>
      </vt:variant>
      <vt:variant>
        <vt:i4>1709</vt:i4>
      </vt:variant>
      <vt:variant>
        <vt:i4>0</vt:i4>
      </vt:variant>
      <vt:variant>
        <vt:i4>5</vt:i4>
      </vt:variant>
      <vt:variant>
        <vt:lpwstr/>
      </vt:variant>
      <vt:variant>
        <vt:lpwstr>_Toc25920022</vt:lpwstr>
      </vt:variant>
      <vt:variant>
        <vt:i4>1114169</vt:i4>
      </vt:variant>
      <vt:variant>
        <vt:i4>1703</vt:i4>
      </vt:variant>
      <vt:variant>
        <vt:i4>0</vt:i4>
      </vt:variant>
      <vt:variant>
        <vt:i4>5</vt:i4>
      </vt:variant>
      <vt:variant>
        <vt:lpwstr/>
      </vt:variant>
      <vt:variant>
        <vt:lpwstr>_Toc25920021</vt:lpwstr>
      </vt:variant>
      <vt:variant>
        <vt:i4>1048633</vt:i4>
      </vt:variant>
      <vt:variant>
        <vt:i4>1697</vt:i4>
      </vt:variant>
      <vt:variant>
        <vt:i4>0</vt:i4>
      </vt:variant>
      <vt:variant>
        <vt:i4>5</vt:i4>
      </vt:variant>
      <vt:variant>
        <vt:lpwstr/>
      </vt:variant>
      <vt:variant>
        <vt:lpwstr>_Toc25920020</vt:lpwstr>
      </vt:variant>
      <vt:variant>
        <vt:i4>1638458</vt:i4>
      </vt:variant>
      <vt:variant>
        <vt:i4>1691</vt:i4>
      </vt:variant>
      <vt:variant>
        <vt:i4>0</vt:i4>
      </vt:variant>
      <vt:variant>
        <vt:i4>5</vt:i4>
      </vt:variant>
      <vt:variant>
        <vt:lpwstr/>
      </vt:variant>
      <vt:variant>
        <vt:lpwstr>_Toc25920019</vt:lpwstr>
      </vt:variant>
      <vt:variant>
        <vt:i4>1572922</vt:i4>
      </vt:variant>
      <vt:variant>
        <vt:i4>1685</vt:i4>
      </vt:variant>
      <vt:variant>
        <vt:i4>0</vt:i4>
      </vt:variant>
      <vt:variant>
        <vt:i4>5</vt:i4>
      </vt:variant>
      <vt:variant>
        <vt:lpwstr/>
      </vt:variant>
      <vt:variant>
        <vt:lpwstr>_Toc25920018</vt:lpwstr>
      </vt:variant>
      <vt:variant>
        <vt:i4>1507386</vt:i4>
      </vt:variant>
      <vt:variant>
        <vt:i4>1679</vt:i4>
      </vt:variant>
      <vt:variant>
        <vt:i4>0</vt:i4>
      </vt:variant>
      <vt:variant>
        <vt:i4>5</vt:i4>
      </vt:variant>
      <vt:variant>
        <vt:lpwstr/>
      </vt:variant>
      <vt:variant>
        <vt:lpwstr>_Toc25920017</vt:lpwstr>
      </vt:variant>
      <vt:variant>
        <vt:i4>1441850</vt:i4>
      </vt:variant>
      <vt:variant>
        <vt:i4>1673</vt:i4>
      </vt:variant>
      <vt:variant>
        <vt:i4>0</vt:i4>
      </vt:variant>
      <vt:variant>
        <vt:i4>5</vt:i4>
      </vt:variant>
      <vt:variant>
        <vt:lpwstr/>
      </vt:variant>
      <vt:variant>
        <vt:lpwstr>_Toc25920016</vt:lpwstr>
      </vt:variant>
      <vt:variant>
        <vt:i4>1376314</vt:i4>
      </vt:variant>
      <vt:variant>
        <vt:i4>1667</vt:i4>
      </vt:variant>
      <vt:variant>
        <vt:i4>0</vt:i4>
      </vt:variant>
      <vt:variant>
        <vt:i4>5</vt:i4>
      </vt:variant>
      <vt:variant>
        <vt:lpwstr/>
      </vt:variant>
      <vt:variant>
        <vt:lpwstr>_Toc25920015</vt:lpwstr>
      </vt:variant>
      <vt:variant>
        <vt:i4>1310778</vt:i4>
      </vt:variant>
      <vt:variant>
        <vt:i4>1661</vt:i4>
      </vt:variant>
      <vt:variant>
        <vt:i4>0</vt:i4>
      </vt:variant>
      <vt:variant>
        <vt:i4>5</vt:i4>
      </vt:variant>
      <vt:variant>
        <vt:lpwstr/>
      </vt:variant>
      <vt:variant>
        <vt:lpwstr>_Toc25920014</vt:lpwstr>
      </vt:variant>
      <vt:variant>
        <vt:i4>1245242</vt:i4>
      </vt:variant>
      <vt:variant>
        <vt:i4>1655</vt:i4>
      </vt:variant>
      <vt:variant>
        <vt:i4>0</vt:i4>
      </vt:variant>
      <vt:variant>
        <vt:i4>5</vt:i4>
      </vt:variant>
      <vt:variant>
        <vt:lpwstr/>
      </vt:variant>
      <vt:variant>
        <vt:lpwstr>_Toc25920013</vt:lpwstr>
      </vt:variant>
      <vt:variant>
        <vt:i4>1179706</vt:i4>
      </vt:variant>
      <vt:variant>
        <vt:i4>1649</vt:i4>
      </vt:variant>
      <vt:variant>
        <vt:i4>0</vt:i4>
      </vt:variant>
      <vt:variant>
        <vt:i4>5</vt:i4>
      </vt:variant>
      <vt:variant>
        <vt:lpwstr/>
      </vt:variant>
      <vt:variant>
        <vt:lpwstr>_Toc25920012</vt:lpwstr>
      </vt:variant>
      <vt:variant>
        <vt:i4>1114170</vt:i4>
      </vt:variant>
      <vt:variant>
        <vt:i4>1643</vt:i4>
      </vt:variant>
      <vt:variant>
        <vt:i4>0</vt:i4>
      </vt:variant>
      <vt:variant>
        <vt:i4>5</vt:i4>
      </vt:variant>
      <vt:variant>
        <vt:lpwstr/>
      </vt:variant>
      <vt:variant>
        <vt:lpwstr>_Toc25920011</vt:lpwstr>
      </vt:variant>
      <vt:variant>
        <vt:i4>1048634</vt:i4>
      </vt:variant>
      <vt:variant>
        <vt:i4>1637</vt:i4>
      </vt:variant>
      <vt:variant>
        <vt:i4>0</vt:i4>
      </vt:variant>
      <vt:variant>
        <vt:i4>5</vt:i4>
      </vt:variant>
      <vt:variant>
        <vt:lpwstr/>
      </vt:variant>
      <vt:variant>
        <vt:lpwstr>_Toc25920010</vt:lpwstr>
      </vt:variant>
      <vt:variant>
        <vt:i4>1638459</vt:i4>
      </vt:variant>
      <vt:variant>
        <vt:i4>1631</vt:i4>
      </vt:variant>
      <vt:variant>
        <vt:i4>0</vt:i4>
      </vt:variant>
      <vt:variant>
        <vt:i4>5</vt:i4>
      </vt:variant>
      <vt:variant>
        <vt:lpwstr/>
      </vt:variant>
      <vt:variant>
        <vt:lpwstr>_Toc25920009</vt:lpwstr>
      </vt:variant>
      <vt:variant>
        <vt:i4>1572923</vt:i4>
      </vt:variant>
      <vt:variant>
        <vt:i4>1625</vt:i4>
      </vt:variant>
      <vt:variant>
        <vt:i4>0</vt:i4>
      </vt:variant>
      <vt:variant>
        <vt:i4>5</vt:i4>
      </vt:variant>
      <vt:variant>
        <vt:lpwstr/>
      </vt:variant>
      <vt:variant>
        <vt:lpwstr>_Toc25920008</vt:lpwstr>
      </vt:variant>
      <vt:variant>
        <vt:i4>1507387</vt:i4>
      </vt:variant>
      <vt:variant>
        <vt:i4>1619</vt:i4>
      </vt:variant>
      <vt:variant>
        <vt:i4>0</vt:i4>
      </vt:variant>
      <vt:variant>
        <vt:i4>5</vt:i4>
      </vt:variant>
      <vt:variant>
        <vt:lpwstr/>
      </vt:variant>
      <vt:variant>
        <vt:lpwstr>_Toc25920007</vt:lpwstr>
      </vt:variant>
      <vt:variant>
        <vt:i4>1441851</vt:i4>
      </vt:variant>
      <vt:variant>
        <vt:i4>1613</vt:i4>
      </vt:variant>
      <vt:variant>
        <vt:i4>0</vt:i4>
      </vt:variant>
      <vt:variant>
        <vt:i4>5</vt:i4>
      </vt:variant>
      <vt:variant>
        <vt:lpwstr/>
      </vt:variant>
      <vt:variant>
        <vt:lpwstr>_Toc25920006</vt:lpwstr>
      </vt:variant>
      <vt:variant>
        <vt:i4>1376315</vt:i4>
      </vt:variant>
      <vt:variant>
        <vt:i4>1607</vt:i4>
      </vt:variant>
      <vt:variant>
        <vt:i4>0</vt:i4>
      </vt:variant>
      <vt:variant>
        <vt:i4>5</vt:i4>
      </vt:variant>
      <vt:variant>
        <vt:lpwstr/>
      </vt:variant>
      <vt:variant>
        <vt:lpwstr>_Toc25920005</vt:lpwstr>
      </vt:variant>
      <vt:variant>
        <vt:i4>1310779</vt:i4>
      </vt:variant>
      <vt:variant>
        <vt:i4>1601</vt:i4>
      </vt:variant>
      <vt:variant>
        <vt:i4>0</vt:i4>
      </vt:variant>
      <vt:variant>
        <vt:i4>5</vt:i4>
      </vt:variant>
      <vt:variant>
        <vt:lpwstr/>
      </vt:variant>
      <vt:variant>
        <vt:lpwstr>_Toc25920004</vt:lpwstr>
      </vt:variant>
      <vt:variant>
        <vt:i4>1245243</vt:i4>
      </vt:variant>
      <vt:variant>
        <vt:i4>1595</vt:i4>
      </vt:variant>
      <vt:variant>
        <vt:i4>0</vt:i4>
      </vt:variant>
      <vt:variant>
        <vt:i4>5</vt:i4>
      </vt:variant>
      <vt:variant>
        <vt:lpwstr/>
      </vt:variant>
      <vt:variant>
        <vt:lpwstr>_Toc25920003</vt:lpwstr>
      </vt:variant>
      <vt:variant>
        <vt:i4>1179707</vt:i4>
      </vt:variant>
      <vt:variant>
        <vt:i4>1589</vt:i4>
      </vt:variant>
      <vt:variant>
        <vt:i4>0</vt:i4>
      </vt:variant>
      <vt:variant>
        <vt:i4>5</vt:i4>
      </vt:variant>
      <vt:variant>
        <vt:lpwstr/>
      </vt:variant>
      <vt:variant>
        <vt:lpwstr>_Toc25920002</vt:lpwstr>
      </vt:variant>
      <vt:variant>
        <vt:i4>1114171</vt:i4>
      </vt:variant>
      <vt:variant>
        <vt:i4>1583</vt:i4>
      </vt:variant>
      <vt:variant>
        <vt:i4>0</vt:i4>
      </vt:variant>
      <vt:variant>
        <vt:i4>5</vt:i4>
      </vt:variant>
      <vt:variant>
        <vt:lpwstr/>
      </vt:variant>
      <vt:variant>
        <vt:lpwstr>_Toc25920001</vt:lpwstr>
      </vt:variant>
      <vt:variant>
        <vt:i4>1048635</vt:i4>
      </vt:variant>
      <vt:variant>
        <vt:i4>1577</vt:i4>
      </vt:variant>
      <vt:variant>
        <vt:i4>0</vt:i4>
      </vt:variant>
      <vt:variant>
        <vt:i4>5</vt:i4>
      </vt:variant>
      <vt:variant>
        <vt:lpwstr/>
      </vt:variant>
      <vt:variant>
        <vt:lpwstr>_Toc25920000</vt:lpwstr>
      </vt:variant>
      <vt:variant>
        <vt:i4>1245243</vt:i4>
      </vt:variant>
      <vt:variant>
        <vt:i4>1571</vt:i4>
      </vt:variant>
      <vt:variant>
        <vt:i4>0</vt:i4>
      </vt:variant>
      <vt:variant>
        <vt:i4>5</vt:i4>
      </vt:variant>
      <vt:variant>
        <vt:lpwstr/>
      </vt:variant>
      <vt:variant>
        <vt:lpwstr>_Toc25919999</vt:lpwstr>
      </vt:variant>
      <vt:variant>
        <vt:i4>1179707</vt:i4>
      </vt:variant>
      <vt:variant>
        <vt:i4>1565</vt:i4>
      </vt:variant>
      <vt:variant>
        <vt:i4>0</vt:i4>
      </vt:variant>
      <vt:variant>
        <vt:i4>5</vt:i4>
      </vt:variant>
      <vt:variant>
        <vt:lpwstr/>
      </vt:variant>
      <vt:variant>
        <vt:lpwstr>_Toc25919998</vt:lpwstr>
      </vt:variant>
      <vt:variant>
        <vt:i4>1900603</vt:i4>
      </vt:variant>
      <vt:variant>
        <vt:i4>1559</vt:i4>
      </vt:variant>
      <vt:variant>
        <vt:i4>0</vt:i4>
      </vt:variant>
      <vt:variant>
        <vt:i4>5</vt:i4>
      </vt:variant>
      <vt:variant>
        <vt:lpwstr/>
      </vt:variant>
      <vt:variant>
        <vt:lpwstr>_Toc25919997</vt:lpwstr>
      </vt:variant>
      <vt:variant>
        <vt:i4>1835067</vt:i4>
      </vt:variant>
      <vt:variant>
        <vt:i4>1553</vt:i4>
      </vt:variant>
      <vt:variant>
        <vt:i4>0</vt:i4>
      </vt:variant>
      <vt:variant>
        <vt:i4>5</vt:i4>
      </vt:variant>
      <vt:variant>
        <vt:lpwstr/>
      </vt:variant>
      <vt:variant>
        <vt:lpwstr>_Toc25919996</vt:lpwstr>
      </vt:variant>
      <vt:variant>
        <vt:i4>1966129</vt:i4>
      </vt:variant>
      <vt:variant>
        <vt:i4>1544</vt:i4>
      </vt:variant>
      <vt:variant>
        <vt:i4>0</vt:i4>
      </vt:variant>
      <vt:variant>
        <vt:i4>5</vt:i4>
      </vt:variant>
      <vt:variant>
        <vt:lpwstr/>
      </vt:variant>
      <vt:variant>
        <vt:lpwstr>_Toc25919934</vt:lpwstr>
      </vt:variant>
      <vt:variant>
        <vt:i4>1638449</vt:i4>
      </vt:variant>
      <vt:variant>
        <vt:i4>1538</vt:i4>
      </vt:variant>
      <vt:variant>
        <vt:i4>0</vt:i4>
      </vt:variant>
      <vt:variant>
        <vt:i4>5</vt:i4>
      </vt:variant>
      <vt:variant>
        <vt:lpwstr/>
      </vt:variant>
      <vt:variant>
        <vt:lpwstr>_Toc25919933</vt:lpwstr>
      </vt:variant>
      <vt:variant>
        <vt:i4>1572913</vt:i4>
      </vt:variant>
      <vt:variant>
        <vt:i4>1532</vt:i4>
      </vt:variant>
      <vt:variant>
        <vt:i4>0</vt:i4>
      </vt:variant>
      <vt:variant>
        <vt:i4>5</vt:i4>
      </vt:variant>
      <vt:variant>
        <vt:lpwstr/>
      </vt:variant>
      <vt:variant>
        <vt:lpwstr>_Toc25919932</vt:lpwstr>
      </vt:variant>
      <vt:variant>
        <vt:i4>1769521</vt:i4>
      </vt:variant>
      <vt:variant>
        <vt:i4>1526</vt:i4>
      </vt:variant>
      <vt:variant>
        <vt:i4>0</vt:i4>
      </vt:variant>
      <vt:variant>
        <vt:i4>5</vt:i4>
      </vt:variant>
      <vt:variant>
        <vt:lpwstr/>
      </vt:variant>
      <vt:variant>
        <vt:lpwstr>_Toc25919931</vt:lpwstr>
      </vt:variant>
      <vt:variant>
        <vt:i4>1703985</vt:i4>
      </vt:variant>
      <vt:variant>
        <vt:i4>1520</vt:i4>
      </vt:variant>
      <vt:variant>
        <vt:i4>0</vt:i4>
      </vt:variant>
      <vt:variant>
        <vt:i4>5</vt:i4>
      </vt:variant>
      <vt:variant>
        <vt:lpwstr/>
      </vt:variant>
      <vt:variant>
        <vt:lpwstr>_Toc25919930</vt:lpwstr>
      </vt:variant>
      <vt:variant>
        <vt:i4>1245232</vt:i4>
      </vt:variant>
      <vt:variant>
        <vt:i4>1514</vt:i4>
      </vt:variant>
      <vt:variant>
        <vt:i4>0</vt:i4>
      </vt:variant>
      <vt:variant>
        <vt:i4>5</vt:i4>
      </vt:variant>
      <vt:variant>
        <vt:lpwstr/>
      </vt:variant>
      <vt:variant>
        <vt:lpwstr>_Toc25919929</vt:lpwstr>
      </vt:variant>
      <vt:variant>
        <vt:i4>1179696</vt:i4>
      </vt:variant>
      <vt:variant>
        <vt:i4>1508</vt:i4>
      </vt:variant>
      <vt:variant>
        <vt:i4>0</vt:i4>
      </vt:variant>
      <vt:variant>
        <vt:i4>5</vt:i4>
      </vt:variant>
      <vt:variant>
        <vt:lpwstr/>
      </vt:variant>
      <vt:variant>
        <vt:lpwstr>_Toc25919928</vt:lpwstr>
      </vt:variant>
      <vt:variant>
        <vt:i4>1900592</vt:i4>
      </vt:variant>
      <vt:variant>
        <vt:i4>1502</vt:i4>
      </vt:variant>
      <vt:variant>
        <vt:i4>0</vt:i4>
      </vt:variant>
      <vt:variant>
        <vt:i4>5</vt:i4>
      </vt:variant>
      <vt:variant>
        <vt:lpwstr/>
      </vt:variant>
      <vt:variant>
        <vt:lpwstr>_Toc25919927</vt:lpwstr>
      </vt:variant>
      <vt:variant>
        <vt:i4>1835056</vt:i4>
      </vt:variant>
      <vt:variant>
        <vt:i4>1496</vt:i4>
      </vt:variant>
      <vt:variant>
        <vt:i4>0</vt:i4>
      </vt:variant>
      <vt:variant>
        <vt:i4>5</vt:i4>
      </vt:variant>
      <vt:variant>
        <vt:lpwstr/>
      </vt:variant>
      <vt:variant>
        <vt:lpwstr>_Toc25919926</vt:lpwstr>
      </vt:variant>
      <vt:variant>
        <vt:i4>2031664</vt:i4>
      </vt:variant>
      <vt:variant>
        <vt:i4>1490</vt:i4>
      </vt:variant>
      <vt:variant>
        <vt:i4>0</vt:i4>
      </vt:variant>
      <vt:variant>
        <vt:i4>5</vt:i4>
      </vt:variant>
      <vt:variant>
        <vt:lpwstr/>
      </vt:variant>
      <vt:variant>
        <vt:lpwstr>_Toc25919925</vt:lpwstr>
      </vt:variant>
      <vt:variant>
        <vt:i4>1966128</vt:i4>
      </vt:variant>
      <vt:variant>
        <vt:i4>1484</vt:i4>
      </vt:variant>
      <vt:variant>
        <vt:i4>0</vt:i4>
      </vt:variant>
      <vt:variant>
        <vt:i4>5</vt:i4>
      </vt:variant>
      <vt:variant>
        <vt:lpwstr/>
      </vt:variant>
      <vt:variant>
        <vt:lpwstr>_Toc25919924</vt:lpwstr>
      </vt:variant>
      <vt:variant>
        <vt:i4>1638448</vt:i4>
      </vt:variant>
      <vt:variant>
        <vt:i4>1478</vt:i4>
      </vt:variant>
      <vt:variant>
        <vt:i4>0</vt:i4>
      </vt:variant>
      <vt:variant>
        <vt:i4>5</vt:i4>
      </vt:variant>
      <vt:variant>
        <vt:lpwstr/>
      </vt:variant>
      <vt:variant>
        <vt:lpwstr>_Toc25919923</vt:lpwstr>
      </vt:variant>
      <vt:variant>
        <vt:i4>1572912</vt:i4>
      </vt:variant>
      <vt:variant>
        <vt:i4>1472</vt:i4>
      </vt:variant>
      <vt:variant>
        <vt:i4>0</vt:i4>
      </vt:variant>
      <vt:variant>
        <vt:i4>5</vt:i4>
      </vt:variant>
      <vt:variant>
        <vt:lpwstr/>
      </vt:variant>
      <vt:variant>
        <vt:lpwstr>_Toc25919922</vt:lpwstr>
      </vt:variant>
      <vt:variant>
        <vt:i4>1769520</vt:i4>
      </vt:variant>
      <vt:variant>
        <vt:i4>1466</vt:i4>
      </vt:variant>
      <vt:variant>
        <vt:i4>0</vt:i4>
      </vt:variant>
      <vt:variant>
        <vt:i4>5</vt:i4>
      </vt:variant>
      <vt:variant>
        <vt:lpwstr/>
      </vt:variant>
      <vt:variant>
        <vt:lpwstr>_Toc25919921</vt:lpwstr>
      </vt:variant>
      <vt:variant>
        <vt:i4>1703984</vt:i4>
      </vt:variant>
      <vt:variant>
        <vt:i4>1460</vt:i4>
      </vt:variant>
      <vt:variant>
        <vt:i4>0</vt:i4>
      </vt:variant>
      <vt:variant>
        <vt:i4>5</vt:i4>
      </vt:variant>
      <vt:variant>
        <vt:lpwstr/>
      </vt:variant>
      <vt:variant>
        <vt:lpwstr>_Toc25919920</vt:lpwstr>
      </vt:variant>
      <vt:variant>
        <vt:i4>1245235</vt:i4>
      </vt:variant>
      <vt:variant>
        <vt:i4>1454</vt:i4>
      </vt:variant>
      <vt:variant>
        <vt:i4>0</vt:i4>
      </vt:variant>
      <vt:variant>
        <vt:i4>5</vt:i4>
      </vt:variant>
      <vt:variant>
        <vt:lpwstr/>
      </vt:variant>
      <vt:variant>
        <vt:lpwstr>_Toc25919919</vt:lpwstr>
      </vt:variant>
      <vt:variant>
        <vt:i4>1179699</vt:i4>
      </vt:variant>
      <vt:variant>
        <vt:i4>1448</vt:i4>
      </vt:variant>
      <vt:variant>
        <vt:i4>0</vt:i4>
      </vt:variant>
      <vt:variant>
        <vt:i4>5</vt:i4>
      </vt:variant>
      <vt:variant>
        <vt:lpwstr/>
      </vt:variant>
      <vt:variant>
        <vt:lpwstr>_Toc25919918</vt:lpwstr>
      </vt:variant>
      <vt:variant>
        <vt:i4>1900595</vt:i4>
      </vt:variant>
      <vt:variant>
        <vt:i4>1442</vt:i4>
      </vt:variant>
      <vt:variant>
        <vt:i4>0</vt:i4>
      </vt:variant>
      <vt:variant>
        <vt:i4>5</vt:i4>
      </vt:variant>
      <vt:variant>
        <vt:lpwstr/>
      </vt:variant>
      <vt:variant>
        <vt:lpwstr>_Toc25919917</vt:lpwstr>
      </vt:variant>
      <vt:variant>
        <vt:i4>1835059</vt:i4>
      </vt:variant>
      <vt:variant>
        <vt:i4>1436</vt:i4>
      </vt:variant>
      <vt:variant>
        <vt:i4>0</vt:i4>
      </vt:variant>
      <vt:variant>
        <vt:i4>5</vt:i4>
      </vt:variant>
      <vt:variant>
        <vt:lpwstr/>
      </vt:variant>
      <vt:variant>
        <vt:lpwstr>_Toc25919916</vt:lpwstr>
      </vt:variant>
      <vt:variant>
        <vt:i4>2031667</vt:i4>
      </vt:variant>
      <vt:variant>
        <vt:i4>1430</vt:i4>
      </vt:variant>
      <vt:variant>
        <vt:i4>0</vt:i4>
      </vt:variant>
      <vt:variant>
        <vt:i4>5</vt:i4>
      </vt:variant>
      <vt:variant>
        <vt:lpwstr/>
      </vt:variant>
      <vt:variant>
        <vt:lpwstr>_Toc25919915</vt:lpwstr>
      </vt:variant>
      <vt:variant>
        <vt:i4>1966131</vt:i4>
      </vt:variant>
      <vt:variant>
        <vt:i4>1424</vt:i4>
      </vt:variant>
      <vt:variant>
        <vt:i4>0</vt:i4>
      </vt:variant>
      <vt:variant>
        <vt:i4>5</vt:i4>
      </vt:variant>
      <vt:variant>
        <vt:lpwstr/>
      </vt:variant>
      <vt:variant>
        <vt:lpwstr>_Toc25919914</vt:lpwstr>
      </vt:variant>
      <vt:variant>
        <vt:i4>1638451</vt:i4>
      </vt:variant>
      <vt:variant>
        <vt:i4>1418</vt:i4>
      </vt:variant>
      <vt:variant>
        <vt:i4>0</vt:i4>
      </vt:variant>
      <vt:variant>
        <vt:i4>5</vt:i4>
      </vt:variant>
      <vt:variant>
        <vt:lpwstr/>
      </vt:variant>
      <vt:variant>
        <vt:lpwstr>_Toc25919913</vt:lpwstr>
      </vt:variant>
      <vt:variant>
        <vt:i4>1572915</vt:i4>
      </vt:variant>
      <vt:variant>
        <vt:i4>1412</vt:i4>
      </vt:variant>
      <vt:variant>
        <vt:i4>0</vt:i4>
      </vt:variant>
      <vt:variant>
        <vt:i4>5</vt:i4>
      </vt:variant>
      <vt:variant>
        <vt:lpwstr/>
      </vt:variant>
      <vt:variant>
        <vt:lpwstr>_Toc25919912</vt:lpwstr>
      </vt:variant>
      <vt:variant>
        <vt:i4>1769523</vt:i4>
      </vt:variant>
      <vt:variant>
        <vt:i4>1406</vt:i4>
      </vt:variant>
      <vt:variant>
        <vt:i4>0</vt:i4>
      </vt:variant>
      <vt:variant>
        <vt:i4>5</vt:i4>
      </vt:variant>
      <vt:variant>
        <vt:lpwstr/>
      </vt:variant>
      <vt:variant>
        <vt:lpwstr>_Toc25919911</vt:lpwstr>
      </vt:variant>
      <vt:variant>
        <vt:i4>1703987</vt:i4>
      </vt:variant>
      <vt:variant>
        <vt:i4>1400</vt:i4>
      </vt:variant>
      <vt:variant>
        <vt:i4>0</vt:i4>
      </vt:variant>
      <vt:variant>
        <vt:i4>5</vt:i4>
      </vt:variant>
      <vt:variant>
        <vt:lpwstr/>
      </vt:variant>
      <vt:variant>
        <vt:lpwstr>_Toc25919910</vt:lpwstr>
      </vt:variant>
      <vt:variant>
        <vt:i4>1245234</vt:i4>
      </vt:variant>
      <vt:variant>
        <vt:i4>1394</vt:i4>
      </vt:variant>
      <vt:variant>
        <vt:i4>0</vt:i4>
      </vt:variant>
      <vt:variant>
        <vt:i4>5</vt:i4>
      </vt:variant>
      <vt:variant>
        <vt:lpwstr/>
      </vt:variant>
      <vt:variant>
        <vt:lpwstr>_Toc25919909</vt:lpwstr>
      </vt:variant>
      <vt:variant>
        <vt:i4>1179698</vt:i4>
      </vt:variant>
      <vt:variant>
        <vt:i4>1388</vt:i4>
      </vt:variant>
      <vt:variant>
        <vt:i4>0</vt:i4>
      </vt:variant>
      <vt:variant>
        <vt:i4>5</vt:i4>
      </vt:variant>
      <vt:variant>
        <vt:lpwstr/>
      </vt:variant>
      <vt:variant>
        <vt:lpwstr>_Toc25919908</vt:lpwstr>
      </vt:variant>
      <vt:variant>
        <vt:i4>1900594</vt:i4>
      </vt:variant>
      <vt:variant>
        <vt:i4>1382</vt:i4>
      </vt:variant>
      <vt:variant>
        <vt:i4>0</vt:i4>
      </vt:variant>
      <vt:variant>
        <vt:i4>5</vt:i4>
      </vt:variant>
      <vt:variant>
        <vt:lpwstr/>
      </vt:variant>
      <vt:variant>
        <vt:lpwstr>_Toc25919907</vt:lpwstr>
      </vt:variant>
      <vt:variant>
        <vt:i4>1835058</vt:i4>
      </vt:variant>
      <vt:variant>
        <vt:i4>1376</vt:i4>
      </vt:variant>
      <vt:variant>
        <vt:i4>0</vt:i4>
      </vt:variant>
      <vt:variant>
        <vt:i4>5</vt:i4>
      </vt:variant>
      <vt:variant>
        <vt:lpwstr/>
      </vt:variant>
      <vt:variant>
        <vt:lpwstr>_Toc25919906</vt:lpwstr>
      </vt:variant>
      <vt:variant>
        <vt:i4>2031666</vt:i4>
      </vt:variant>
      <vt:variant>
        <vt:i4>1370</vt:i4>
      </vt:variant>
      <vt:variant>
        <vt:i4>0</vt:i4>
      </vt:variant>
      <vt:variant>
        <vt:i4>5</vt:i4>
      </vt:variant>
      <vt:variant>
        <vt:lpwstr/>
      </vt:variant>
      <vt:variant>
        <vt:lpwstr>_Toc25919905</vt:lpwstr>
      </vt:variant>
      <vt:variant>
        <vt:i4>1966130</vt:i4>
      </vt:variant>
      <vt:variant>
        <vt:i4>1364</vt:i4>
      </vt:variant>
      <vt:variant>
        <vt:i4>0</vt:i4>
      </vt:variant>
      <vt:variant>
        <vt:i4>5</vt:i4>
      </vt:variant>
      <vt:variant>
        <vt:lpwstr/>
      </vt:variant>
      <vt:variant>
        <vt:lpwstr>_Toc25919904</vt:lpwstr>
      </vt:variant>
      <vt:variant>
        <vt:i4>1638450</vt:i4>
      </vt:variant>
      <vt:variant>
        <vt:i4>1358</vt:i4>
      </vt:variant>
      <vt:variant>
        <vt:i4>0</vt:i4>
      </vt:variant>
      <vt:variant>
        <vt:i4>5</vt:i4>
      </vt:variant>
      <vt:variant>
        <vt:lpwstr/>
      </vt:variant>
      <vt:variant>
        <vt:lpwstr>_Toc25919903</vt:lpwstr>
      </vt:variant>
      <vt:variant>
        <vt:i4>1572914</vt:i4>
      </vt:variant>
      <vt:variant>
        <vt:i4>1352</vt:i4>
      </vt:variant>
      <vt:variant>
        <vt:i4>0</vt:i4>
      </vt:variant>
      <vt:variant>
        <vt:i4>5</vt:i4>
      </vt:variant>
      <vt:variant>
        <vt:lpwstr/>
      </vt:variant>
      <vt:variant>
        <vt:lpwstr>_Toc25919902</vt:lpwstr>
      </vt:variant>
      <vt:variant>
        <vt:i4>1769522</vt:i4>
      </vt:variant>
      <vt:variant>
        <vt:i4>1346</vt:i4>
      </vt:variant>
      <vt:variant>
        <vt:i4>0</vt:i4>
      </vt:variant>
      <vt:variant>
        <vt:i4>5</vt:i4>
      </vt:variant>
      <vt:variant>
        <vt:lpwstr/>
      </vt:variant>
      <vt:variant>
        <vt:lpwstr>_Toc25919901</vt:lpwstr>
      </vt:variant>
      <vt:variant>
        <vt:i4>1703986</vt:i4>
      </vt:variant>
      <vt:variant>
        <vt:i4>1340</vt:i4>
      </vt:variant>
      <vt:variant>
        <vt:i4>0</vt:i4>
      </vt:variant>
      <vt:variant>
        <vt:i4>5</vt:i4>
      </vt:variant>
      <vt:variant>
        <vt:lpwstr/>
      </vt:variant>
      <vt:variant>
        <vt:lpwstr>_Toc25919900</vt:lpwstr>
      </vt:variant>
      <vt:variant>
        <vt:i4>1179707</vt:i4>
      </vt:variant>
      <vt:variant>
        <vt:i4>1334</vt:i4>
      </vt:variant>
      <vt:variant>
        <vt:i4>0</vt:i4>
      </vt:variant>
      <vt:variant>
        <vt:i4>5</vt:i4>
      </vt:variant>
      <vt:variant>
        <vt:lpwstr/>
      </vt:variant>
      <vt:variant>
        <vt:lpwstr>_Toc25919899</vt:lpwstr>
      </vt:variant>
      <vt:variant>
        <vt:i4>1245243</vt:i4>
      </vt:variant>
      <vt:variant>
        <vt:i4>1328</vt:i4>
      </vt:variant>
      <vt:variant>
        <vt:i4>0</vt:i4>
      </vt:variant>
      <vt:variant>
        <vt:i4>5</vt:i4>
      </vt:variant>
      <vt:variant>
        <vt:lpwstr/>
      </vt:variant>
      <vt:variant>
        <vt:lpwstr>_Toc25919898</vt:lpwstr>
      </vt:variant>
      <vt:variant>
        <vt:i4>1835067</vt:i4>
      </vt:variant>
      <vt:variant>
        <vt:i4>1322</vt:i4>
      </vt:variant>
      <vt:variant>
        <vt:i4>0</vt:i4>
      </vt:variant>
      <vt:variant>
        <vt:i4>5</vt:i4>
      </vt:variant>
      <vt:variant>
        <vt:lpwstr/>
      </vt:variant>
      <vt:variant>
        <vt:lpwstr>_Toc25919897</vt:lpwstr>
      </vt:variant>
      <vt:variant>
        <vt:i4>1900603</vt:i4>
      </vt:variant>
      <vt:variant>
        <vt:i4>1316</vt:i4>
      </vt:variant>
      <vt:variant>
        <vt:i4>0</vt:i4>
      </vt:variant>
      <vt:variant>
        <vt:i4>5</vt:i4>
      </vt:variant>
      <vt:variant>
        <vt:lpwstr/>
      </vt:variant>
      <vt:variant>
        <vt:lpwstr>_Toc25919896</vt:lpwstr>
      </vt:variant>
      <vt:variant>
        <vt:i4>1966139</vt:i4>
      </vt:variant>
      <vt:variant>
        <vt:i4>1310</vt:i4>
      </vt:variant>
      <vt:variant>
        <vt:i4>0</vt:i4>
      </vt:variant>
      <vt:variant>
        <vt:i4>5</vt:i4>
      </vt:variant>
      <vt:variant>
        <vt:lpwstr/>
      </vt:variant>
      <vt:variant>
        <vt:lpwstr>_Toc25919895</vt:lpwstr>
      </vt:variant>
      <vt:variant>
        <vt:i4>2031675</vt:i4>
      </vt:variant>
      <vt:variant>
        <vt:i4>1304</vt:i4>
      </vt:variant>
      <vt:variant>
        <vt:i4>0</vt:i4>
      </vt:variant>
      <vt:variant>
        <vt:i4>5</vt:i4>
      </vt:variant>
      <vt:variant>
        <vt:lpwstr/>
      </vt:variant>
      <vt:variant>
        <vt:lpwstr>_Toc25919894</vt:lpwstr>
      </vt:variant>
      <vt:variant>
        <vt:i4>1572923</vt:i4>
      </vt:variant>
      <vt:variant>
        <vt:i4>1298</vt:i4>
      </vt:variant>
      <vt:variant>
        <vt:i4>0</vt:i4>
      </vt:variant>
      <vt:variant>
        <vt:i4>5</vt:i4>
      </vt:variant>
      <vt:variant>
        <vt:lpwstr/>
      </vt:variant>
      <vt:variant>
        <vt:lpwstr>_Toc25919893</vt:lpwstr>
      </vt:variant>
      <vt:variant>
        <vt:i4>1638459</vt:i4>
      </vt:variant>
      <vt:variant>
        <vt:i4>1292</vt:i4>
      </vt:variant>
      <vt:variant>
        <vt:i4>0</vt:i4>
      </vt:variant>
      <vt:variant>
        <vt:i4>5</vt:i4>
      </vt:variant>
      <vt:variant>
        <vt:lpwstr/>
      </vt:variant>
      <vt:variant>
        <vt:lpwstr>_Toc25919892</vt:lpwstr>
      </vt:variant>
      <vt:variant>
        <vt:i4>1703995</vt:i4>
      </vt:variant>
      <vt:variant>
        <vt:i4>1286</vt:i4>
      </vt:variant>
      <vt:variant>
        <vt:i4>0</vt:i4>
      </vt:variant>
      <vt:variant>
        <vt:i4>5</vt:i4>
      </vt:variant>
      <vt:variant>
        <vt:lpwstr/>
      </vt:variant>
      <vt:variant>
        <vt:lpwstr>_Toc25919891</vt:lpwstr>
      </vt:variant>
      <vt:variant>
        <vt:i4>1769531</vt:i4>
      </vt:variant>
      <vt:variant>
        <vt:i4>1280</vt:i4>
      </vt:variant>
      <vt:variant>
        <vt:i4>0</vt:i4>
      </vt:variant>
      <vt:variant>
        <vt:i4>5</vt:i4>
      </vt:variant>
      <vt:variant>
        <vt:lpwstr/>
      </vt:variant>
      <vt:variant>
        <vt:lpwstr>_Toc25919890</vt:lpwstr>
      </vt:variant>
      <vt:variant>
        <vt:i4>1179706</vt:i4>
      </vt:variant>
      <vt:variant>
        <vt:i4>1274</vt:i4>
      </vt:variant>
      <vt:variant>
        <vt:i4>0</vt:i4>
      </vt:variant>
      <vt:variant>
        <vt:i4>5</vt:i4>
      </vt:variant>
      <vt:variant>
        <vt:lpwstr/>
      </vt:variant>
      <vt:variant>
        <vt:lpwstr>_Toc25919889</vt:lpwstr>
      </vt:variant>
      <vt:variant>
        <vt:i4>1245242</vt:i4>
      </vt:variant>
      <vt:variant>
        <vt:i4>1268</vt:i4>
      </vt:variant>
      <vt:variant>
        <vt:i4>0</vt:i4>
      </vt:variant>
      <vt:variant>
        <vt:i4>5</vt:i4>
      </vt:variant>
      <vt:variant>
        <vt:lpwstr/>
      </vt:variant>
      <vt:variant>
        <vt:lpwstr>_Toc25919888</vt:lpwstr>
      </vt:variant>
      <vt:variant>
        <vt:i4>1835066</vt:i4>
      </vt:variant>
      <vt:variant>
        <vt:i4>1262</vt:i4>
      </vt:variant>
      <vt:variant>
        <vt:i4>0</vt:i4>
      </vt:variant>
      <vt:variant>
        <vt:i4>5</vt:i4>
      </vt:variant>
      <vt:variant>
        <vt:lpwstr/>
      </vt:variant>
      <vt:variant>
        <vt:lpwstr>_Toc25919887</vt:lpwstr>
      </vt:variant>
      <vt:variant>
        <vt:i4>1900602</vt:i4>
      </vt:variant>
      <vt:variant>
        <vt:i4>1256</vt:i4>
      </vt:variant>
      <vt:variant>
        <vt:i4>0</vt:i4>
      </vt:variant>
      <vt:variant>
        <vt:i4>5</vt:i4>
      </vt:variant>
      <vt:variant>
        <vt:lpwstr/>
      </vt:variant>
      <vt:variant>
        <vt:lpwstr>_Toc25919886</vt:lpwstr>
      </vt:variant>
      <vt:variant>
        <vt:i4>1966138</vt:i4>
      </vt:variant>
      <vt:variant>
        <vt:i4>1250</vt:i4>
      </vt:variant>
      <vt:variant>
        <vt:i4>0</vt:i4>
      </vt:variant>
      <vt:variant>
        <vt:i4>5</vt:i4>
      </vt:variant>
      <vt:variant>
        <vt:lpwstr/>
      </vt:variant>
      <vt:variant>
        <vt:lpwstr>_Toc25919885</vt:lpwstr>
      </vt:variant>
      <vt:variant>
        <vt:i4>2031674</vt:i4>
      </vt:variant>
      <vt:variant>
        <vt:i4>1244</vt:i4>
      </vt:variant>
      <vt:variant>
        <vt:i4>0</vt:i4>
      </vt:variant>
      <vt:variant>
        <vt:i4>5</vt:i4>
      </vt:variant>
      <vt:variant>
        <vt:lpwstr/>
      </vt:variant>
      <vt:variant>
        <vt:lpwstr>_Toc25919884</vt:lpwstr>
      </vt:variant>
      <vt:variant>
        <vt:i4>1572922</vt:i4>
      </vt:variant>
      <vt:variant>
        <vt:i4>1238</vt:i4>
      </vt:variant>
      <vt:variant>
        <vt:i4>0</vt:i4>
      </vt:variant>
      <vt:variant>
        <vt:i4>5</vt:i4>
      </vt:variant>
      <vt:variant>
        <vt:lpwstr/>
      </vt:variant>
      <vt:variant>
        <vt:lpwstr>_Toc25919883</vt:lpwstr>
      </vt:variant>
      <vt:variant>
        <vt:i4>1638458</vt:i4>
      </vt:variant>
      <vt:variant>
        <vt:i4>1232</vt:i4>
      </vt:variant>
      <vt:variant>
        <vt:i4>0</vt:i4>
      </vt:variant>
      <vt:variant>
        <vt:i4>5</vt:i4>
      </vt:variant>
      <vt:variant>
        <vt:lpwstr/>
      </vt:variant>
      <vt:variant>
        <vt:lpwstr>_Toc25919882</vt:lpwstr>
      </vt:variant>
      <vt:variant>
        <vt:i4>1703994</vt:i4>
      </vt:variant>
      <vt:variant>
        <vt:i4>1226</vt:i4>
      </vt:variant>
      <vt:variant>
        <vt:i4>0</vt:i4>
      </vt:variant>
      <vt:variant>
        <vt:i4>5</vt:i4>
      </vt:variant>
      <vt:variant>
        <vt:lpwstr/>
      </vt:variant>
      <vt:variant>
        <vt:lpwstr>_Toc25919881</vt:lpwstr>
      </vt:variant>
      <vt:variant>
        <vt:i4>1769530</vt:i4>
      </vt:variant>
      <vt:variant>
        <vt:i4>1220</vt:i4>
      </vt:variant>
      <vt:variant>
        <vt:i4>0</vt:i4>
      </vt:variant>
      <vt:variant>
        <vt:i4>5</vt:i4>
      </vt:variant>
      <vt:variant>
        <vt:lpwstr/>
      </vt:variant>
      <vt:variant>
        <vt:lpwstr>_Toc25919880</vt:lpwstr>
      </vt:variant>
      <vt:variant>
        <vt:i4>1179701</vt:i4>
      </vt:variant>
      <vt:variant>
        <vt:i4>1214</vt:i4>
      </vt:variant>
      <vt:variant>
        <vt:i4>0</vt:i4>
      </vt:variant>
      <vt:variant>
        <vt:i4>5</vt:i4>
      </vt:variant>
      <vt:variant>
        <vt:lpwstr/>
      </vt:variant>
      <vt:variant>
        <vt:lpwstr>_Toc25919879</vt:lpwstr>
      </vt:variant>
      <vt:variant>
        <vt:i4>1245237</vt:i4>
      </vt:variant>
      <vt:variant>
        <vt:i4>1208</vt:i4>
      </vt:variant>
      <vt:variant>
        <vt:i4>0</vt:i4>
      </vt:variant>
      <vt:variant>
        <vt:i4>5</vt:i4>
      </vt:variant>
      <vt:variant>
        <vt:lpwstr/>
      </vt:variant>
      <vt:variant>
        <vt:lpwstr>_Toc25919878</vt:lpwstr>
      </vt:variant>
      <vt:variant>
        <vt:i4>1835061</vt:i4>
      </vt:variant>
      <vt:variant>
        <vt:i4>1202</vt:i4>
      </vt:variant>
      <vt:variant>
        <vt:i4>0</vt:i4>
      </vt:variant>
      <vt:variant>
        <vt:i4>5</vt:i4>
      </vt:variant>
      <vt:variant>
        <vt:lpwstr/>
      </vt:variant>
      <vt:variant>
        <vt:lpwstr>_Toc25919877</vt:lpwstr>
      </vt:variant>
      <vt:variant>
        <vt:i4>1900597</vt:i4>
      </vt:variant>
      <vt:variant>
        <vt:i4>1196</vt:i4>
      </vt:variant>
      <vt:variant>
        <vt:i4>0</vt:i4>
      </vt:variant>
      <vt:variant>
        <vt:i4>5</vt:i4>
      </vt:variant>
      <vt:variant>
        <vt:lpwstr/>
      </vt:variant>
      <vt:variant>
        <vt:lpwstr>_Toc25919876</vt:lpwstr>
      </vt:variant>
      <vt:variant>
        <vt:i4>1966133</vt:i4>
      </vt:variant>
      <vt:variant>
        <vt:i4>1190</vt:i4>
      </vt:variant>
      <vt:variant>
        <vt:i4>0</vt:i4>
      </vt:variant>
      <vt:variant>
        <vt:i4>5</vt:i4>
      </vt:variant>
      <vt:variant>
        <vt:lpwstr/>
      </vt:variant>
      <vt:variant>
        <vt:lpwstr>_Toc25919875</vt:lpwstr>
      </vt:variant>
      <vt:variant>
        <vt:i4>2031669</vt:i4>
      </vt:variant>
      <vt:variant>
        <vt:i4>1184</vt:i4>
      </vt:variant>
      <vt:variant>
        <vt:i4>0</vt:i4>
      </vt:variant>
      <vt:variant>
        <vt:i4>5</vt:i4>
      </vt:variant>
      <vt:variant>
        <vt:lpwstr/>
      </vt:variant>
      <vt:variant>
        <vt:lpwstr>_Toc25919874</vt:lpwstr>
      </vt:variant>
      <vt:variant>
        <vt:i4>1572917</vt:i4>
      </vt:variant>
      <vt:variant>
        <vt:i4>1178</vt:i4>
      </vt:variant>
      <vt:variant>
        <vt:i4>0</vt:i4>
      </vt:variant>
      <vt:variant>
        <vt:i4>5</vt:i4>
      </vt:variant>
      <vt:variant>
        <vt:lpwstr/>
      </vt:variant>
      <vt:variant>
        <vt:lpwstr>_Toc25919873</vt:lpwstr>
      </vt:variant>
      <vt:variant>
        <vt:i4>1638453</vt:i4>
      </vt:variant>
      <vt:variant>
        <vt:i4>1172</vt:i4>
      </vt:variant>
      <vt:variant>
        <vt:i4>0</vt:i4>
      </vt:variant>
      <vt:variant>
        <vt:i4>5</vt:i4>
      </vt:variant>
      <vt:variant>
        <vt:lpwstr/>
      </vt:variant>
      <vt:variant>
        <vt:lpwstr>_Toc25919872</vt:lpwstr>
      </vt:variant>
      <vt:variant>
        <vt:i4>1703989</vt:i4>
      </vt:variant>
      <vt:variant>
        <vt:i4>1166</vt:i4>
      </vt:variant>
      <vt:variant>
        <vt:i4>0</vt:i4>
      </vt:variant>
      <vt:variant>
        <vt:i4>5</vt:i4>
      </vt:variant>
      <vt:variant>
        <vt:lpwstr/>
      </vt:variant>
      <vt:variant>
        <vt:lpwstr>_Toc25919871</vt:lpwstr>
      </vt:variant>
      <vt:variant>
        <vt:i4>1769525</vt:i4>
      </vt:variant>
      <vt:variant>
        <vt:i4>1160</vt:i4>
      </vt:variant>
      <vt:variant>
        <vt:i4>0</vt:i4>
      </vt:variant>
      <vt:variant>
        <vt:i4>5</vt:i4>
      </vt:variant>
      <vt:variant>
        <vt:lpwstr/>
      </vt:variant>
      <vt:variant>
        <vt:lpwstr>_Toc25919870</vt:lpwstr>
      </vt:variant>
      <vt:variant>
        <vt:i4>1179700</vt:i4>
      </vt:variant>
      <vt:variant>
        <vt:i4>1154</vt:i4>
      </vt:variant>
      <vt:variant>
        <vt:i4>0</vt:i4>
      </vt:variant>
      <vt:variant>
        <vt:i4>5</vt:i4>
      </vt:variant>
      <vt:variant>
        <vt:lpwstr/>
      </vt:variant>
      <vt:variant>
        <vt:lpwstr>_Toc25919869</vt:lpwstr>
      </vt:variant>
      <vt:variant>
        <vt:i4>1245236</vt:i4>
      </vt:variant>
      <vt:variant>
        <vt:i4>1148</vt:i4>
      </vt:variant>
      <vt:variant>
        <vt:i4>0</vt:i4>
      </vt:variant>
      <vt:variant>
        <vt:i4>5</vt:i4>
      </vt:variant>
      <vt:variant>
        <vt:lpwstr/>
      </vt:variant>
      <vt:variant>
        <vt:lpwstr>_Toc25919868</vt:lpwstr>
      </vt:variant>
      <vt:variant>
        <vt:i4>1835060</vt:i4>
      </vt:variant>
      <vt:variant>
        <vt:i4>1142</vt:i4>
      </vt:variant>
      <vt:variant>
        <vt:i4>0</vt:i4>
      </vt:variant>
      <vt:variant>
        <vt:i4>5</vt:i4>
      </vt:variant>
      <vt:variant>
        <vt:lpwstr/>
      </vt:variant>
      <vt:variant>
        <vt:lpwstr>_Toc25919867</vt:lpwstr>
      </vt:variant>
      <vt:variant>
        <vt:i4>1900596</vt:i4>
      </vt:variant>
      <vt:variant>
        <vt:i4>1136</vt:i4>
      </vt:variant>
      <vt:variant>
        <vt:i4>0</vt:i4>
      </vt:variant>
      <vt:variant>
        <vt:i4>5</vt:i4>
      </vt:variant>
      <vt:variant>
        <vt:lpwstr/>
      </vt:variant>
      <vt:variant>
        <vt:lpwstr>_Toc25919866</vt:lpwstr>
      </vt:variant>
      <vt:variant>
        <vt:i4>1966132</vt:i4>
      </vt:variant>
      <vt:variant>
        <vt:i4>1130</vt:i4>
      </vt:variant>
      <vt:variant>
        <vt:i4>0</vt:i4>
      </vt:variant>
      <vt:variant>
        <vt:i4>5</vt:i4>
      </vt:variant>
      <vt:variant>
        <vt:lpwstr/>
      </vt:variant>
      <vt:variant>
        <vt:lpwstr>_Toc25919865</vt:lpwstr>
      </vt:variant>
      <vt:variant>
        <vt:i4>2031668</vt:i4>
      </vt:variant>
      <vt:variant>
        <vt:i4>1124</vt:i4>
      </vt:variant>
      <vt:variant>
        <vt:i4>0</vt:i4>
      </vt:variant>
      <vt:variant>
        <vt:i4>5</vt:i4>
      </vt:variant>
      <vt:variant>
        <vt:lpwstr/>
      </vt:variant>
      <vt:variant>
        <vt:lpwstr>_Toc25919864</vt:lpwstr>
      </vt:variant>
      <vt:variant>
        <vt:i4>1572916</vt:i4>
      </vt:variant>
      <vt:variant>
        <vt:i4>1118</vt:i4>
      </vt:variant>
      <vt:variant>
        <vt:i4>0</vt:i4>
      </vt:variant>
      <vt:variant>
        <vt:i4>5</vt:i4>
      </vt:variant>
      <vt:variant>
        <vt:lpwstr/>
      </vt:variant>
      <vt:variant>
        <vt:lpwstr>_Toc25919863</vt:lpwstr>
      </vt:variant>
      <vt:variant>
        <vt:i4>1638452</vt:i4>
      </vt:variant>
      <vt:variant>
        <vt:i4>1112</vt:i4>
      </vt:variant>
      <vt:variant>
        <vt:i4>0</vt:i4>
      </vt:variant>
      <vt:variant>
        <vt:i4>5</vt:i4>
      </vt:variant>
      <vt:variant>
        <vt:lpwstr/>
      </vt:variant>
      <vt:variant>
        <vt:lpwstr>_Toc25919862</vt:lpwstr>
      </vt:variant>
      <vt:variant>
        <vt:i4>1703988</vt:i4>
      </vt:variant>
      <vt:variant>
        <vt:i4>1106</vt:i4>
      </vt:variant>
      <vt:variant>
        <vt:i4>0</vt:i4>
      </vt:variant>
      <vt:variant>
        <vt:i4>5</vt:i4>
      </vt:variant>
      <vt:variant>
        <vt:lpwstr/>
      </vt:variant>
      <vt:variant>
        <vt:lpwstr>_Toc25919861</vt:lpwstr>
      </vt:variant>
      <vt:variant>
        <vt:i4>1769524</vt:i4>
      </vt:variant>
      <vt:variant>
        <vt:i4>1100</vt:i4>
      </vt:variant>
      <vt:variant>
        <vt:i4>0</vt:i4>
      </vt:variant>
      <vt:variant>
        <vt:i4>5</vt:i4>
      </vt:variant>
      <vt:variant>
        <vt:lpwstr/>
      </vt:variant>
      <vt:variant>
        <vt:lpwstr>_Toc25919860</vt:lpwstr>
      </vt:variant>
      <vt:variant>
        <vt:i4>1179703</vt:i4>
      </vt:variant>
      <vt:variant>
        <vt:i4>1094</vt:i4>
      </vt:variant>
      <vt:variant>
        <vt:i4>0</vt:i4>
      </vt:variant>
      <vt:variant>
        <vt:i4>5</vt:i4>
      </vt:variant>
      <vt:variant>
        <vt:lpwstr/>
      </vt:variant>
      <vt:variant>
        <vt:lpwstr>_Toc25919859</vt:lpwstr>
      </vt:variant>
      <vt:variant>
        <vt:i4>1245239</vt:i4>
      </vt:variant>
      <vt:variant>
        <vt:i4>1088</vt:i4>
      </vt:variant>
      <vt:variant>
        <vt:i4>0</vt:i4>
      </vt:variant>
      <vt:variant>
        <vt:i4>5</vt:i4>
      </vt:variant>
      <vt:variant>
        <vt:lpwstr/>
      </vt:variant>
      <vt:variant>
        <vt:lpwstr>_Toc25919858</vt:lpwstr>
      </vt:variant>
      <vt:variant>
        <vt:i4>1835063</vt:i4>
      </vt:variant>
      <vt:variant>
        <vt:i4>1082</vt:i4>
      </vt:variant>
      <vt:variant>
        <vt:i4>0</vt:i4>
      </vt:variant>
      <vt:variant>
        <vt:i4>5</vt:i4>
      </vt:variant>
      <vt:variant>
        <vt:lpwstr/>
      </vt:variant>
      <vt:variant>
        <vt:lpwstr>_Toc25919857</vt:lpwstr>
      </vt:variant>
      <vt:variant>
        <vt:i4>1900599</vt:i4>
      </vt:variant>
      <vt:variant>
        <vt:i4>1076</vt:i4>
      </vt:variant>
      <vt:variant>
        <vt:i4>0</vt:i4>
      </vt:variant>
      <vt:variant>
        <vt:i4>5</vt:i4>
      </vt:variant>
      <vt:variant>
        <vt:lpwstr/>
      </vt:variant>
      <vt:variant>
        <vt:lpwstr>_Toc25919856</vt:lpwstr>
      </vt:variant>
      <vt:variant>
        <vt:i4>1966135</vt:i4>
      </vt:variant>
      <vt:variant>
        <vt:i4>1070</vt:i4>
      </vt:variant>
      <vt:variant>
        <vt:i4>0</vt:i4>
      </vt:variant>
      <vt:variant>
        <vt:i4>5</vt:i4>
      </vt:variant>
      <vt:variant>
        <vt:lpwstr/>
      </vt:variant>
      <vt:variant>
        <vt:lpwstr>_Toc25919855</vt:lpwstr>
      </vt:variant>
      <vt:variant>
        <vt:i4>2031671</vt:i4>
      </vt:variant>
      <vt:variant>
        <vt:i4>1064</vt:i4>
      </vt:variant>
      <vt:variant>
        <vt:i4>0</vt:i4>
      </vt:variant>
      <vt:variant>
        <vt:i4>5</vt:i4>
      </vt:variant>
      <vt:variant>
        <vt:lpwstr/>
      </vt:variant>
      <vt:variant>
        <vt:lpwstr>_Toc25919854</vt:lpwstr>
      </vt:variant>
      <vt:variant>
        <vt:i4>1572919</vt:i4>
      </vt:variant>
      <vt:variant>
        <vt:i4>1058</vt:i4>
      </vt:variant>
      <vt:variant>
        <vt:i4>0</vt:i4>
      </vt:variant>
      <vt:variant>
        <vt:i4>5</vt:i4>
      </vt:variant>
      <vt:variant>
        <vt:lpwstr/>
      </vt:variant>
      <vt:variant>
        <vt:lpwstr>_Toc25919853</vt:lpwstr>
      </vt:variant>
      <vt:variant>
        <vt:i4>1638455</vt:i4>
      </vt:variant>
      <vt:variant>
        <vt:i4>1052</vt:i4>
      </vt:variant>
      <vt:variant>
        <vt:i4>0</vt:i4>
      </vt:variant>
      <vt:variant>
        <vt:i4>5</vt:i4>
      </vt:variant>
      <vt:variant>
        <vt:lpwstr/>
      </vt:variant>
      <vt:variant>
        <vt:lpwstr>_Toc25919852</vt:lpwstr>
      </vt:variant>
      <vt:variant>
        <vt:i4>1703991</vt:i4>
      </vt:variant>
      <vt:variant>
        <vt:i4>1046</vt:i4>
      </vt:variant>
      <vt:variant>
        <vt:i4>0</vt:i4>
      </vt:variant>
      <vt:variant>
        <vt:i4>5</vt:i4>
      </vt:variant>
      <vt:variant>
        <vt:lpwstr/>
      </vt:variant>
      <vt:variant>
        <vt:lpwstr>_Toc25919851</vt:lpwstr>
      </vt:variant>
      <vt:variant>
        <vt:i4>1769527</vt:i4>
      </vt:variant>
      <vt:variant>
        <vt:i4>1040</vt:i4>
      </vt:variant>
      <vt:variant>
        <vt:i4>0</vt:i4>
      </vt:variant>
      <vt:variant>
        <vt:i4>5</vt:i4>
      </vt:variant>
      <vt:variant>
        <vt:lpwstr/>
      </vt:variant>
      <vt:variant>
        <vt:lpwstr>_Toc25919850</vt:lpwstr>
      </vt:variant>
      <vt:variant>
        <vt:i4>1179702</vt:i4>
      </vt:variant>
      <vt:variant>
        <vt:i4>1034</vt:i4>
      </vt:variant>
      <vt:variant>
        <vt:i4>0</vt:i4>
      </vt:variant>
      <vt:variant>
        <vt:i4>5</vt:i4>
      </vt:variant>
      <vt:variant>
        <vt:lpwstr/>
      </vt:variant>
      <vt:variant>
        <vt:lpwstr>_Toc25919849</vt:lpwstr>
      </vt:variant>
      <vt:variant>
        <vt:i4>1245238</vt:i4>
      </vt:variant>
      <vt:variant>
        <vt:i4>1028</vt:i4>
      </vt:variant>
      <vt:variant>
        <vt:i4>0</vt:i4>
      </vt:variant>
      <vt:variant>
        <vt:i4>5</vt:i4>
      </vt:variant>
      <vt:variant>
        <vt:lpwstr/>
      </vt:variant>
      <vt:variant>
        <vt:lpwstr>_Toc25919848</vt:lpwstr>
      </vt:variant>
      <vt:variant>
        <vt:i4>1835062</vt:i4>
      </vt:variant>
      <vt:variant>
        <vt:i4>1022</vt:i4>
      </vt:variant>
      <vt:variant>
        <vt:i4>0</vt:i4>
      </vt:variant>
      <vt:variant>
        <vt:i4>5</vt:i4>
      </vt:variant>
      <vt:variant>
        <vt:lpwstr/>
      </vt:variant>
      <vt:variant>
        <vt:lpwstr>_Toc25919847</vt:lpwstr>
      </vt:variant>
      <vt:variant>
        <vt:i4>1900598</vt:i4>
      </vt:variant>
      <vt:variant>
        <vt:i4>1016</vt:i4>
      </vt:variant>
      <vt:variant>
        <vt:i4>0</vt:i4>
      </vt:variant>
      <vt:variant>
        <vt:i4>5</vt:i4>
      </vt:variant>
      <vt:variant>
        <vt:lpwstr/>
      </vt:variant>
      <vt:variant>
        <vt:lpwstr>_Toc25919846</vt:lpwstr>
      </vt:variant>
      <vt:variant>
        <vt:i4>4456470</vt:i4>
      </vt:variant>
      <vt:variant>
        <vt:i4>1011</vt:i4>
      </vt:variant>
      <vt:variant>
        <vt:i4>0</vt:i4>
      </vt:variant>
      <vt:variant>
        <vt:i4>5</vt:i4>
      </vt:variant>
      <vt:variant>
        <vt:lpwstr>http://www.szpi.gov.cz/clanek/tz-2016-vyzkum-cesky-spotrebitel-zada-stejne-kvalitni-potraviny-jako-evropsky.aspx</vt:lpwstr>
      </vt:variant>
      <vt:variant>
        <vt:lpwstr/>
      </vt:variant>
      <vt:variant>
        <vt:i4>5308503</vt:i4>
      </vt:variant>
      <vt:variant>
        <vt:i4>738</vt:i4>
      </vt:variant>
      <vt:variant>
        <vt:i4>0</vt:i4>
      </vt:variant>
      <vt:variant>
        <vt:i4>5</vt:i4>
      </vt:variant>
      <vt:variant>
        <vt:lpwstr>https://euc-word-edit.officeapps.live.com/we/wordeditorframe.aspx?ui=cs&amp;rs=en%2DUS&amp;wopisrc=https%3A%2F%2Fuzei-my.sharepoint.com%2Fpersonal%2Fnovotna_klara_uzei_cz%2F_vti_bin%2Fwopi.ashx%2Ffiles%2F7545e9d48d4e49bb8462fb40e6807a7e&amp;wdenableroaming=1&amp;mscc=1&amp;wdodb=1&amp;hid=6972BD9F-A0E8-2000-DC7D-9FED8E81233E&amp;wdorigin=ItemsView&amp;wdhostclicktime=1618212406743&amp;jsapi=1&amp;jsapiver=v1&amp;newsession=1&amp;corrid=ebd99fb5-799e-444c-978f-1f81e3527f50&amp;usid=ebd99fb5-799e-444c-978f-1f81e3527f50&amp;sftc=1&amp;mtf=1&amp;instantedit=1&amp;wopicomplete=1&amp;wdredirectionreason=Unified_SingleFlush&amp;rct=Medium&amp;ctp=LeastProtected</vt:lpwstr>
      </vt:variant>
      <vt:variant>
        <vt:lpwstr>_ftnref1</vt:lpwstr>
      </vt:variant>
      <vt:variant>
        <vt:i4>327747</vt:i4>
      </vt:variant>
      <vt:variant>
        <vt:i4>735</vt:i4>
      </vt:variant>
      <vt:variant>
        <vt:i4>0</vt:i4>
      </vt:variant>
      <vt:variant>
        <vt:i4>5</vt:i4>
      </vt:variant>
      <vt:variant>
        <vt:lpwstr>https://euc-word-edit.officeapps.live.com/we/wordeditorframe.aspx?ui=cs&amp;rs=en%2DUS&amp;wopisrc=https%3A%2F%2Fuzei-my.sharepoint.com%2Fpersonal%2Fnovotna_klara_uzei_cz%2F_vti_bin%2Fwopi.ashx%2Ffiles%2F7545e9d48d4e49bb8462fb40e6807a7e&amp;wdenableroaming=1&amp;mscc=1&amp;wdodb=1&amp;hid=6972BD9F-A0E8-2000-DC7D-9FED8E81233E&amp;wdorigin=ItemsView&amp;wdhostclicktime=1618212406743&amp;jsapi=1&amp;jsapiver=v1&amp;newsession=1&amp;corrid=ebd99fb5-799e-444c-978f-1f81e3527f50&amp;usid=ebd99fb5-799e-444c-978f-1f81e3527f50&amp;sftc=1&amp;mtf=1&amp;instantedit=1&amp;wopicomplete=1&amp;wdredirectionreason=Unified_SingleFlush&amp;rct=Medium&amp;ctp=LeastProtected</vt:lpwstr>
      </vt:variant>
      <vt:variant>
        <vt:lpwstr>_ftn1</vt:lpwstr>
      </vt:variant>
      <vt:variant>
        <vt:i4>327747</vt:i4>
      </vt:variant>
      <vt:variant>
        <vt:i4>192</vt:i4>
      </vt:variant>
      <vt:variant>
        <vt:i4>0</vt:i4>
      </vt:variant>
      <vt:variant>
        <vt:i4>5</vt:i4>
      </vt:variant>
      <vt:variant>
        <vt:lpwstr>https://euc-word-edit.officeapps.live.com/we/wordeditorframe.aspx?ui=cs&amp;rs=en%2DUS&amp;wopisrc=https%3A%2F%2Fuzei-my.sharepoint.com%2Fpersonal%2Fnovotna_klara_uzei_cz%2F_vti_bin%2Fwopi.ashx%2Ffiles%2F7545e9d48d4e49bb8462fb40e6807a7e&amp;wdenableroaming=1&amp;mscc=1&amp;wdodb=1&amp;hid=E4E0BB9F-E054-2000-DC7D-9FFA5A9A9455&amp;wdorigin=ItemsView&amp;wdhostclicktime=1617791380717&amp;jsapi=1&amp;jsapiver=v1&amp;newsession=1&amp;corrid=586f4fa3-0c58-4acd-bba5-46e6d86cff4b&amp;usid=586f4fa3-0c58-4acd-bba5-46e6d86cff4b&amp;sftc=1&amp;mtf=1&amp;instantedit=1&amp;wopicomplete=1&amp;wdredirectionreason=Unified_SingleFlush&amp;rct=Medium&amp;ctp=LeastProtected</vt:lpwstr>
      </vt:variant>
      <vt:variant>
        <vt:lpwstr>_ftn1</vt:lpwstr>
      </vt:variant>
      <vt:variant>
        <vt:i4>1507383</vt:i4>
      </vt:variant>
      <vt:variant>
        <vt:i4>152</vt:i4>
      </vt:variant>
      <vt:variant>
        <vt:i4>0</vt:i4>
      </vt:variant>
      <vt:variant>
        <vt:i4>5</vt:i4>
      </vt:variant>
      <vt:variant>
        <vt:lpwstr/>
      </vt:variant>
      <vt:variant>
        <vt:lpwstr>_Toc81758004</vt:lpwstr>
      </vt:variant>
      <vt:variant>
        <vt:i4>1048631</vt:i4>
      </vt:variant>
      <vt:variant>
        <vt:i4>146</vt:i4>
      </vt:variant>
      <vt:variant>
        <vt:i4>0</vt:i4>
      </vt:variant>
      <vt:variant>
        <vt:i4>5</vt:i4>
      </vt:variant>
      <vt:variant>
        <vt:lpwstr/>
      </vt:variant>
      <vt:variant>
        <vt:lpwstr>_Toc81758003</vt:lpwstr>
      </vt:variant>
      <vt:variant>
        <vt:i4>1114167</vt:i4>
      </vt:variant>
      <vt:variant>
        <vt:i4>140</vt:i4>
      </vt:variant>
      <vt:variant>
        <vt:i4>0</vt:i4>
      </vt:variant>
      <vt:variant>
        <vt:i4>5</vt:i4>
      </vt:variant>
      <vt:variant>
        <vt:lpwstr/>
      </vt:variant>
      <vt:variant>
        <vt:lpwstr>_Toc81758002</vt:lpwstr>
      </vt:variant>
      <vt:variant>
        <vt:i4>1179703</vt:i4>
      </vt:variant>
      <vt:variant>
        <vt:i4>134</vt:i4>
      </vt:variant>
      <vt:variant>
        <vt:i4>0</vt:i4>
      </vt:variant>
      <vt:variant>
        <vt:i4>5</vt:i4>
      </vt:variant>
      <vt:variant>
        <vt:lpwstr/>
      </vt:variant>
      <vt:variant>
        <vt:lpwstr>_Toc81758001</vt:lpwstr>
      </vt:variant>
      <vt:variant>
        <vt:i4>1245239</vt:i4>
      </vt:variant>
      <vt:variant>
        <vt:i4>128</vt:i4>
      </vt:variant>
      <vt:variant>
        <vt:i4>0</vt:i4>
      </vt:variant>
      <vt:variant>
        <vt:i4>5</vt:i4>
      </vt:variant>
      <vt:variant>
        <vt:lpwstr/>
      </vt:variant>
      <vt:variant>
        <vt:lpwstr>_Toc81758000</vt:lpwstr>
      </vt:variant>
      <vt:variant>
        <vt:i4>1245233</vt:i4>
      </vt:variant>
      <vt:variant>
        <vt:i4>122</vt:i4>
      </vt:variant>
      <vt:variant>
        <vt:i4>0</vt:i4>
      </vt:variant>
      <vt:variant>
        <vt:i4>5</vt:i4>
      </vt:variant>
      <vt:variant>
        <vt:lpwstr/>
      </vt:variant>
      <vt:variant>
        <vt:lpwstr>_Toc81757999</vt:lpwstr>
      </vt:variant>
      <vt:variant>
        <vt:i4>1179697</vt:i4>
      </vt:variant>
      <vt:variant>
        <vt:i4>116</vt:i4>
      </vt:variant>
      <vt:variant>
        <vt:i4>0</vt:i4>
      </vt:variant>
      <vt:variant>
        <vt:i4>5</vt:i4>
      </vt:variant>
      <vt:variant>
        <vt:lpwstr/>
      </vt:variant>
      <vt:variant>
        <vt:lpwstr>_Toc81757998</vt:lpwstr>
      </vt:variant>
      <vt:variant>
        <vt:i4>1900593</vt:i4>
      </vt:variant>
      <vt:variant>
        <vt:i4>110</vt:i4>
      </vt:variant>
      <vt:variant>
        <vt:i4>0</vt:i4>
      </vt:variant>
      <vt:variant>
        <vt:i4>5</vt:i4>
      </vt:variant>
      <vt:variant>
        <vt:lpwstr/>
      </vt:variant>
      <vt:variant>
        <vt:lpwstr>_Toc81757997</vt:lpwstr>
      </vt:variant>
      <vt:variant>
        <vt:i4>1835057</vt:i4>
      </vt:variant>
      <vt:variant>
        <vt:i4>104</vt:i4>
      </vt:variant>
      <vt:variant>
        <vt:i4>0</vt:i4>
      </vt:variant>
      <vt:variant>
        <vt:i4>5</vt:i4>
      </vt:variant>
      <vt:variant>
        <vt:lpwstr/>
      </vt:variant>
      <vt:variant>
        <vt:lpwstr>_Toc81757996</vt:lpwstr>
      </vt:variant>
      <vt:variant>
        <vt:i4>2031665</vt:i4>
      </vt:variant>
      <vt:variant>
        <vt:i4>98</vt:i4>
      </vt:variant>
      <vt:variant>
        <vt:i4>0</vt:i4>
      </vt:variant>
      <vt:variant>
        <vt:i4>5</vt:i4>
      </vt:variant>
      <vt:variant>
        <vt:lpwstr/>
      </vt:variant>
      <vt:variant>
        <vt:lpwstr>_Toc81757995</vt:lpwstr>
      </vt:variant>
      <vt:variant>
        <vt:i4>1966129</vt:i4>
      </vt:variant>
      <vt:variant>
        <vt:i4>92</vt:i4>
      </vt:variant>
      <vt:variant>
        <vt:i4>0</vt:i4>
      </vt:variant>
      <vt:variant>
        <vt:i4>5</vt:i4>
      </vt:variant>
      <vt:variant>
        <vt:lpwstr/>
      </vt:variant>
      <vt:variant>
        <vt:lpwstr>_Toc81757994</vt:lpwstr>
      </vt:variant>
      <vt:variant>
        <vt:i4>1638449</vt:i4>
      </vt:variant>
      <vt:variant>
        <vt:i4>86</vt:i4>
      </vt:variant>
      <vt:variant>
        <vt:i4>0</vt:i4>
      </vt:variant>
      <vt:variant>
        <vt:i4>5</vt:i4>
      </vt:variant>
      <vt:variant>
        <vt:lpwstr/>
      </vt:variant>
      <vt:variant>
        <vt:lpwstr>_Toc81757993</vt:lpwstr>
      </vt:variant>
      <vt:variant>
        <vt:i4>1572913</vt:i4>
      </vt:variant>
      <vt:variant>
        <vt:i4>80</vt:i4>
      </vt:variant>
      <vt:variant>
        <vt:i4>0</vt:i4>
      </vt:variant>
      <vt:variant>
        <vt:i4>5</vt:i4>
      </vt:variant>
      <vt:variant>
        <vt:lpwstr/>
      </vt:variant>
      <vt:variant>
        <vt:lpwstr>_Toc81757992</vt:lpwstr>
      </vt:variant>
      <vt:variant>
        <vt:i4>1769521</vt:i4>
      </vt:variant>
      <vt:variant>
        <vt:i4>74</vt:i4>
      </vt:variant>
      <vt:variant>
        <vt:i4>0</vt:i4>
      </vt:variant>
      <vt:variant>
        <vt:i4>5</vt:i4>
      </vt:variant>
      <vt:variant>
        <vt:lpwstr/>
      </vt:variant>
      <vt:variant>
        <vt:lpwstr>_Toc81757991</vt:lpwstr>
      </vt:variant>
      <vt:variant>
        <vt:i4>1703985</vt:i4>
      </vt:variant>
      <vt:variant>
        <vt:i4>68</vt:i4>
      </vt:variant>
      <vt:variant>
        <vt:i4>0</vt:i4>
      </vt:variant>
      <vt:variant>
        <vt:i4>5</vt:i4>
      </vt:variant>
      <vt:variant>
        <vt:lpwstr/>
      </vt:variant>
      <vt:variant>
        <vt:lpwstr>_Toc81757990</vt:lpwstr>
      </vt:variant>
      <vt:variant>
        <vt:i4>1245232</vt:i4>
      </vt:variant>
      <vt:variant>
        <vt:i4>62</vt:i4>
      </vt:variant>
      <vt:variant>
        <vt:i4>0</vt:i4>
      </vt:variant>
      <vt:variant>
        <vt:i4>5</vt:i4>
      </vt:variant>
      <vt:variant>
        <vt:lpwstr/>
      </vt:variant>
      <vt:variant>
        <vt:lpwstr>_Toc81757989</vt:lpwstr>
      </vt:variant>
      <vt:variant>
        <vt:i4>1179696</vt:i4>
      </vt:variant>
      <vt:variant>
        <vt:i4>56</vt:i4>
      </vt:variant>
      <vt:variant>
        <vt:i4>0</vt:i4>
      </vt:variant>
      <vt:variant>
        <vt:i4>5</vt:i4>
      </vt:variant>
      <vt:variant>
        <vt:lpwstr/>
      </vt:variant>
      <vt:variant>
        <vt:lpwstr>_Toc81757988</vt:lpwstr>
      </vt:variant>
      <vt:variant>
        <vt:i4>1900592</vt:i4>
      </vt:variant>
      <vt:variant>
        <vt:i4>50</vt:i4>
      </vt:variant>
      <vt:variant>
        <vt:i4>0</vt:i4>
      </vt:variant>
      <vt:variant>
        <vt:i4>5</vt:i4>
      </vt:variant>
      <vt:variant>
        <vt:lpwstr/>
      </vt:variant>
      <vt:variant>
        <vt:lpwstr>_Toc81757987</vt:lpwstr>
      </vt:variant>
      <vt:variant>
        <vt:i4>1835056</vt:i4>
      </vt:variant>
      <vt:variant>
        <vt:i4>44</vt:i4>
      </vt:variant>
      <vt:variant>
        <vt:i4>0</vt:i4>
      </vt:variant>
      <vt:variant>
        <vt:i4>5</vt:i4>
      </vt:variant>
      <vt:variant>
        <vt:lpwstr/>
      </vt:variant>
      <vt:variant>
        <vt:lpwstr>_Toc81757986</vt:lpwstr>
      </vt:variant>
      <vt:variant>
        <vt:i4>2031664</vt:i4>
      </vt:variant>
      <vt:variant>
        <vt:i4>38</vt:i4>
      </vt:variant>
      <vt:variant>
        <vt:i4>0</vt:i4>
      </vt:variant>
      <vt:variant>
        <vt:i4>5</vt:i4>
      </vt:variant>
      <vt:variant>
        <vt:lpwstr/>
      </vt:variant>
      <vt:variant>
        <vt:lpwstr>_Toc81757985</vt:lpwstr>
      </vt:variant>
      <vt:variant>
        <vt:i4>1966128</vt:i4>
      </vt:variant>
      <vt:variant>
        <vt:i4>32</vt:i4>
      </vt:variant>
      <vt:variant>
        <vt:i4>0</vt:i4>
      </vt:variant>
      <vt:variant>
        <vt:i4>5</vt:i4>
      </vt:variant>
      <vt:variant>
        <vt:lpwstr/>
      </vt:variant>
      <vt:variant>
        <vt:lpwstr>_Toc81757984</vt:lpwstr>
      </vt:variant>
      <vt:variant>
        <vt:i4>1638448</vt:i4>
      </vt:variant>
      <vt:variant>
        <vt:i4>26</vt:i4>
      </vt:variant>
      <vt:variant>
        <vt:i4>0</vt:i4>
      </vt:variant>
      <vt:variant>
        <vt:i4>5</vt:i4>
      </vt:variant>
      <vt:variant>
        <vt:lpwstr/>
      </vt:variant>
      <vt:variant>
        <vt:lpwstr>_Toc81757983</vt:lpwstr>
      </vt:variant>
      <vt:variant>
        <vt:i4>1572912</vt:i4>
      </vt:variant>
      <vt:variant>
        <vt:i4>20</vt:i4>
      </vt:variant>
      <vt:variant>
        <vt:i4>0</vt:i4>
      </vt:variant>
      <vt:variant>
        <vt:i4>5</vt:i4>
      </vt:variant>
      <vt:variant>
        <vt:lpwstr/>
      </vt:variant>
      <vt:variant>
        <vt:lpwstr>_Toc81757982</vt:lpwstr>
      </vt:variant>
      <vt:variant>
        <vt:i4>1769520</vt:i4>
      </vt:variant>
      <vt:variant>
        <vt:i4>14</vt:i4>
      </vt:variant>
      <vt:variant>
        <vt:i4>0</vt:i4>
      </vt:variant>
      <vt:variant>
        <vt:i4>5</vt:i4>
      </vt:variant>
      <vt:variant>
        <vt:lpwstr/>
      </vt:variant>
      <vt:variant>
        <vt:lpwstr>_Toc81757981</vt:lpwstr>
      </vt:variant>
      <vt:variant>
        <vt:i4>1703984</vt:i4>
      </vt:variant>
      <vt:variant>
        <vt:i4>8</vt:i4>
      </vt:variant>
      <vt:variant>
        <vt:i4>0</vt:i4>
      </vt:variant>
      <vt:variant>
        <vt:i4>5</vt:i4>
      </vt:variant>
      <vt:variant>
        <vt:lpwstr/>
      </vt:variant>
      <vt:variant>
        <vt:lpwstr>_Toc81757980</vt:lpwstr>
      </vt:variant>
      <vt:variant>
        <vt:i4>1245247</vt:i4>
      </vt:variant>
      <vt:variant>
        <vt:i4>2</vt:i4>
      </vt:variant>
      <vt:variant>
        <vt:i4>0</vt:i4>
      </vt:variant>
      <vt:variant>
        <vt:i4>5</vt:i4>
      </vt:variant>
      <vt:variant>
        <vt:lpwstr/>
      </vt:variant>
      <vt:variant>
        <vt:lpwstr>_Toc81757979</vt:lpwstr>
      </vt:variant>
      <vt:variant>
        <vt:i4>6553647</vt:i4>
      </vt:variant>
      <vt:variant>
        <vt:i4>9</vt:i4>
      </vt:variant>
      <vt:variant>
        <vt:i4>0</vt:i4>
      </vt:variant>
      <vt:variant>
        <vt:i4>5</vt:i4>
      </vt:variant>
      <vt:variant>
        <vt:lpwstr>http://www.dvs.cz/clanek.asp?id=6485296</vt:lpwstr>
      </vt:variant>
      <vt:variant>
        <vt:lpwstr/>
      </vt:variant>
      <vt:variant>
        <vt:i4>3866686</vt:i4>
      </vt:variant>
      <vt:variant>
        <vt:i4>6</vt:i4>
      </vt:variant>
      <vt:variant>
        <vt:i4>0</vt:i4>
      </vt:variant>
      <vt:variant>
        <vt:i4>5</vt:i4>
      </vt:variant>
      <vt:variant>
        <vt:lpwstr>https://www.czechinvest.org/cz/Sluzby-pro-municipality/Nemovitosti-pro-podnikatelske-ucely/Brownfieldy</vt:lpwstr>
      </vt:variant>
      <vt:variant>
        <vt:lpwstr/>
      </vt:variant>
      <vt:variant>
        <vt:i4>8192084</vt:i4>
      </vt:variant>
      <vt:variant>
        <vt:i4>3</vt:i4>
      </vt:variant>
      <vt:variant>
        <vt:i4>0</vt:i4>
      </vt:variant>
      <vt:variant>
        <vt:i4>5</vt:i4>
      </vt:variant>
      <vt:variant>
        <vt:lpwstr>https://www.uur.cz/images/5-publikacni-cinnost-a-knihovna/casopis/2012/2012-06/03_zemedelske.pdf</vt:lpwstr>
      </vt:variant>
      <vt:variant>
        <vt:lpwstr/>
      </vt:variant>
      <vt:variant>
        <vt:i4>5898326</vt:i4>
      </vt:variant>
      <vt:variant>
        <vt:i4>0</vt:i4>
      </vt:variant>
      <vt:variant>
        <vt:i4>0</vt:i4>
      </vt:variant>
      <vt:variant>
        <vt:i4>5</vt:i4>
      </vt:variant>
      <vt:variant>
        <vt:lpwstr>https://www.cenia.cz/wp-content/uploads/2020/05/Zprava_o_ZP_CR_2019.pdf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Marie Šimpachová Pechrová</dc:creator>
  <cp:keywords/>
  <dc:description/>
  <cp:lastModifiedBy>Kubů Alena</cp:lastModifiedBy>
  <cp:revision>270</cp:revision>
  <dcterms:created xsi:type="dcterms:W3CDTF">2021-09-02T06:52:00Z</dcterms:created>
  <dcterms:modified xsi:type="dcterms:W3CDTF">2022-01-27T10:05:00Z</dcterms:modified>
</cp:coreProperties>
</file>